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March 30, 2022</w:t>
      </w:r>
    </w:p>
    <w:p>
      <w:pPr>
        <w:spacing w:after="0" w:line="27" w:lineRule="exact"/>
        <w:rPr>
          <w:sz w:val="24"/>
          <w:szCs w:val="24"/>
          <w:color w:val="auto"/>
        </w:rPr>
      </w:pPr>
    </w:p>
    <w:p>
      <w:pPr>
        <w:ind w:left="912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ACT OF 1933</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State of Israel</w:t>
            </w:r>
          </w:p>
        </w:tc>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92"/>
              </w:rPr>
              <w:t>Not Applicable</w:t>
            </w:r>
          </w:p>
        </w:tc>
      </w:tr>
      <w:tr>
        <w:trPr>
          <w:trHeight w:val="202"/>
        </w:trPr>
        <w:tc>
          <w:tcPr>
            <w:tcW w:w="55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 of</w:t>
            </w: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57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incorporation or organization)</w:t>
            </w:r>
          </w:p>
        </w:tc>
        <w:tc>
          <w:tcPr>
            <w:tcW w:w="55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14"/>
        </w:trPr>
        <w:tc>
          <w:tcPr>
            <w:tcW w:w="5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12 Ha’ Amal Street, Afek Park,</w:t>
            </w:r>
          </w:p>
        </w:tc>
        <w:tc>
          <w:tcPr>
            <w:tcW w:w="5500" w:type="dxa"/>
            <w:vAlign w:val="bottom"/>
          </w:tcPr>
          <w:p>
            <w:pPr>
              <w:spacing w:after="0"/>
              <w:rPr>
                <w:sz w:val="24"/>
                <w:szCs w:val="24"/>
                <w:color w:val="auto"/>
              </w:rPr>
            </w:pPr>
          </w:p>
        </w:tc>
      </w:tr>
      <w:tr>
        <w:trPr>
          <w:trHeight w:val="241"/>
        </w:trPr>
        <w:tc>
          <w:tcPr>
            <w:tcW w:w="5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Rosh-Ha’Ayin, Israel</w:t>
            </w:r>
          </w:p>
        </w:tc>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88"/>
              </w:rPr>
              <w:t>4809246</w:t>
            </w:r>
          </w:p>
        </w:tc>
      </w:tr>
      <w:tr>
        <w:trPr>
          <w:trHeight w:val="230"/>
        </w:trPr>
        <w:tc>
          <w:tcPr>
            <w:tcW w:w="5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Kornit Digital Ltd. 2015 Incentive Compensation Plan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(Full Title of the Plan)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Kornit Digital North America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480 South Dean Street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Englewood, NJ 07631, USA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(201) 608-5750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Copies of communications to:</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7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Alon Rozner</w:t>
            </w:r>
          </w:p>
        </w:tc>
        <w:tc>
          <w:tcPr>
            <w:tcW w:w="5540" w:type="dxa"/>
            <w:vAlign w:val="bottom"/>
          </w:tcPr>
          <w:p>
            <w:pPr>
              <w:jc w:val="center"/>
              <w:spacing w:after="0"/>
              <w:rPr>
                <w:sz w:val="20"/>
                <w:szCs w:val="20"/>
                <w:color w:val="auto"/>
              </w:rPr>
            </w:pPr>
            <w:r>
              <w:rPr>
                <w:rFonts w:ascii="Arial" w:cs="Arial" w:eastAsia="Arial" w:hAnsi="Arial"/>
                <w:sz w:val="18"/>
                <w:szCs w:val="18"/>
                <w:b w:val="1"/>
                <w:bCs w:val="1"/>
                <w:color w:val="auto"/>
                <w:w w:val="91"/>
              </w:rPr>
              <w:t>Aviv Avidan-Shalit, Adv.</w:t>
            </w:r>
          </w:p>
        </w:tc>
      </w:tr>
      <w:tr>
        <w:trPr>
          <w:trHeight w:val="216"/>
        </w:trPr>
        <w:tc>
          <w:tcPr>
            <w:tcW w:w="570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Chief Financial Officer</w:t>
            </w:r>
          </w:p>
        </w:tc>
        <w:tc>
          <w:tcPr>
            <w:tcW w:w="5540" w:type="dxa"/>
            <w:vAlign w:val="bottom"/>
          </w:tcPr>
          <w:p>
            <w:pPr>
              <w:jc w:val="center"/>
              <w:spacing w:after="0"/>
              <w:rPr>
                <w:sz w:val="20"/>
                <w:szCs w:val="20"/>
                <w:color w:val="auto"/>
              </w:rPr>
            </w:pPr>
            <w:r>
              <w:rPr>
                <w:rFonts w:ascii="Arial" w:cs="Arial" w:eastAsia="Arial" w:hAnsi="Arial"/>
                <w:sz w:val="18"/>
                <w:szCs w:val="18"/>
                <w:b w:val="1"/>
                <w:bCs w:val="1"/>
                <w:color w:val="auto"/>
                <w:w w:val="92"/>
              </w:rPr>
              <w:t>Jonathan M. Nathan, Adv.</w:t>
            </w:r>
          </w:p>
        </w:tc>
      </w:tr>
      <w:tr>
        <w:trPr>
          <w:trHeight w:val="216"/>
        </w:trPr>
        <w:tc>
          <w:tcPr>
            <w:tcW w:w="5700" w:type="dxa"/>
            <w:vAlign w:val="bottom"/>
          </w:tcPr>
          <w:p>
            <w:pPr>
              <w:jc w:val="center"/>
              <w:ind w:right="90"/>
              <w:spacing w:after="0"/>
              <w:rPr>
                <w:sz w:val="20"/>
                <w:szCs w:val="20"/>
                <w:color w:val="auto"/>
              </w:rPr>
            </w:pPr>
            <w:r>
              <w:rPr>
                <w:rFonts w:ascii="Arial" w:cs="Arial" w:eastAsia="Arial" w:hAnsi="Arial"/>
                <w:sz w:val="18"/>
                <w:szCs w:val="18"/>
                <w:b w:val="1"/>
                <w:bCs w:val="1"/>
                <w:color w:val="auto"/>
                <w:w w:val="95"/>
              </w:rPr>
              <w:t>Kornit Digital Ltd.</w:t>
            </w:r>
          </w:p>
        </w:tc>
        <w:tc>
          <w:tcPr>
            <w:tcW w:w="5540" w:type="dxa"/>
            <w:vAlign w:val="bottom"/>
          </w:tcPr>
          <w:p>
            <w:pPr>
              <w:jc w:val="center"/>
              <w:spacing w:after="0"/>
              <w:rPr>
                <w:sz w:val="20"/>
                <w:szCs w:val="20"/>
                <w:color w:val="auto"/>
              </w:rPr>
            </w:pPr>
            <w:r>
              <w:rPr>
                <w:rFonts w:ascii="Arial" w:cs="Arial" w:eastAsia="Arial" w:hAnsi="Arial"/>
                <w:sz w:val="18"/>
                <w:szCs w:val="18"/>
                <w:b w:val="1"/>
                <w:bCs w:val="1"/>
                <w:color w:val="auto"/>
                <w:w w:val="93"/>
              </w:rPr>
              <w:t>Meitar | Law Offices</w:t>
            </w:r>
          </w:p>
        </w:tc>
      </w:tr>
      <w:tr>
        <w:trPr>
          <w:trHeight w:val="216"/>
        </w:trPr>
        <w:tc>
          <w:tcPr>
            <w:tcW w:w="570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12 Ha’ Amal Street, Afek Park,</w:t>
            </w:r>
          </w:p>
        </w:tc>
        <w:tc>
          <w:tcPr>
            <w:tcW w:w="5540" w:type="dxa"/>
            <w:vAlign w:val="bottom"/>
          </w:tcPr>
          <w:p>
            <w:pPr>
              <w:jc w:val="center"/>
              <w:spacing w:after="0"/>
              <w:rPr>
                <w:sz w:val="20"/>
                <w:szCs w:val="20"/>
                <w:color w:val="auto"/>
              </w:rPr>
            </w:pPr>
            <w:r>
              <w:rPr>
                <w:rFonts w:ascii="Arial" w:cs="Arial" w:eastAsia="Arial" w:hAnsi="Arial"/>
                <w:sz w:val="18"/>
                <w:szCs w:val="18"/>
                <w:b w:val="1"/>
                <w:bCs w:val="1"/>
                <w:color w:val="auto"/>
                <w:w w:val="93"/>
              </w:rPr>
              <w:t>16 Abba Hillel Silver Rd.</w:t>
            </w:r>
          </w:p>
        </w:tc>
      </w:tr>
      <w:tr>
        <w:trPr>
          <w:trHeight w:val="216"/>
        </w:trPr>
        <w:tc>
          <w:tcPr>
            <w:tcW w:w="570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Rosh-Ha’Ayin 4809246, Israel</w:t>
            </w:r>
          </w:p>
        </w:tc>
        <w:tc>
          <w:tcPr>
            <w:tcW w:w="5540" w:type="dxa"/>
            <w:vAlign w:val="bottom"/>
          </w:tcPr>
          <w:p>
            <w:pPr>
              <w:jc w:val="center"/>
              <w:spacing w:after="0"/>
              <w:rPr>
                <w:sz w:val="20"/>
                <w:szCs w:val="20"/>
                <w:color w:val="auto"/>
              </w:rPr>
            </w:pPr>
            <w:r>
              <w:rPr>
                <w:rFonts w:ascii="Arial" w:cs="Arial" w:eastAsia="Arial" w:hAnsi="Arial"/>
                <w:sz w:val="18"/>
                <w:szCs w:val="18"/>
                <w:b w:val="1"/>
                <w:bCs w:val="1"/>
                <w:color w:val="auto"/>
                <w:w w:val="92"/>
              </w:rPr>
              <w:t>Ramat Gan 5250608, Israel</w:t>
            </w:r>
          </w:p>
        </w:tc>
      </w:tr>
      <w:tr>
        <w:trPr>
          <w:trHeight w:val="216"/>
        </w:trPr>
        <w:tc>
          <w:tcPr>
            <w:tcW w:w="570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Tel: +972-3-908-5800</w:t>
            </w:r>
          </w:p>
        </w:tc>
        <w:tc>
          <w:tcPr>
            <w:tcW w:w="5540" w:type="dxa"/>
            <w:vAlign w:val="bottom"/>
          </w:tcPr>
          <w:p>
            <w:pPr>
              <w:jc w:val="center"/>
              <w:spacing w:after="0"/>
              <w:rPr>
                <w:sz w:val="20"/>
                <w:szCs w:val="20"/>
                <w:color w:val="auto"/>
              </w:rPr>
            </w:pPr>
            <w:r>
              <w:rPr>
                <w:rFonts w:ascii="Arial" w:cs="Arial" w:eastAsia="Arial" w:hAnsi="Arial"/>
                <w:sz w:val="18"/>
                <w:szCs w:val="18"/>
                <w:b w:val="1"/>
                <w:bCs w:val="1"/>
                <w:color w:val="auto"/>
                <w:w w:val="92"/>
              </w:rPr>
              <w:t>Tel: +972-3-610-3100</w:t>
            </w:r>
          </w:p>
        </w:tc>
      </w:tr>
      <w:tr>
        <w:trPr>
          <w:trHeight w:val="234"/>
        </w:trPr>
        <w:tc>
          <w:tcPr>
            <w:tcW w:w="570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Fax: +972-3-908-0280</w:t>
            </w:r>
          </w:p>
        </w:tc>
        <w:tc>
          <w:tcPr>
            <w:tcW w:w="5540" w:type="dxa"/>
            <w:vAlign w:val="bottom"/>
          </w:tcPr>
          <w:p>
            <w:pPr>
              <w:jc w:val="center"/>
              <w:spacing w:after="0"/>
              <w:rPr>
                <w:sz w:val="20"/>
                <w:szCs w:val="20"/>
                <w:color w:val="auto"/>
              </w:rPr>
            </w:pPr>
            <w:r>
              <w:rPr>
                <w:rFonts w:ascii="Arial" w:cs="Arial" w:eastAsia="Arial" w:hAnsi="Arial"/>
                <w:sz w:val="18"/>
                <w:szCs w:val="18"/>
                <w:b w:val="1"/>
                <w:bCs w:val="1"/>
                <w:color w:val="auto"/>
                <w:w w:val="91"/>
              </w:rPr>
              <w:t>Fax: +972-3-610-3111</w:t>
            </w:r>
          </w:p>
        </w:tc>
      </w:tr>
      <w:tr>
        <w:trPr>
          <w:trHeight w:val="216"/>
        </w:trPr>
        <w:tc>
          <w:tcPr>
            <w:tcW w:w="5700" w:type="dxa"/>
            <w:vAlign w:val="bottom"/>
            <w:tcBorders>
              <w:bottom w:val="single" w:sz="8" w:color="auto"/>
            </w:tcBorders>
          </w:tcPr>
          <w:p>
            <w:pPr>
              <w:spacing w:after="0"/>
              <w:rPr>
                <w:sz w:val="18"/>
                <w:szCs w:val="18"/>
                <w:color w:val="auto"/>
              </w:rPr>
            </w:pPr>
          </w:p>
        </w:tc>
        <w:tc>
          <w:tcPr>
            <w:tcW w:w="5540" w:type="dxa"/>
            <w:vAlign w:val="bottom"/>
            <w:tcBorders>
              <w:bottom w:val="single" w:sz="8" w:color="auto"/>
            </w:tcBorders>
          </w:tcPr>
          <w:p>
            <w:pPr>
              <w:spacing w:after="0"/>
              <w:rPr>
                <w:sz w:val="18"/>
                <w:szCs w:val="18"/>
                <w:color w:val="auto"/>
              </w:rPr>
            </w:pPr>
          </w:p>
        </w:tc>
      </w:tr>
      <w:tr>
        <w:trPr>
          <w:trHeight w:val="28"/>
        </w:trPr>
        <w:tc>
          <w:tcPr>
            <w:tcW w:w="5700" w:type="dxa"/>
            <w:vAlign w:val="bottom"/>
            <w:tcBorders>
              <w:bottom w:val="single" w:sz="8" w:color="auto"/>
            </w:tcBorders>
          </w:tcPr>
          <w:p>
            <w:pPr>
              <w:spacing w:after="0"/>
              <w:rPr>
                <w:sz w:val="2"/>
                <w:szCs w:val="2"/>
                <w:color w:val="auto"/>
              </w:rPr>
            </w:pPr>
          </w:p>
        </w:tc>
        <w:tc>
          <w:tcPr>
            <w:tcW w:w="5540" w:type="dxa"/>
            <w:vAlign w:val="bottom"/>
            <w:tcBorders>
              <w:bottom w:val="single" w:sz="8" w:color="auto"/>
            </w:tcBorders>
          </w:tcPr>
          <w:p>
            <w:pPr>
              <w:spacing w:after="0"/>
              <w:rPr>
                <w:sz w:val="2"/>
                <w:szCs w:val="2"/>
                <w:color w:val="auto"/>
              </w:rPr>
            </w:pPr>
          </w:p>
        </w:tc>
      </w:tr>
      <w:tr>
        <w:trPr>
          <w:trHeight w:val="682"/>
        </w:trPr>
        <w:tc>
          <w:tcPr>
            <w:tcW w:w="5700" w:type="dxa"/>
            <w:vAlign w:val="bottom"/>
            <w:tcBorders>
              <w:bottom w:val="single" w:sz="8" w:color="auto"/>
            </w:tcBorders>
          </w:tcPr>
          <w:p>
            <w:pPr>
              <w:spacing w:after="0"/>
              <w:rPr>
                <w:sz w:val="24"/>
                <w:szCs w:val="24"/>
                <w:color w:val="auto"/>
              </w:rPr>
            </w:pPr>
          </w:p>
        </w:tc>
        <w:tc>
          <w:tcPr>
            <w:tcW w:w="55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1" w:name="page2"/>
    <w:bookmarkEnd w:id="1"/>
    <w:p>
      <w:pPr>
        <w:jc w:val="center"/>
        <w:ind w:right="-99"/>
        <w:spacing w:after="0"/>
        <w:rPr>
          <w:sz w:val="20"/>
          <w:szCs w:val="20"/>
          <w:color w:val="auto"/>
        </w:rPr>
      </w:pPr>
      <w:r>
        <w:rPr>
          <w:rFonts w:ascii="Arial" w:cs="Arial" w:eastAsia="Arial" w:hAnsi="Arial"/>
          <w:sz w:val="18"/>
          <w:szCs w:val="18"/>
          <w:b w:val="1"/>
          <w:bCs w:val="1"/>
          <w:color w:val="auto"/>
        </w:rPr>
        <w:t>EXPLANATORY NOTE</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Kornit Digital Ltd. (the “</w:t>
      </w:r>
      <w:r>
        <w:rPr>
          <w:rFonts w:ascii="Arial" w:cs="Arial" w:eastAsia="Arial" w:hAnsi="Arial"/>
          <w:sz w:val="18"/>
          <w:szCs w:val="18"/>
          <w:b w:val="1"/>
          <w:bCs w:val="1"/>
          <w:color w:val="auto"/>
        </w:rPr>
        <w:t>Registrant</w:t>
      </w:r>
      <w:r>
        <w:rPr>
          <w:rFonts w:ascii="Arial" w:cs="Arial" w:eastAsia="Arial" w:hAnsi="Arial"/>
          <w:sz w:val="18"/>
          <w:szCs w:val="18"/>
          <w:color w:val="auto"/>
        </w:rPr>
        <w:t>”) is filing this Registration Statement (this “</w:t>
      </w:r>
      <w:r>
        <w:rPr>
          <w:rFonts w:ascii="Arial" w:cs="Arial" w:eastAsia="Arial" w:hAnsi="Arial"/>
          <w:sz w:val="18"/>
          <w:szCs w:val="18"/>
          <w:b w:val="1"/>
          <w:bCs w:val="1"/>
          <w:color w:val="auto"/>
        </w:rPr>
        <w:t>Registration Statement</w:t>
      </w:r>
      <w:r>
        <w:rPr>
          <w:rFonts w:ascii="Arial" w:cs="Arial" w:eastAsia="Arial" w:hAnsi="Arial"/>
          <w:sz w:val="18"/>
          <w:szCs w:val="18"/>
          <w:color w:val="auto"/>
        </w:rPr>
        <w:t>”) to register the offer, issuance and sale of an additional 1,488,107 ordinary shares, par value NIS 0.01 per share, of the Registrant (“</w:t>
      </w:r>
      <w:r>
        <w:rPr>
          <w:rFonts w:ascii="Arial" w:cs="Arial" w:eastAsia="Arial" w:hAnsi="Arial"/>
          <w:sz w:val="18"/>
          <w:szCs w:val="18"/>
          <w:b w:val="1"/>
          <w:bCs w:val="1"/>
          <w:color w:val="auto"/>
        </w:rPr>
        <w:t>ordinary shares</w:t>
      </w:r>
      <w:r>
        <w:rPr>
          <w:rFonts w:ascii="Arial" w:cs="Arial" w:eastAsia="Arial" w:hAnsi="Arial"/>
          <w:sz w:val="18"/>
          <w:szCs w:val="18"/>
          <w:color w:val="auto"/>
        </w:rPr>
        <w:t>”), issuable pursuant to the Registrant’s 2015 Incentive Compensation Plan.</w:t>
      </w:r>
    </w:p>
    <w:p>
      <w:pPr>
        <w:spacing w:after="0" w:line="180"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Pursuant to Instruction E of Form S-8, the contents of the Registrant’s registration statements on Form S-8 (File No.’s 333-203970, 333-214015, 333-217039, 333-223794, 333-230567, 333-237346 and 333-254749) filed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on May 7, 2015, October 6, 2016, March 30, 2017, March 20, 2018, March 28, 2019, March 23, 2020, and March 25, 2021, respectively, are incorporated herein by reference, and the information required by Part II is omitted, except as supplemented by the information set forth below.</w:t>
      </w:r>
    </w:p>
    <w:p>
      <w:pPr>
        <w:spacing w:after="0" w:line="37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Plan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Registrant Information and Employee Plan Annual Information*</w:t>
      </w:r>
    </w:p>
    <w:p>
      <w:pPr>
        <w:spacing w:after="0" w:line="229" w:lineRule="exact"/>
        <w:rPr>
          <w:sz w:val="20"/>
          <w:szCs w:val="20"/>
          <w:color w:val="auto"/>
        </w:rPr>
      </w:pPr>
    </w:p>
    <w:p>
      <w:pPr>
        <w:ind w:firstLine="656"/>
        <w:spacing w:after="0" w:line="289" w:lineRule="auto"/>
        <w:tabs>
          <w:tab w:leader="none" w:pos="783"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documents containing the information specified in this Part I of Form S-8 (plan information and registration information and employee plan annual information) will be sent or given to employees as specified by the Commission pursuant to Rule 428(b)(1) of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Such documents are not required to be and are not filed with the Commission either as part of this Registration Statement or as prospectuses or prospectus supplements pursuant to Rule 424 under the Securities Act. Those documents and the documents incorporated by reference in this Registration Statement pursuant to Item 3 of Part II hereof, taken together, constitute a prospectus that meets the requirements of Section 10(a) of the Securities Act. The Registrant will provide a written statement to participants advising them of the availability without charge, upon written or oral request, of the documents incorporated by reference in Item 3 of Part II hereof and including the statement in the preceding sentence. The written statement to all participants will indicate the availability without charge, upon written or oral request, of other documents required to be delivered pursuant to Rule 428(b), and will include the address and telephone number to which the request is to be directed.</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documents filed by the Registrant are incorporated herein by reference:</w:t>
      </w:r>
    </w:p>
    <w:p>
      <w:pPr>
        <w:spacing w:after="0" w:line="225" w:lineRule="exact"/>
        <w:rPr>
          <w:sz w:val="20"/>
          <w:szCs w:val="20"/>
          <w:color w:val="auto"/>
        </w:rPr>
      </w:pPr>
    </w:p>
    <w:p>
      <w:pPr>
        <w:ind w:left="980" w:right="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Registrant’s annual report on </w:t>
      </w:r>
      <w:hyperlink r:id="rId12">
        <w:r>
          <w:rPr>
            <w:rFonts w:ascii="Arial" w:cs="Arial" w:eastAsia="Arial" w:hAnsi="Arial"/>
            <w:sz w:val="18"/>
            <w:szCs w:val="18"/>
            <w:u w:val="single" w:color="auto"/>
            <w:color w:val="0000EE"/>
          </w:rPr>
          <w:t>Form 20-F</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December 31, 2021, filed with the Commission on March 30, 2022 (the “</w:t>
      </w:r>
      <w:r>
        <w:rPr>
          <w:rFonts w:ascii="Arial" w:cs="Arial" w:eastAsia="Arial" w:hAnsi="Arial"/>
          <w:sz w:val="18"/>
          <w:szCs w:val="18"/>
          <w:b w:val="1"/>
          <w:bCs w:val="1"/>
          <w:color w:val="auto"/>
        </w:rPr>
        <w:t>2021 Form 20-F</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jc w:val="both"/>
        <w:ind w:left="980" w:right="240" w:hanging="324"/>
        <w:spacing w:after="0" w:line="263"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description of the Registrant’s ordinary shares contained in (a) Item 1 of the Registration Statement on </w:t>
      </w:r>
      <w:hyperlink r:id="rId13">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(File No. 001-36903) filed with the Commission on March 31, 2015, as updated by (b) </w:t>
      </w:r>
      <w:hyperlink r:id="rId14">
        <w:r>
          <w:rPr>
            <w:rFonts w:ascii="Arial" w:cs="Arial" w:eastAsia="Arial" w:hAnsi="Arial"/>
            <w:sz w:val="18"/>
            <w:szCs w:val="18"/>
            <w:u w:val="single" w:color="auto"/>
            <w:color w:val="0000EE"/>
          </w:rPr>
          <w:t>Exhibit 2.2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2021 Form 20-F, and any amendment or report filed for the purpose of further updating that description.</w:t>
      </w:r>
    </w:p>
    <w:p>
      <w:pPr>
        <w:spacing w:after="0" w:line="184" w:lineRule="exact"/>
        <w:rPr>
          <w:rFonts w:ascii="Arial" w:cs="Arial" w:eastAsia="Arial" w:hAnsi="Arial"/>
          <w:sz w:val="18"/>
          <w:szCs w:val="18"/>
          <w:color w:val="auto"/>
        </w:rPr>
      </w:pPr>
    </w:p>
    <w:p>
      <w:pPr>
        <w:ind w:firstLine="648"/>
        <w:spacing w:after="0" w:line="254" w:lineRule="auto"/>
        <w:rPr>
          <w:sz w:val="20"/>
          <w:szCs w:val="20"/>
          <w:color w:val="auto"/>
        </w:rPr>
      </w:pPr>
      <w:r>
        <w:rPr>
          <w:rFonts w:ascii="Arial" w:cs="Arial" w:eastAsia="Arial" w:hAnsi="Arial"/>
          <w:sz w:val="18"/>
          <w:szCs w:val="18"/>
          <w:color w:val="auto"/>
        </w:rPr>
        <w:t>In addition to the foregoing, all documents subsequently filed by the Registrant pursuant to Sections 13(a), 13(c), 14 or 15(d) of the Securities Exchange Act of 1934, as amended, prior to the filing of a post-effective amendment indicating that all securities offered hereby have been sold or deregistering all securities then remaining unsold, shall be deemed to be incorporated by reference in this Registration Statement and to be a part hereof from the date of filing of such documents. Any statement contained herein or in a document all or a portion of which is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200" w:lineRule="exact"/>
        <w:rPr>
          <w:rFonts w:ascii="Arial" w:cs="Arial" w:eastAsia="Arial" w:hAnsi="Arial"/>
          <w:sz w:val="18"/>
          <w:szCs w:val="18"/>
          <w:color w:val="auto"/>
        </w:rPr>
      </w:pPr>
    </w:p>
    <w:p>
      <w:pPr>
        <w:spacing w:after="0" w:line="208"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w w:val="92"/>
              </w:rPr>
              <w:t>Item 8. Exhibits</w:t>
            </w:r>
          </w:p>
        </w:tc>
        <w:tc>
          <w:tcPr>
            <w:tcW w:w="4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gridSpan w:val="11"/>
          </w:tcPr>
          <w:p>
            <w:pPr>
              <w:ind w:left="3680"/>
              <w:spacing w:after="0"/>
              <w:rPr>
                <w:sz w:val="20"/>
                <w:szCs w:val="20"/>
                <w:color w:val="auto"/>
              </w:rPr>
            </w:pPr>
            <w:r>
              <w:rPr>
                <w:rFonts w:ascii="Arial" w:cs="Arial" w:eastAsia="Arial" w:hAnsi="Arial"/>
                <w:sz w:val="18"/>
                <w:szCs w:val="18"/>
                <w:b w:val="1"/>
                <w:bCs w:val="1"/>
                <w:color w:val="auto"/>
              </w:rPr>
              <w:t>EXHIBIT INDEX</w:t>
            </w:r>
          </w:p>
        </w:tc>
      </w:tr>
      <w:tr>
        <w:trPr>
          <w:trHeight w:val="466"/>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4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580" w:type="dxa"/>
            <w:vAlign w:val="bottom"/>
            <w:gridSpan w:val="9"/>
          </w:tcPr>
          <w:p>
            <w:pPr>
              <w:ind w:left="140"/>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1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5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5"/>
                <w:szCs w:val="15"/>
                <w:color w:val="auto"/>
              </w:rPr>
            </w:pPr>
          </w:p>
        </w:tc>
        <w:tc>
          <w:tcPr>
            <w:tcW w:w="10000" w:type="dxa"/>
            <w:vAlign w:val="bottom"/>
            <w:gridSpan w:val="11"/>
            <w:shd w:val="clear" w:color="auto" w:fill="CCEEFF"/>
          </w:tcPr>
          <w:p>
            <w:pPr>
              <w:ind w:left="20"/>
              <w:spacing w:after="0" w:line="176" w:lineRule="exact"/>
              <w:rPr>
                <w:rFonts w:ascii="Arial" w:cs="Arial" w:eastAsia="Arial" w:hAnsi="Arial"/>
                <w:sz w:val="18"/>
                <w:szCs w:val="18"/>
                <w:color w:val="0000EE"/>
              </w:rPr>
            </w:pPr>
            <w:hyperlink r:id="rId16">
              <w:r>
                <w:rPr>
                  <w:rFonts w:ascii="Arial" w:cs="Arial" w:eastAsia="Arial" w:hAnsi="Arial"/>
                  <w:sz w:val="18"/>
                  <w:szCs w:val="18"/>
                  <w:color w:val="0000EE"/>
                </w:rPr>
                <w:t>Kornit Digital Ltd. 2015 Incentive Compensation Plan (incorporated by reference to Exhibit 10.21 to Amendment No. 3 to the</w:t>
              </w:r>
            </w:hyperlink>
          </w:p>
        </w:tc>
      </w:tr>
      <w:tr>
        <w:trPr>
          <w:trHeight w:val="196"/>
        </w:trPr>
        <w:tc>
          <w:tcPr>
            <w:tcW w:w="1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100" w:type="dxa"/>
            <w:vAlign w:val="bottom"/>
            <w:tcBorders>
              <w:top w:val="single" w:sz="8" w:color="0000EE"/>
            </w:tcBorders>
            <w:gridSpan w:val="7"/>
            <w:shd w:val="clear" w:color="auto" w:fill="CCEEFF"/>
          </w:tcPr>
          <w:p>
            <w:pPr>
              <w:ind w:left="20"/>
              <w:spacing w:after="0" w:line="196" w:lineRule="exact"/>
              <w:rPr>
                <w:rFonts w:ascii="Arial" w:cs="Arial" w:eastAsia="Arial" w:hAnsi="Arial"/>
                <w:sz w:val="18"/>
                <w:szCs w:val="18"/>
                <w:color w:val="0000EE"/>
                <w:w w:val="92"/>
              </w:rPr>
            </w:pPr>
            <w:hyperlink r:id="rId16">
              <w:r>
                <w:rPr>
                  <w:rFonts w:ascii="Arial" w:cs="Arial" w:eastAsia="Arial" w:hAnsi="Arial"/>
                  <w:sz w:val="18"/>
                  <w:szCs w:val="18"/>
                  <w:color w:val="0000EE"/>
                  <w:w w:val="92"/>
                </w:rPr>
                <w:t>Registrant’s registration statement on Form F-1 (SEC File No. 333-202291), filed with the Commission on March 18, 2015)</w:t>
              </w:r>
            </w:hyperlink>
          </w:p>
        </w:tc>
        <w:tc>
          <w:tcPr>
            <w:tcW w:w="900" w:type="dxa"/>
            <w:vAlign w:val="bottom"/>
            <w:tcBorders>
              <w:top w:val="single" w:sz="8" w:color="CCEEFF"/>
            </w:tcBorders>
            <w:gridSpan w:val="4"/>
            <w:shd w:val="clear" w:color="auto" w:fill="CCEEFF"/>
          </w:tcPr>
          <w:p>
            <w:pPr>
              <w:spacing w:after="0"/>
              <w:rPr>
                <w:sz w:val="17"/>
                <w:szCs w:val="17"/>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5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Arial" w:cs="Arial" w:eastAsia="Arial" w:hAnsi="Arial"/>
                <w:sz w:val="18"/>
                <w:szCs w:val="18"/>
                <w:color w:val="auto"/>
              </w:rPr>
              <w:t>4.2</w:t>
            </w:r>
          </w:p>
        </w:tc>
        <w:tc>
          <w:tcPr>
            <w:tcW w:w="100" w:type="dxa"/>
            <w:vAlign w:val="bottom"/>
          </w:tcPr>
          <w:p>
            <w:pPr>
              <w:spacing w:after="0"/>
              <w:rPr>
                <w:sz w:val="15"/>
                <w:szCs w:val="15"/>
                <w:color w:val="auto"/>
              </w:rPr>
            </w:pPr>
          </w:p>
        </w:tc>
        <w:tc>
          <w:tcPr>
            <w:tcW w:w="10000" w:type="dxa"/>
            <w:vAlign w:val="bottom"/>
            <w:gridSpan w:val="11"/>
          </w:tcPr>
          <w:p>
            <w:pPr>
              <w:ind w:left="20"/>
              <w:spacing w:after="0" w:line="176" w:lineRule="exact"/>
              <w:rPr>
                <w:rFonts w:ascii="Arial" w:cs="Arial" w:eastAsia="Arial" w:hAnsi="Arial"/>
                <w:sz w:val="18"/>
                <w:szCs w:val="18"/>
                <w:color w:val="0000EE"/>
                <w:w w:val="91"/>
              </w:rPr>
            </w:pPr>
            <w:hyperlink r:id="rId17">
              <w:r>
                <w:rPr>
                  <w:rFonts w:ascii="Arial" w:cs="Arial" w:eastAsia="Arial" w:hAnsi="Arial"/>
                  <w:sz w:val="18"/>
                  <w:szCs w:val="18"/>
                  <w:color w:val="0000EE"/>
                  <w:w w:val="91"/>
                </w:rPr>
                <w:t>Articles of Association of the Registrant (incorporated by reference to Exhibit 99.1 to the Registrant’s Report of Foreign Private Issuer on</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20" w:type="dxa"/>
            <w:vAlign w:val="bottom"/>
            <w:tcBorders>
              <w:top w:val="single" w:sz="8" w:color="0000EE"/>
            </w:tcBorders>
            <w:gridSpan w:val="10"/>
          </w:tcPr>
          <w:p>
            <w:pPr>
              <w:ind w:left="20"/>
              <w:spacing w:after="0" w:line="196" w:lineRule="exact"/>
              <w:rPr>
                <w:rFonts w:ascii="Arial" w:cs="Arial" w:eastAsia="Arial" w:hAnsi="Arial"/>
                <w:sz w:val="18"/>
                <w:szCs w:val="18"/>
                <w:color w:val="0000EE"/>
              </w:rPr>
            </w:pPr>
            <w:hyperlink r:id="rId17">
              <w:r>
                <w:rPr>
                  <w:rFonts w:ascii="Arial" w:cs="Arial" w:eastAsia="Arial" w:hAnsi="Arial"/>
                  <w:sz w:val="18"/>
                  <w:szCs w:val="18"/>
                  <w:color w:val="0000EE"/>
                </w:rPr>
                <w:t>Form 6-K, furnished to the Commission on August 12, 2021)</w:t>
              </w:r>
            </w:hyperlink>
          </w:p>
        </w:tc>
        <w:tc>
          <w:tcPr>
            <w:tcW w:w="80" w:type="dxa"/>
            <w:vAlign w:val="bottom"/>
          </w:tcPr>
          <w:p>
            <w:pPr>
              <w:spacing w:after="0"/>
              <w:rPr>
                <w:sz w:val="17"/>
                <w:szCs w:val="17"/>
                <w:color w:val="auto"/>
              </w:rPr>
            </w:pPr>
          </w:p>
        </w:tc>
      </w:tr>
      <w:tr>
        <w:trPr>
          <w:trHeight w:val="21"/>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5"/>
                <w:szCs w:val="15"/>
                <w:color w:val="auto"/>
              </w:rPr>
            </w:pPr>
          </w:p>
        </w:tc>
        <w:tc>
          <w:tcPr>
            <w:tcW w:w="10000" w:type="dxa"/>
            <w:vAlign w:val="bottom"/>
            <w:gridSpan w:val="11"/>
            <w:shd w:val="clear" w:color="auto" w:fill="CCEEFF"/>
          </w:tcPr>
          <w:p>
            <w:pPr>
              <w:ind w:left="20"/>
              <w:spacing w:after="0" w:line="176" w:lineRule="exact"/>
              <w:rPr>
                <w:rFonts w:ascii="Arial" w:cs="Arial" w:eastAsia="Arial" w:hAnsi="Arial"/>
                <w:sz w:val="18"/>
                <w:szCs w:val="18"/>
                <w:color w:val="0000EE"/>
                <w:w w:val="91"/>
              </w:rPr>
            </w:pPr>
            <w:hyperlink r:id="rId18">
              <w:r>
                <w:rPr>
                  <w:rFonts w:ascii="Arial" w:cs="Arial" w:eastAsia="Arial" w:hAnsi="Arial"/>
                  <w:sz w:val="18"/>
                  <w:szCs w:val="18"/>
                  <w:color w:val="0000EE"/>
                  <w:w w:val="91"/>
                </w:rPr>
                <w:t>Specimen ordinary share certificate of the Registrant (incorporated by reference to Exhibit 4.1 to the Registration Statement on Form F-1</w:t>
              </w:r>
            </w:hyperlink>
          </w:p>
        </w:tc>
      </w:tr>
      <w:tr>
        <w:trPr>
          <w:trHeight w:val="217"/>
        </w:trPr>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360" w:type="dxa"/>
            <w:vAlign w:val="bottom"/>
            <w:tcBorders>
              <w:top w:val="single" w:sz="8" w:color="0000EE"/>
              <w:bottom w:val="single" w:sz="8" w:color="0000EE"/>
            </w:tcBorders>
            <w:gridSpan w:val="4"/>
            <w:shd w:val="clear" w:color="auto" w:fill="CCEEFF"/>
          </w:tcPr>
          <w:p>
            <w:pPr>
              <w:ind w:left="20"/>
              <w:spacing w:after="0" w:line="196" w:lineRule="exact"/>
              <w:rPr>
                <w:rFonts w:ascii="Arial" w:cs="Arial" w:eastAsia="Arial" w:hAnsi="Arial"/>
                <w:sz w:val="18"/>
                <w:szCs w:val="18"/>
                <w:color w:val="0000EE"/>
                <w:w w:val="91"/>
              </w:rPr>
            </w:pPr>
            <w:hyperlink r:id="rId18">
              <w:r>
                <w:rPr>
                  <w:rFonts w:ascii="Arial" w:cs="Arial" w:eastAsia="Arial" w:hAnsi="Arial"/>
                  <w:sz w:val="18"/>
                  <w:szCs w:val="18"/>
                  <w:color w:val="0000EE"/>
                  <w:w w:val="91"/>
                </w:rPr>
                <w:t>of the Registrant (File No. 333-202291), filed with the Commission on March 10, 2015)</w:t>
              </w:r>
            </w:hyperlink>
          </w:p>
        </w:tc>
        <w:tc>
          <w:tcPr>
            <w:tcW w:w="3520" w:type="dxa"/>
            <w:vAlign w:val="bottom"/>
            <w:tcBorders>
              <w:top w:val="single" w:sz="8" w:color="0000EE"/>
              <w:bottom w:val="single" w:sz="8" w:color="CCEEFF"/>
            </w:tcBorders>
            <w:gridSpan w:val="4"/>
            <w:shd w:val="clear" w:color="auto" w:fill="CCEEFF"/>
          </w:tcPr>
          <w:p>
            <w:pPr>
              <w:spacing w:after="0"/>
              <w:rPr>
                <w:sz w:val="18"/>
                <w:szCs w:val="18"/>
                <w:color w:val="auto"/>
              </w:rPr>
            </w:pPr>
          </w:p>
        </w:tc>
        <w:tc>
          <w:tcPr>
            <w:tcW w:w="120" w:type="dxa"/>
            <w:vAlign w:val="bottom"/>
            <w:tcBorders>
              <w:top w:val="single" w:sz="8" w:color="CCEEFF"/>
              <w:bottom w:val="single" w:sz="8" w:color="CCEEFF"/>
            </w:tcBorders>
            <w:gridSpan w:val="3"/>
            <w:shd w:val="clear" w:color="auto" w:fill="CCEEFF"/>
          </w:tcPr>
          <w:p>
            <w:pPr>
              <w:spacing w:after="0"/>
              <w:rPr>
                <w:sz w:val="18"/>
                <w:szCs w:val="18"/>
                <w:color w:val="auto"/>
              </w:rPr>
            </w:pP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5.1</w:t>
            </w:r>
          </w:p>
        </w:tc>
        <w:tc>
          <w:tcPr>
            <w:tcW w:w="100" w:type="dxa"/>
            <w:vAlign w:val="bottom"/>
          </w:tcPr>
          <w:p>
            <w:pPr>
              <w:spacing w:after="0"/>
              <w:rPr>
                <w:sz w:val="15"/>
                <w:szCs w:val="15"/>
                <w:color w:val="auto"/>
              </w:rPr>
            </w:pPr>
          </w:p>
        </w:tc>
        <w:tc>
          <w:tcPr>
            <w:tcW w:w="10000" w:type="dxa"/>
            <w:vAlign w:val="bottom"/>
            <w:gridSpan w:val="11"/>
          </w:tcPr>
          <w:p>
            <w:pPr>
              <w:ind w:left="20"/>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Opinion of Meitar | Law Offices, Israeli counsel to the Registrant, as to the validity of the ordinary shares (including consent)</w:t>
              </w:r>
            </w:hyperlink>
          </w:p>
        </w:tc>
      </w:tr>
      <w:tr>
        <w:trPr>
          <w:trHeight w:val="21"/>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5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17"/>
                <w:szCs w:val="17"/>
                <w:color w:val="auto"/>
              </w:rPr>
            </w:pPr>
          </w:p>
        </w:tc>
        <w:tc>
          <w:tcPr>
            <w:tcW w:w="9900" w:type="dxa"/>
            <w:vAlign w:val="bottom"/>
            <w:tcBorders>
              <w:bottom w:val="single" w:sz="8" w:color="0000EE"/>
            </w:tcBorders>
            <w:gridSpan w:val="9"/>
            <w:shd w:val="clear" w:color="auto" w:fill="CCEEFF"/>
          </w:tcPr>
          <w:p>
            <w:pPr>
              <w:ind w:left="20"/>
              <w:spacing w:after="0" w:line="176" w:lineRule="exact"/>
              <w:rPr>
                <w:rFonts w:ascii="Arial" w:cs="Arial" w:eastAsia="Arial" w:hAnsi="Arial"/>
                <w:sz w:val="18"/>
                <w:szCs w:val="18"/>
                <w:color w:val="0000EE"/>
                <w:w w:val="90"/>
              </w:rPr>
            </w:pPr>
            <w:hyperlink w:anchor="page8">
              <w:r>
                <w:rPr>
                  <w:rFonts w:ascii="Arial" w:cs="Arial" w:eastAsia="Arial" w:hAnsi="Arial"/>
                  <w:sz w:val="18"/>
                  <w:szCs w:val="18"/>
                  <w:color w:val="0000EE"/>
                  <w:w w:val="90"/>
                </w:rPr>
                <w:t>Consent of Kost, Forer, Gabbay and Kasierer, a member firm of Ernst &amp; Young Global, an independent registered public accounting firm</w:t>
              </w:r>
            </w:hyperlink>
          </w:p>
        </w:tc>
        <w:tc>
          <w:tcPr>
            <w:tcW w:w="100" w:type="dxa"/>
            <w:vAlign w:val="bottom"/>
            <w:tcBorders>
              <w:bottom w:val="single" w:sz="8" w:color="CCEEFF"/>
            </w:tcBorders>
            <w:gridSpan w:val="2"/>
            <w:shd w:val="clear" w:color="auto" w:fill="CCEEFF"/>
          </w:tcPr>
          <w:p>
            <w:pPr>
              <w:spacing w:after="0"/>
              <w:rPr>
                <w:sz w:val="17"/>
                <w:szCs w:val="17"/>
                <w:color w:val="auto"/>
              </w:rPr>
            </w:pPr>
          </w:p>
        </w:tc>
      </w:tr>
      <w:tr>
        <w:trPr>
          <w:trHeight w:val="176"/>
        </w:trPr>
        <w:tc>
          <w:tcPr>
            <w:tcW w:w="1140" w:type="dxa"/>
            <w:vAlign w:val="bottom"/>
          </w:tcPr>
          <w:p>
            <w:pPr>
              <w:spacing w:after="0" w:line="176" w:lineRule="exact"/>
              <w:rPr>
                <w:sz w:val="20"/>
                <w:szCs w:val="20"/>
                <w:color w:val="auto"/>
              </w:rPr>
            </w:pPr>
            <w:r>
              <w:rPr>
                <w:rFonts w:ascii="Arial" w:cs="Arial" w:eastAsia="Arial" w:hAnsi="Arial"/>
                <w:sz w:val="18"/>
                <w:szCs w:val="18"/>
                <w:color w:val="auto"/>
              </w:rPr>
              <w:t>23.2</w:t>
            </w:r>
          </w:p>
        </w:tc>
        <w:tc>
          <w:tcPr>
            <w:tcW w:w="100" w:type="dxa"/>
            <w:vAlign w:val="bottom"/>
          </w:tcPr>
          <w:p>
            <w:pPr>
              <w:spacing w:after="0"/>
              <w:rPr>
                <w:sz w:val="15"/>
                <w:szCs w:val="15"/>
                <w:color w:val="auto"/>
              </w:rPr>
            </w:pPr>
          </w:p>
        </w:tc>
        <w:tc>
          <w:tcPr>
            <w:tcW w:w="10000" w:type="dxa"/>
            <w:vAlign w:val="bottom"/>
            <w:gridSpan w:val="11"/>
          </w:tcPr>
          <w:p>
            <w:pPr>
              <w:ind w:left="20"/>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Consent of Meitar | Law Offices (included in Exhibit 5.1)</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1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15"/>
                <w:szCs w:val="15"/>
                <w:color w:val="auto"/>
              </w:rPr>
            </w:pPr>
          </w:p>
        </w:tc>
        <w:tc>
          <w:tcPr>
            <w:tcW w:w="10000" w:type="dxa"/>
            <w:vAlign w:val="bottom"/>
            <w:gridSpan w:val="11"/>
            <w:shd w:val="clear" w:color="auto" w:fill="CCEEFF"/>
          </w:tcPr>
          <w:p>
            <w:pPr>
              <w:ind w:left="2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Power of Attorney (included in signature page to this Registration Statement)</w:t>
              </w:r>
            </w:hyperlink>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ind w:left="1260" w:hanging="1252"/>
        <w:spacing w:after="0"/>
        <w:tabs>
          <w:tab w:leader="none" w:pos="1260" w:val="left"/>
        </w:tabs>
        <w:numPr>
          <w:ilvl w:val="0"/>
          <w:numId w:val="3"/>
        </w:numPr>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Filing fee table</w:t>
        </w:r>
      </w:hyperlink>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Rosh Ha-Ayin, Israel on this 30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March, 2022.</w:t>
      </w:r>
    </w:p>
    <w:p>
      <w:pPr>
        <w:spacing w:after="0" w:line="47"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KORNIT DIGITAL LTD.</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Alon Rozner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Alon Rozner</w:t>
      </w:r>
    </w:p>
    <w:p>
      <w:pPr>
        <w:spacing w:after="0" w:line="36"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KNOW ALL MEN BY THESE PRESENTS that each person whose signature appears below hereby constitutes and appoints Ronen Samuel and Alon Rozner, and each of them severally, acting alone and without the other, his or her true and lawful attorneys-in-fact and agents, with full power to act separately and full power of substitution and resubstitution, for him or her and in his or her name, place and stead, in any and all capacities, to sign any and all amendments (including post-effective amendments) to this registration statement and all additional registration statements pursuant to Rule 462(b) of the Securities Act of 1933, as amended, and to file the same, with all exhibits thereto, and all other documents in connection therewith, with the Securities and Exchange Commission, granting unto each said attorney-in-fact and agent full power and authority to do and perform each and every act in person, hereby ratifying and confirming all that said attorneys-in-fact and agents or either of them or his or her or their substitute or substitutes may lawfully do or cause to be done by virtue hereof.</w:t>
      </w:r>
    </w:p>
    <w:p>
      <w:pPr>
        <w:spacing w:after="0" w:line="178"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and entity on March 30, 2022 in the capacities indicated:</w:t>
      </w:r>
    </w:p>
    <w:p>
      <w:pPr>
        <w:sectPr>
          <w:pgSz w:w="11900" w:h="16838" w:orient="portrait"/>
          <w:cols w:equalWidth="0" w:num="1">
            <w:col w:w="11240"/>
          </w:cols>
          <w:pgMar w:left="320" w:top="904" w:right="339" w:bottom="784" w:gutter="0" w:footer="0" w:header="0"/>
        </w:sectPr>
      </w:pPr>
    </w:p>
    <w:p>
      <w:pPr>
        <w:spacing w:after="0" w:line="166" w:lineRule="exact"/>
        <w:rPr>
          <w:sz w:val="20"/>
          <w:szCs w:val="20"/>
          <w:color w:val="auto"/>
        </w:rPr>
      </w:pPr>
    </w:p>
    <w:p>
      <w:pPr>
        <w:jc w:val="center"/>
        <w:ind w:left="440"/>
        <w:spacing w:after="0"/>
        <w:rPr>
          <w:sz w:val="20"/>
          <w:szCs w:val="20"/>
          <w:color w:val="auto"/>
        </w:rPr>
      </w:pPr>
      <w:r>
        <w:rPr>
          <w:rFonts w:ascii="Arial" w:cs="Arial" w:eastAsia="Arial" w:hAnsi="Arial"/>
          <w:sz w:val="18"/>
          <w:szCs w:val="18"/>
          <w:b w:val="1"/>
          <w:bCs w:val="1"/>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632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2863215" cy="17145"/>
                    </a:xfrm>
                    <a:prstGeom prst="rect">
                      <a:avLst/>
                    </a:prstGeom>
                    <a:noFill/>
                  </pic:spPr>
                </pic:pic>
              </a:graphicData>
            </a:graphic>
          </wp:anchor>
        </w:drawing>
      </w:r>
    </w:p>
    <w:p>
      <w:pPr>
        <w:spacing w:after="0" w:line="236"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/s/ Ronen Samuel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63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2863215" cy="17145"/>
                    </a:xfrm>
                    <a:prstGeom prst="rect">
                      <a:avLst/>
                    </a:prstGeom>
                    <a:noFill/>
                  </pic:spPr>
                </pic:pic>
              </a:graphicData>
            </a:graphic>
          </wp:anchor>
        </w:drawing>
      </w:r>
    </w:p>
    <w:p>
      <w:pPr>
        <w:spacing w:after="0" w:line="16"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Ronen Samuel</w:t>
      </w:r>
    </w:p>
    <w:p>
      <w:pPr>
        <w:spacing w:after="0" w:line="225"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/s/ Alon Rozner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63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2863215" cy="17145"/>
                    </a:xfrm>
                    <a:prstGeom prst="rect">
                      <a:avLst/>
                    </a:prstGeom>
                    <a:noFill/>
                  </pic:spPr>
                </pic:pic>
              </a:graphicData>
            </a:graphic>
          </wp:anchor>
        </w:drawing>
      </w:r>
    </w:p>
    <w:p>
      <w:pPr>
        <w:spacing w:after="0" w:line="16"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Alon Rozner</w:t>
      </w:r>
    </w:p>
    <w:p>
      <w:pPr>
        <w:spacing w:after="0" w:line="225"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/s/ Yuval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63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2863215" cy="17145"/>
                    </a:xfrm>
                    <a:prstGeom prst="rect">
                      <a:avLst/>
                    </a:prstGeom>
                    <a:noFill/>
                  </pic:spPr>
                </pic:pic>
              </a:graphicData>
            </a:graphic>
          </wp:anchor>
        </w:drawing>
      </w:r>
    </w:p>
    <w:p>
      <w:pPr>
        <w:spacing w:after="0" w:line="16"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Yuval Cohen</w:t>
      </w:r>
    </w:p>
    <w:p>
      <w:pPr>
        <w:spacing w:after="0" w:line="225"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/s/ Ofer Ben-Zur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63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2863215" cy="17145"/>
                    </a:xfrm>
                    <a:prstGeom prst="rect">
                      <a:avLst/>
                    </a:prstGeom>
                    <a:noFill/>
                  </pic:spPr>
                </pic:pic>
              </a:graphicData>
            </a:graphic>
          </wp:anchor>
        </w:drawing>
      </w:r>
    </w:p>
    <w:p>
      <w:pPr>
        <w:spacing w:after="0" w:line="16"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Ofer Ben-Zur</w:t>
      </w:r>
    </w:p>
    <w:p>
      <w:pPr>
        <w:spacing w:after="0" w:line="225"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/s/ Lauri Hanover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63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2863215" cy="17145"/>
                    </a:xfrm>
                    <a:prstGeom prst="rect">
                      <a:avLst/>
                    </a:prstGeom>
                    <a:noFill/>
                  </pic:spPr>
                </pic:pic>
              </a:graphicData>
            </a:graphic>
          </wp:anchor>
        </w:drawing>
      </w:r>
    </w:p>
    <w:p>
      <w:pPr>
        <w:spacing w:after="0" w:line="16"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Lauri Hanover</w:t>
      </w:r>
    </w:p>
    <w:p>
      <w:pPr>
        <w:spacing w:after="0" w:line="225"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/s/ Alon Lumbroso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63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2863215" cy="17145"/>
                    </a:xfrm>
                    <a:prstGeom prst="rect">
                      <a:avLst/>
                    </a:prstGeom>
                    <a:noFill/>
                  </pic:spPr>
                </pic:pic>
              </a:graphicData>
            </a:graphic>
          </wp:anchor>
        </w:drawing>
      </w:r>
    </w:p>
    <w:p>
      <w:pPr>
        <w:spacing w:after="0" w:line="16"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Alon Lumbroso</w:t>
      </w:r>
    </w:p>
    <w:p>
      <w:pPr>
        <w:spacing w:after="0" w:line="225"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/s/ Stephen Nigro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63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2863215" cy="17145"/>
                    </a:xfrm>
                    <a:prstGeom prst="rect">
                      <a:avLst/>
                    </a:prstGeom>
                    <a:noFill/>
                  </pic:spPr>
                </pic:pic>
              </a:graphicData>
            </a:graphic>
          </wp:anchor>
        </w:drawing>
      </w:r>
    </w:p>
    <w:p>
      <w:pPr>
        <w:spacing w:after="0" w:line="16"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Stephen Nigro</w:t>
      </w:r>
    </w:p>
    <w:p>
      <w:pPr>
        <w:spacing w:after="0" w:line="225"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/s/ Yehoshua (Shuki) Nir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63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2863215" cy="17145"/>
                    </a:xfrm>
                    <a:prstGeom prst="rect">
                      <a:avLst/>
                    </a:prstGeom>
                    <a:noFill/>
                  </pic:spPr>
                </pic:pic>
              </a:graphicData>
            </a:graphic>
          </wp:anchor>
        </w:drawing>
      </w:r>
    </w:p>
    <w:p>
      <w:pPr>
        <w:spacing w:after="0" w:line="16"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Yehoshua (Shuki) Nir</w:t>
      </w:r>
    </w:p>
    <w:p>
      <w:pPr>
        <w:spacing w:after="0" w:line="225"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/s/ Dov Ofer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63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2863215" cy="17145"/>
                    </a:xfrm>
                    <a:prstGeom prst="rect">
                      <a:avLst/>
                    </a:prstGeom>
                    <a:noFill/>
                  </pic:spPr>
                </pic:pic>
              </a:graphicData>
            </a:graphic>
          </wp:anchor>
        </w:drawing>
      </w:r>
    </w:p>
    <w:p>
      <w:pPr>
        <w:spacing w:after="0" w:line="16"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Dov Ofer</w:t>
      </w:r>
    </w:p>
    <w:p>
      <w:pPr>
        <w:spacing w:after="0" w:line="225"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/s/ Gabi Seligsohn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63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2863215" cy="17145"/>
                    </a:xfrm>
                    <a:prstGeom prst="rect">
                      <a:avLst/>
                    </a:prstGeom>
                    <a:noFill/>
                  </pic:spPr>
                </pic:pic>
              </a:graphicData>
            </a:graphic>
          </wp:anchor>
        </w:drawing>
      </w:r>
    </w:p>
    <w:p>
      <w:pPr>
        <w:spacing w:after="0" w:line="16"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Gabi Seligsohn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KORNIT DIGITAL NORTH AMERICA INC.</w:t>
      </w:r>
    </w:p>
    <w:p>
      <w:pPr>
        <w:spacing w:after="0" w:line="22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Chuck Meyo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Chuck Meyo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-130810</wp:posOffset>
            </wp:positionV>
            <wp:extent cx="250317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1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President</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17145</wp:posOffset>
            </wp:positionV>
            <wp:extent cx="420052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4200525" cy="1714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Chief Executive Officer and Director (Principal Executive Officer)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 (Principal Financial Officer and Principal Accounting Officer)</w:t>
      </w:r>
    </w:p>
    <w:p>
      <w:pPr>
        <w:spacing w:after="0" w:line="200" w:lineRule="exact"/>
        <w:rPr>
          <w:sz w:val="20"/>
          <w:szCs w:val="20"/>
          <w:color w:val="auto"/>
        </w:rPr>
      </w:pPr>
    </w:p>
    <w:p>
      <w:pPr>
        <w:spacing w:after="0" w:line="291"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Chairman of the Board of Directors</w:t>
      </w:r>
    </w:p>
    <w:p>
      <w:pPr>
        <w:spacing w:after="0" w:line="200" w:lineRule="exact"/>
        <w:rPr>
          <w:sz w:val="20"/>
          <w:szCs w:val="20"/>
          <w:color w:val="auto"/>
        </w:rPr>
      </w:pPr>
    </w:p>
    <w:p>
      <w:pPr>
        <w:spacing w:after="0" w:line="268"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Director</w:t>
      </w:r>
    </w:p>
    <w:p>
      <w:pPr>
        <w:spacing w:after="0" w:line="239"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Authorized Representative in the United States</w:t>
      </w:r>
    </w:p>
    <w:p>
      <w:pPr>
        <w:spacing w:after="0" w:line="1105" w:lineRule="exact"/>
        <w:rPr>
          <w:sz w:val="20"/>
          <w:szCs w:val="20"/>
          <w:color w:val="auto"/>
        </w:rPr>
      </w:pPr>
    </w:p>
    <w:p>
      <w:pPr>
        <w:sectPr>
          <w:pgSz w:w="11900" w:h="16838" w:orient="portrait"/>
          <w:cols w:equalWidth="0" w:num="2">
            <w:col w:w="4100" w:space="720"/>
            <w:col w:w="6420"/>
          </w:cols>
          <w:pgMar w:left="320" w:top="904" w:right="339" w:bottom="784" w:gutter="0" w:footer="0" w:header="0"/>
          <w:type w:val="continuous"/>
        </w:sect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784" w:gutter="0" w:footer="0" w:header="0"/>
          <w:type w:val="continuous"/>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154305</wp:posOffset>
            </wp:positionV>
            <wp:extent cx="4500245" cy="7200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450024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Kornit Digital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 Ha’Amal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Rosh Ha’Ayin 4809246, Israel</w:t>
      </w:r>
    </w:p>
    <w:p>
      <w:pPr>
        <w:spacing w:after="0" w:line="211" w:lineRule="exact"/>
        <w:rPr>
          <w:sz w:val="20"/>
          <w:szCs w:val="20"/>
          <w:color w:val="auto"/>
        </w:rPr>
      </w:pPr>
    </w:p>
    <w:p>
      <w:pPr>
        <w:ind w:left="9440"/>
        <w:spacing w:after="0"/>
        <w:rPr>
          <w:sz w:val="20"/>
          <w:szCs w:val="20"/>
          <w:color w:val="auto"/>
        </w:rPr>
      </w:pPr>
      <w:r>
        <w:rPr>
          <w:rFonts w:ascii="Arial" w:cs="Arial" w:eastAsia="Arial" w:hAnsi="Arial"/>
          <w:sz w:val="18"/>
          <w:szCs w:val="18"/>
          <w:color w:val="auto"/>
        </w:rPr>
        <w:t>March 30,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Registration Statement on Form S-8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40" w:firstLine="627"/>
        <w:spacing w:after="0" w:line="303" w:lineRule="auto"/>
        <w:rPr>
          <w:sz w:val="20"/>
          <w:szCs w:val="20"/>
          <w:color w:val="auto"/>
        </w:rPr>
      </w:pPr>
      <w:r>
        <w:rPr>
          <w:rFonts w:ascii="Arial" w:cs="Arial" w:eastAsia="Arial" w:hAnsi="Arial"/>
          <w:sz w:val="16"/>
          <w:szCs w:val="16"/>
          <w:color w:val="auto"/>
        </w:rPr>
        <w:t>We have acted as Israeli counsel to Kornit Digital Ltd., a company organized under the laws of the State of Israel (the “</w:t>
      </w:r>
      <w:r>
        <w:rPr>
          <w:rFonts w:ascii="Arial" w:cs="Arial" w:eastAsia="Arial" w:hAnsi="Arial"/>
          <w:sz w:val="16"/>
          <w:szCs w:val="16"/>
          <w:b w:val="1"/>
          <w:bCs w:val="1"/>
          <w:color w:val="auto"/>
        </w:rPr>
        <w:t>Company</w:t>
      </w:r>
      <w:r>
        <w:rPr>
          <w:rFonts w:ascii="Arial" w:cs="Arial" w:eastAsia="Arial" w:hAnsi="Arial"/>
          <w:sz w:val="16"/>
          <w:szCs w:val="16"/>
          <w:color w:val="auto"/>
        </w:rPr>
        <w:t>”), in connection with its registration statement on Form S-8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filed with the Securities and Exchange Commission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covering up to an additional 1,488,107 ordinary shares of the Company, par value New Israeli Shekel 0.01 per share (the “</w:t>
      </w:r>
      <w:r>
        <w:rPr>
          <w:rFonts w:ascii="Arial" w:cs="Arial" w:eastAsia="Arial" w:hAnsi="Arial"/>
          <w:sz w:val="16"/>
          <w:szCs w:val="16"/>
          <w:b w:val="1"/>
          <w:bCs w:val="1"/>
          <w:color w:val="auto"/>
        </w:rPr>
        <w:t>Shares</w:t>
      </w:r>
      <w:r>
        <w:rPr>
          <w:rFonts w:ascii="Arial" w:cs="Arial" w:eastAsia="Arial" w:hAnsi="Arial"/>
          <w:sz w:val="16"/>
          <w:szCs w:val="16"/>
          <w:color w:val="auto"/>
        </w:rPr>
        <w:t>”) that are available for issuance under the Kornit Digital Ltd. 2015 Incentive Compensation Plan (the “</w:t>
      </w:r>
      <w:r>
        <w:rPr>
          <w:rFonts w:ascii="Arial" w:cs="Arial" w:eastAsia="Arial" w:hAnsi="Arial"/>
          <w:sz w:val="16"/>
          <w:szCs w:val="16"/>
          <w:b w:val="1"/>
          <w:bCs w:val="1"/>
          <w:color w:val="auto"/>
        </w:rPr>
        <w:t>Plan</w:t>
      </w:r>
      <w:r>
        <w:rPr>
          <w:rFonts w:ascii="Arial" w:cs="Arial" w:eastAsia="Arial" w:hAnsi="Arial"/>
          <w:sz w:val="16"/>
          <w:szCs w:val="16"/>
          <w:color w:val="auto"/>
        </w:rPr>
        <w:t>”).</w:t>
      </w:r>
    </w:p>
    <w:p>
      <w:pPr>
        <w:spacing w:after="0" w:line="155" w:lineRule="exact"/>
        <w:rPr>
          <w:sz w:val="20"/>
          <w:szCs w:val="20"/>
          <w:color w:val="auto"/>
        </w:rPr>
      </w:pPr>
    </w:p>
    <w:p>
      <w:pPr>
        <w:ind w:right="440" w:firstLine="627"/>
        <w:spacing w:after="0" w:line="259" w:lineRule="auto"/>
        <w:rPr>
          <w:sz w:val="20"/>
          <w:szCs w:val="20"/>
          <w:color w:val="auto"/>
        </w:rPr>
      </w:pPr>
      <w:r>
        <w:rPr>
          <w:rFonts w:ascii="Arial" w:cs="Arial" w:eastAsia="Arial" w:hAnsi="Arial"/>
          <w:sz w:val="18"/>
          <w:szCs w:val="18"/>
          <w:color w:val="auto"/>
        </w:rPr>
        <w:t>In connection with this opinion, we have examined originals or copies, certified or otherwise identified to our satisfaction, of the Plan, the Registration Statement, the Company’s Articles of Association (as amended), and such other agreements, certificates, resolutions, minutes and other statements of corporate officers and other representatives of the Company and others and other documents provided to us by the Company as we have deemed necessary or appropriate as a basis for this opinion.</w:t>
      </w:r>
    </w:p>
    <w:p>
      <w:pPr>
        <w:spacing w:after="0" w:line="187" w:lineRule="exact"/>
        <w:rPr>
          <w:sz w:val="20"/>
          <w:szCs w:val="20"/>
          <w:color w:val="auto"/>
        </w:rPr>
      </w:pPr>
    </w:p>
    <w:p>
      <w:pPr>
        <w:ind w:right="20" w:firstLine="627"/>
        <w:spacing w:after="0" w:line="293" w:lineRule="auto"/>
        <w:rPr>
          <w:sz w:val="20"/>
          <w:szCs w:val="20"/>
          <w:color w:val="auto"/>
        </w:rPr>
      </w:pPr>
      <w:r>
        <w:rPr>
          <w:rFonts w:ascii="Arial" w:cs="Arial" w:eastAsia="Arial" w:hAnsi="Arial"/>
          <w:sz w:val="16"/>
          <w:szCs w:val="16"/>
          <w:color w:val="auto"/>
        </w:rPr>
        <w:t>In rendering an opinion on the matters hereinafter set forth, we have assumed the authenticity of all original documents submitted to us as certified, conformed or photographic copies thereof, the genuineness of all signatures and the due authenticity of all persons executing such documents. We have assumed the same to have been properly given and to be accurate. We have also assumed the truth of all facts communicated to us by the Company and that all consents, minutes and protocols of meetings of the Company’s board of directors which have been provided to us are true and accurate and have been properly prepared in accordance with the Company’s Articles of Association (as amended) and all applicable laws. In addition, we have assumed that the Company will receive the full consideration for the Shares (which may consist, in part or in full, of services performed for the Company).</w:t>
      </w:r>
    </w:p>
    <w:p>
      <w:pPr>
        <w:spacing w:after="0" w:line="164" w:lineRule="exact"/>
        <w:rPr>
          <w:sz w:val="20"/>
          <w:szCs w:val="20"/>
          <w:color w:val="auto"/>
        </w:rPr>
      </w:pPr>
    </w:p>
    <w:p>
      <w:pPr>
        <w:ind w:right="100" w:firstLine="627"/>
        <w:spacing w:after="0" w:line="308" w:lineRule="auto"/>
        <w:rPr>
          <w:sz w:val="20"/>
          <w:szCs w:val="20"/>
          <w:color w:val="auto"/>
        </w:rPr>
      </w:pPr>
      <w:r>
        <w:rPr>
          <w:rFonts w:ascii="Arial" w:cs="Arial" w:eastAsia="Arial" w:hAnsi="Arial"/>
          <w:sz w:val="17"/>
          <w:szCs w:val="17"/>
          <w:color w:val="auto"/>
        </w:rPr>
        <w:t>Members of our firm are admitted to the Bar in the State of Israel, and we do not express any opinion as to the laws of any other jurisdiction. This opinion is limited to the matters stated herein and no opinion is implied or may be inferred beyond the matters expressly stated.</w:t>
      </w:r>
    </w:p>
    <w:p>
      <w:pPr>
        <w:spacing w:after="0" w:line="146" w:lineRule="exact"/>
        <w:rPr>
          <w:sz w:val="20"/>
          <w:szCs w:val="20"/>
          <w:color w:val="auto"/>
        </w:rPr>
      </w:pPr>
    </w:p>
    <w:p>
      <w:pPr>
        <w:ind w:right="400" w:firstLine="627"/>
        <w:spacing w:after="0" w:line="277" w:lineRule="auto"/>
        <w:rPr>
          <w:sz w:val="20"/>
          <w:szCs w:val="20"/>
          <w:color w:val="auto"/>
        </w:rPr>
      </w:pPr>
      <w:r>
        <w:rPr>
          <w:rFonts w:ascii="Arial" w:cs="Arial" w:eastAsia="Arial" w:hAnsi="Arial"/>
          <w:sz w:val="18"/>
          <w:szCs w:val="18"/>
          <w:color w:val="auto"/>
        </w:rPr>
        <w:t>Based upon and subject to the foregoing, we are of the opinion that the Shares have been duly authorized and reserved for issuance and, when issued and paid for, will be legally issued, fully paid and non-assessable.</w:t>
      </w:r>
    </w:p>
    <w:p>
      <w:pPr>
        <w:spacing w:after="0" w:line="170" w:lineRule="exact"/>
        <w:rPr>
          <w:sz w:val="20"/>
          <w:szCs w:val="20"/>
          <w:color w:val="auto"/>
        </w:rPr>
      </w:pPr>
    </w:p>
    <w:p>
      <w:pPr>
        <w:jc w:val="both"/>
        <w:ind w:right="40" w:firstLine="627"/>
        <w:spacing w:after="0" w:line="286" w:lineRule="auto"/>
        <w:rPr>
          <w:sz w:val="20"/>
          <w:szCs w:val="20"/>
          <w:color w:val="auto"/>
        </w:rPr>
      </w:pPr>
      <w:r>
        <w:rPr>
          <w:rFonts w:ascii="Arial" w:cs="Arial" w:eastAsia="Arial" w:hAnsi="Arial"/>
          <w:sz w:val="17"/>
          <w:szCs w:val="17"/>
          <w:color w:val="auto"/>
        </w:rPr>
        <w:t>We hereby consent to the filing of this opinion letter as an exhibit to the Registration Statement. In giving this opinion and such consent, we do not admit that we are within the category of persons whose consent is required under Section 7 of the Securities Act, the rules and regulations of the Securities and Exchange Commission promulgated thereunder or Item 509 of Regulation S-K promulgated under the Securities Act.</w:t>
      </w:r>
    </w:p>
    <w:p>
      <w:pPr>
        <w:spacing w:after="0" w:line="165" w:lineRule="exact"/>
        <w:rPr>
          <w:sz w:val="20"/>
          <w:szCs w:val="20"/>
          <w:color w:val="auto"/>
        </w:rPr>
      </w:pPr>
    </w:p>
    <w:p>
      <w:pPr>
        <w:ind w:right="160" w:firstLine="627"/>
        <w:spacing w:after="0" w:line="342" w:lineRule="auto"/>
        <w:rPr>
          <w:sz w:val="20"/>
          <w:szCs w:val="20"/>
          <w:color w:val="auto"/>
        </w:rPr>
      </w:pPr>
      <w:r>
        <w:rPr>
          <w:rFonts w:ascii="Arial" w:cs="Arial" w:eastAsia="Arial" w:hAnsi="Arial"/>
          <w:sz w:val="16"/>
          <w:szCs w:val="16"/>
          <w:color w:val="auto"/>
        </w:rPr>
        <w:t>This opinion letter is rendered as of the date hereof and we disclaim any obligation to advise you of facts, circumstances, events or developments that may be brought to our attention after the effective date of the Registration Statement that may alter, affect or modify the opinions expressed herein.</w:t>
      </w:r>
    </w:p>
    <w:p>
      <w:pPr>
        <w:spacing w:after="0" w:line="12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Meitar | Law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Meitar | Law Offices</w:t>
      </w:r>
    </w:p>
    <w:p>
      <w:pPr>
        <w:sectPr>
          <w:pgSz w:w="11900" w:h="16838" w:orient="portrait"/>
          <w:cols w:equalWidth="0" w:num="1">
            <w:col w:w="11240"/>
          </w:cols>
          <w:pgMar w:left="320" w:top="121"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(Form S-8) pertaining to the 2015 Incentive Compensation Plan of Kornit Digital Ltd. of our reports dated March 30, 2022, with respect to the consolidated financial statements and the effectiveness of internal control over financial reporting of Kornit Digital Ltd., included in its Annual Report (Form 20-F) for the year ended December 31, 2021, filed with the Securities and Exchange Commission.</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760" w:type="dxa"/>
            <w:vAlign w:val="bottom"/>
          </w:tcPr>
          <w:p>
            <w:pPr>
              <w:spacing w:after="0"/>
              <w:rPr>
                <w:sz w:val="20"/>
                <w:szCs w:val="20"/>
                <w:color w:val="auto"/>
              </w:rPr>
            </w:pPr>
          </w:p>
        </w:tc>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Kost Forer Gabbay &amp; Kasierer</w:t>
            </w:r>
          </w:p>
        </w:tc>
      </w:tr>
      <w:tr>
        <w:trPr>
          <w:trHeight w:val="418"/>
        </w:trPr>
        <w:tc>
          <w:tcPr>
            <w:tcW w:w="6760" w:type="dxa"/>
            <w:vAlign w:val="bottom"/>
          </w:tcPr>
          <w:p>
            <w:pPr>
              <w:spacing w:after="0"/>
              <w:rPr>
                <w:sz w:val="20"/>
                <w:szCs w:val="20"/>
                <w:color w:val="auto"/>
              </w:rPr>
            </w:pPr>
            <w:r>
              <w:rPr>
                <w:rFonts w:ascii="Arial" w:cs="Arial" w:eastAsia="Arial" w:hAnsi="Arial"/>
                <w:sz w:val="18"/>
                <w:szCs w:val="18"/>
                <w:color w:val="auto"/>
              </w:rPr>
              <w:t>Tel-Aviv, Israel</w:t>
            </w:r>
          </w:p>
        </w:tc>
        <w:tc>
          <w:tcPr>
            <w:tcW w:w="4480" w:type="dxa"/>
            <w:vAlign w:val="bottom"/>
          </w:tcPr>
          <w:p>
            <w:pPr>
              <w:jc w:val="center"/>
              <w:spacing w:after="0"/>
              <w:rPr>
                <w:sz w:val="20"/>
                <w:szCs w:val="20"/>
                <w:color w:val="auto"/>
              </w:rPr>
            </w:pPr>
            <w:r>
              <w:rPr>
                <w:rFonts w:ascii="Arial" w:cs="Arial" w:eastAsia="Arial" w:hAnsi="Arial"/>
                <w:sz w:val="18"/>
                <w:szCs w:val="18"/>
                <w:color w:val="auto"/>
                <w:w w:val="97"/>
              </w:rPr>
              <w:t>KOST FORER GABBAY &amp; KASIERER</w:t>
            </w: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March 30, 2022</w:t>
            </w:r>
          </w:p>
        </w:tc>
        <w:tc>
          <w:tcPr>
            <w:tcW w:w="4480" w:type="dxa"/>
            <w:vAlign w:val="bottom"/>
          </w:tcPr>
          <w:p>
            <w:pPr>
              <w:jc w:val="center"/>
              <w:spacing w:after="0"/>
              <w:rPr>
                <w:sz w:val="20"/>
                <w:szCs w:val="20"/>
                <w:color w:val="auto"/>
              </w:rPr>
            </w:pPr>
            <w:r>
              <w:rPr>
                <w:rFonts w:ascii="Arial" w:cs="Arial" w:eastAsia="Arial" w:hAnsi="Arial"/>
                <w:sz w:val="18"/>
                <w:szCs w:val="18"/>
                <w:color w:val="auto"/>
                <w:w w:val="95"/>
              </w:rPr>
              <w:t>A Member of EY Global</w:t>
            </w:r>
          </w:p>
        </w:tc>
      </w:tr>
    </w:tbl>
    <w:p>
      <w:pPr>
        <w:sectPr>
          <w:pgSz w:w="11900" w:h="16838" w:orient="portrait"/>
          <w:cols w:equalWidth="0" w:num="1">
            <w:col w:w="11240"/>
          </w:cols>
          <w:pgMar w:left="320" w:top="121" w:right="339" w:bottom="1440" w:gutter="0" w:footer="0" w:header="0"/>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92" w:right="120" w:hanging="241"/>
        <w:spacing w:after="0" w:line="381" w:lineRule="auto"/>
        <w:rPr>
          <w:sz w:val="20"/>
          <w:szCs w:val="20"/>
          <w:color w:val="auto"/>
        </w:rPr>
      </w:pPr>
      <w:r>
        <w:rPr>
          <w:rFonts w:ascii="Arial" w:cs="Arial" w:eastAsia="Arial" w:hAnsi="Arial"/>
          <w:sz w:val="15"/>
          <w:szCs w:val="15"/>
          <w:color w:val="auto"/>
        </w:rPr>
        <w:t>Fees to Be Paid</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left="192"/>
        <w:spacing w:after="0"/>
        <w:rPr>
          <w:sz w:val="20"/>
          <w:szCs w:val="20"/>
          <w:color w:val="auto"/>
        </w:rPr>
      </w:pPr>
      <w:r>
        <w:rPr>
          <w:rFonts w:ascii="Arial" w:cs="Arial" w:eastAsia="Arial" w:hAnsi="Arial"/>
          <w:sz w:val="18"/>
          <w:szCs w:val="18"/>
          <w:b w:val="1"/>
          <w:bCs w:val="1"/>
          <w:color w:val="auto"/>
        </w:rPr>
        <w:t>Total</w:t>
      </w:r>
    </w:p>
    <w:p>
      <w:pPr>
        <w:spacing w:after="0" w:line="27" w:lineRule="exact"/>
        <w:rPr>
          <w:sz w:val="20"/>
          <w:szCs w:val="20"/>
          <w:color w:val="auto"/>
        </w:rPr>
      </w:pPr>
    </w:p>
    <w:p>
      <w:pPr>
        <w:jc w:val="center"/>
        <w:ind w:left="192"/>
        <w:spacing w:after="0"/>
        <w:rPr>
          <w:sz w:val="20"/>
          <w:szCs w:val="20"/>
          <w:color w:val="auto"/>
        </w:rPr>
      </w:pPr>
      <w:r>
        <w:rPr>
          <w:rFonts w:ascii="Arial" w:cs="Arial" w:eastAsia="Arial" w:hAnsi="Arial"/>
          <w:sz w:val="18"/>
          <w:szCs w:val="18"/>
          <w:b w:val="1"/>
          <w:bCs w:val="1"/>
          <w:color w:val="auto"/>
        </w:rPr>
        <w:t>Offering</w:t>
      </w:r>
    </w:p>
    <w:p>
      <w:pPr>
        <w:spacing w:after="0" w:line="9" w:lineRule="exact"/>
        <w:rPr>
          <w:sz w:val="20"/>
          <w:szCs w:val="20"/>
          <w:color w:val="auto"/>
        </w:rPr>
      </w:pPr>
    </w:p>
    <w:p>
      <w:pPr>
        <w:jc w:val="center"/>
        <w:ind w:left="192"/>
        <w:spacing w:after="0"/>
        <w:rPr>
          <w:sz w:val="20"/>
          <w:szCs w:val="20"/>
          <w:color w:val="auto"/>
        </w:rPr>
      </w:pPr>
      <w:r>
        <w:rPr>
          <w:rFonts w:ascii="Arial" w:cs="Arial" w:eastAsia="Arial" w:hAnsi="Arial"/>
          <w:sz w:val="18"/>
          <w:szCs w:val="18"/>
          <w:b w:val="1"/>
          <w:bCs w:val="1"/>
          <w:color w:val="auto"/>
        </w:rPr>
        <w:t>Amounts</w:t>
      </w:r>
    </w:p>
    <w:p>
      <w:pPr>
        <w:spacing w:after="0" w:line="9" w:lineRule="exact"/>
        <w:rPr>
          <w:sz w:val="20"/>
          <w:szCs w:val="20"/>
          <w:color w:val="auto"/>
        </w:rPr>
      </w:pPr>
    </w:p>
    <w:p>
      <w:pPr>
        <w:jc w:val="center"/>
        <w:ind w:left="192"/>
        <w:spacing w:after="0"/>
        <w:rPr>
          <w:sz w:val="20"/>
          <w:szCs w:val="20"/>
          <w:color w:val="auto"/>
        </w:rPr>
      </w:pPr>
      <w:r>
        <w:rPr>
          <w:rFonts w:ascii="Arial" w:cs="Arial" w:eastAsia="Arial" w:hAnsi="Arial"/>
          <w:sz w:val="18"/>
          <w:szCs w:val="18"/>
          <w:b w:val="1"/>
          <w:bCs w:val="1"/>
          <w:color w:val="auto"/>
        </w:rPr>
        <w:t>Total Fees</w:t>
      </w:r>
    </w:p>
    <w:p>
      <w:pPr>
        <w:spacing w:after="0" w:line="9" w:lineRule="exact"/>
        <w:rPr>
          <w:sz w:val="20"/>
          <w:szCs w:val="20"/>
          <w:color w:val="auto"/>
        </w:rPr>
      </w:pPr>
    </w:p>
    <w:p>
      <w:pPr>
        <w:jc w:val="center"/>
        <w:ind w:left="192"/>
        <w:spacing w:after="0"/>
        <w:rPr>
          <w:sz w:val="20"/>
          <w:szCs w:val="20"/>
          <w:color w:val="auto"/>
        </w:rPr>
      </w:pPr>
      <w:r>
        <w:rPr>
          <w:rFonts w:ascii="Arial" w:cs="Arial" w:eastAsia="Arial" w:hAnsi="Arial"/>
          <w:sz w:val="18"/>
          <w:szCs w:val="18"/>
          <w:b w:val="1"/>
          <w:bCs w:val="1"/>
          <w:color w:val="auto"/>
        </w:rPr>
        <w:t>Previously</w:t>
      </w:r>
    </w:p>
    <w:p>
      <w:pPr>
        <w:spacing w:after="0" w:line="9" w:lineRule="exact"/>
        <w:rPr>
          <w:sz w:val="20"/>
          <w:szCs w:val="20"/>
          <w:color w:val="auto"/>
        </w:rPr>
      </w:pPr>
    </w:p>
    <w:p>
      <w:pPr>
        <w:jc w:val="center"/>
        <w:ind w:left="192"/>
        <w:spacing w:after="0"/>
        <w:rPr>
          <w:sz w:val="20"/>
          <w:szCs w:val="20"/>
          <w:color w:val="auto"/>
        </w:rPr>
      </w:pPr>
      <w:r>
        <w:rPr>
          <w:rFonts w:ascii="Arial" w:cs="Arial" w:eastAsia="Arial" w:hAnsi="Arial"/>
          <w:sz w:val="18"/>
          <w:szCs w:val="18"/>
          <w:b w:val="1"/>
          <w:bCs w:val="1"/>
          <w:color w:val="auto"/>
        </w:rPr>
        <w:t>Paid</w:t>
      </w:r>
    </w:p>
    <w:p>
      <w:pPr>
        <w:spacing w:after="0" w:line="9" w:lineRule="exact"/>
        <w:rPr>
          <w:sz w:val="20"/>
          <w:szCs w:val="20"/>
          <w:color w:val="auto"/>
        </w:rPr>
      </w:pPr>
    </w:p>
    <w:p>
      <w:pPr>
        <w:jc w:val="center"/>
        <w:ind w:left="192"/>
        <w:spacing w:after="0"/>
        <w:rPr>
          <w:sz w:val="20"/>
          <w:szCs w:val="20"/>
          <w:color w:val="auto"/>
        </w:rPr>
      </w:pPr>
      <w:r>
        <w:rPr>
          <w:rFonts w:ascii="Arial" w:cs="Arial" w:eastAsia="Arial" w:hAnsi="Arial"/>
          <w:sz w:val="18"/>
          <w:szCs w:val="18"/>
          <w:b w:val="1"/>
          <w:bCs w:val="1"/>
          <w:color w:val="auto"/>
        </w:rPr>
        <w:t>Total Fee</w:t>
      </w:r>
    </w:p>
    <w:p>
      <w:pPr>
        <w:spacing w:after="0" w:line="9" w:lineRule="exact"/>
        <w:rPr>
          <w:sz w:val="20"/>
          <w:szCs w:val="20"/>
          <w:color w:val="auto"/>
        </w:rPr>
      </w:pPr>
    </w:p>
    <w:p>
      <w:pPr>
        <w:jc w:val="center"/>
        <w:ind w:left="192"/>
        <w:spacing w:after="0"/>
        <w:rPr>
          <w:sz w:val="20"/>
          <w:szCs w:val="20"/>
          <w:color w:val="auto"/>
        </w:rPr>
      </w:pPr>
      <w:r>
        <w:rPr>
          <w:rFonts w:ascii="Arial" w:cs="Arial" w:eastAsia="Arial" w:hAnsi="Arial"/>
          <w:sz w:val="18"/>
          <w:szCs w:val="18"/>
          <w:b w:val="1"/>
          <w:bCs w:val="1"/>
          <w:color w:val="auto"/>
        </w:rPr>
        <w:t>Offsets</w:t>
      </w:r>
    </w:p>
    <w:p>
      <w:pPr>
        <w:spacing w:after="0" w:line="9" w:lineRule="exact"/>
        <w:rPr>
          <w:sz w:val="20"/>
          <w:szCs w:val="20"/>
          <w:color w:val="auto"/>
        </w:rPr>
      </w:pPr>
    </w:p>
    <w:p>
      <w:pPr>
        <w:jc w:val="center"/>
        <w:ind w:left="192"/>
        <w:spacing w:after="0"/>
        <w:rPr>
          <w:sz w:val="20"/>
          <w:szCs w:val="20"/>
          <w:color w:val="auto"/>
        </w:rPr>
      </w:pPr>
      <w:r>
        <w:rPr>
          <w:rFonts w:ascii="Arial" w:cs="Arial" w:eastAsia="Arial" w:hAnsi="Arial"/>
          <w:sz w:val="16"/>
          <w:szCs w:val="16"/>
          <w:b w:val="1"/>
          <w:bCs w:val="1"/>
          <w:color w:val="auto"/>
        </w:rPr>
        <w:t>Net Fee Due</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center"/>
        <w:ind w:right="1280"/>
        <w:spacing w:after="0"/>
        <w:rPr>
          <w:sz w:val="20"/>
          <w:szCs w:val="20"/>
          <w:color w:val="auto"/>
        </w:rPr>
      </w:pPr>
      <w:r>
        <w:rPr>
          <w:rFonts w:ascii="Arial" w:cs="Arial" w:eastAsia="Arial" w:hAnsi="Arial"/>
          <w:sz w:val="18"/>
          <w:szCs w:val="18"/>
          <w:b w:val="1"/>
          <w:bCs w:val="1"/>
          <w:color w:val="auto"/>
        </w:rPr>
        <w:t>Calculation of Filing Fee Table</w:t>
      </w:r>
    </w:p>
    <w:p>
      <w:pPr>
        <w:spacing w:after="0" w:line="229" w:lineRule="exact"/>
        <w:rPr>
          <w:sz w:val="20"/>
          <w:szCs w:val="20"/>
          <w:color w:val="auto"/>
        </w:rPr>
      </w:pPr>
    </w:p>
    <w:p>
      <w:pPr>
        <w:jc w:val="center"/>
        <w:ind w:right="1280"/>
        <w:spacing w:after="0"/>
        <w:rPr>
          <w:sz w:val="20"/>
          <w:szCs w:val="20"/>
          <w:color w:val="auto"/>
        </w:rPr>
      </w:pPr>
      <w:r>
        <w:rPr>
          <w:rFonts w:ascii="Arial" w:cs="Arial" w:eastAsia="Arial" w:hAnsi="Arial"/>
          <w:sz w:val="18"/>
          <w:szCs w:val="18"/>
          <w:u w:val="single" w:color="auto"/>
          <w:color w:val="auto"/>
        </w:rPr>
        <w:t>Form S-8</w:t>
      </w:r>
    </w:p>
    <w:p>
      <w:pPr>
        <w:spacing w:after="0" w:line="23" w:lineRule="exact"/>
        <w:rPr>
          <w:sz w:val="20"/>
          <w:szCs w:val="20"/>
          <w:color w:val="auto"/>
        </w:rPr>
      </w:pPr>
    </w:p>
    <w:p>
      <w:pPr>
        <w:jc w:val="center"/>
        <w:ind w:right="1280"/>
        <w:spacing w:after="0"/>
        <w:rPr>
          <w:sz w:val="20"/>
          <w:szCs w:val="20"/>
          <w:color w:val="auto"/>
        </w:rPr>
      </w:pPr>
      <w:r>
        <w:rPr>
          <w:rFonts w:ascii="Arial" w:cs="Arial" w:eastAsia="Arial" w:hAnsi="Arial"/>
          <w:sz w:val="18"/>
          <w:szCs w:val="18"/>
          <w:color w:val="auto"/>
        </w:rPr>
        <w:t>(Form Type)</w:t>
      </w:r>
    </w:p>
    <w:p>
      <w:pPr>
        <w:spacing w:after="0" w:line="211" w:lineRule="exact"/>
        <w:rPr>
          <w:sz w:val="20"/>
          <w:szCs w:val="20"/>
          <w:color w:val="auto"/>
        </w:rPr>
      </w:pPr>
    </w:p>
    <w:p>
      <w:pPr>
        <w:jc w:val="center"/>
        <w:ind w:right="1280"/>
        <w:spacing w:after="0"/>
        <w:rPr>
          <w:sz w:val="20"/>
          <w:szCs w:val="20"/>
          <w:color w:val="auto"/>
        </w:rPr>
      </w:pPr>
      <w:r>
        <w:rPr>
          <w:rFonts w:ascii="Arial" w:cs="Arial" w:eastAsia="Arial" w:hAnsi="Arial"/>
          <w:sz w:val="18"/>
          <w:szCs w:val="18"/>
          <w:u w:val="single" w:color="auto"/>
          <w:color w:val="auto"/>
        </w:rPr>
        <w:t>Kornit Digital Ltd.</w:t>
      </w:r>
    </w:p>
    <w:p>
      <w:pPr>
        <w:spacing w:after="0" w:line="23" w:lineRule="exact"/>
        <w:rPr>
          <w:sz w:val="20"/>
          <w:szCs w:val="20"/>
          <w:color w:val="auto"/>
        </w:rPr>
      </w:pPr>
    </w:p>
    <w:p>
      <w:pPr>
        <w:jc w:val="center"/>
        <w:ind w:right="1280"/>
        <w:spacing w:after="0"/>
        <w:rPr>
          <w:sz w:val="20"/>
          <w:szCs w:val="20"/>
          <w:color w:val="auto"/>
        </w:rPr>
      </w:pPr>
      <w:r>
        <w:rPr>
          <w:rFonts w:ascii="Arial" w:cs="Arial" w:eastAsia="Arial" w:hAnsi="Arial"/>
          <w:sz w:val="18"/>
          <w:szCs w:val="18"/>
          <w:color w:val="auto"/>
        </w:rPr>
        <w:t>(Exact Name of Registrant as Specified in its Charter)</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0" w:type="dxa"/>
            <w:vAlign w:val="bottom"/>
            <w:gridSpan w:val="9"/>
          </w:tcPr>
          <w:p>
            <w:pPr>
              <w:jc w:val="right"/>
              <w:ind w:right="520"/>
              <w:spacing w:after="0"/>
              <w:rPr>
                <w:sz w:val="20"/>
                <w:szCs w:val="20"/>
                <w:color w:val="auto"/>
              </w:rPr>
            </w:pPr>
            <w:r>
              <w:rPr>
                <w:rFonts w:ascii="Arial" w:cs="Arial" w:eastAsia="Arial" w:hAnsi="Arial"/>
                <w:sz w:val="18"/>
                <w:szCs w:val="18"/>
                <w:color w:val="auto"/>
                <w:w w:val="90"/>
              </w:rPr>
              <w:t>Table 1: Newly Registered Securities</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86"/>
              </w:rPr>
              <w:t>Proposed</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Fee</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gridSpan w:val="4"/>
          </w:tcPr>
          <w:p>
            <w:pPr>
              <w:jc w:val="center"/>
              <w:ind w:right="380"/>
              <w:spacing w:after="0"/>
              <w:rPr>
                <w:sz w:val="20"/>
                <w:szCs w:val="20"/>
                <w:color w:val="auto"/>
              </w:rPr>
            </w:pPr>
            <w:r>
              <w:rPr>
                <w:rFonts w:ascii="Arial" w:cs="Arial" w:eastAsia="Arial" w:hAnsi="Arial"/>
                <w:sz w:val="18"/>
                <w:szCs w:val="18"/>
                <w:b w:val="1"/>
                <w:bCs w:val="1"/>
                <w:color w:val="auto"/>
                <w:w w:val="96"/>
              </w:rPr>
              <w:t>Maximum</w:t>
            </w:r>
          </w:p>
        </w:tc>
        <w:tc>
          <w:tcPr>
            <w:tcW w:w="13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6"/>
              </w:rPr>
              <w:t>Maximum</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Security</w:t>
            </w:r>
          </w:p>
        </w:tc>
        <w:tc>
          <w:tcPr>
            <w:tcW w:w="12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Calculation</w:t>
            </w:r>
          </w:p>
        </w:tc>
        <w:tc>
          <w:tcPr>
            <w:tcW w:w="122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91"/>
              </w:rPr>
              <w:t>Amount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94"/>
              </w:rPr>
              <w:t>Offering</w:t>
            </w:r>
          </w:p>
        </w:tc>
        <w:tc>
          <w:tcPr>
            <w:tcW w:w="13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Aggregate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5"/>
              </w:rPr>
              <w:t>Amount of</w:t>
            </w:r>
          </w:p>
        </w:tc>
        <w:tc>
          <w:tcPr>
            <w:tcW w:w="0" w:type="dxa"/>
            <w:vAlign w:val="bottom"/>
          </w:tcPr>
          <w:p>
            <w:pPr>
              <w:spacing w:after="0"/>
              <w:rPr>
                <w:sz w:val="1"/>
                <w:szCs w:val="1"/>
                <w:color w:val="auto"/>
              </w:rPr>
            </w:pPr>
          </w:p>
        </w:tc>
      </w:tr>
      <w:tr>
        <w:trPr>
          <w:trHeight w:val="180"/>
        </w:trPr>
        <w:tc>
          <w:tcPr>
            <w:tcW w:w="1220" w:type="dxa"/>
            <w:vAlign w:val="bottom"/>
            <w:gridSpan w:val="2"/>
          </w:tcPr>
          <w:p>
            <w:pPr>
              <w:jc w:val="center"/>
              <w:ind w:right="140"/>
              <w:spacing w:after="0" w:line="181" w:lineRule="exact"/>
              <w:rPr>
                <w:sz w:val="20"/>
                <w:szCs w:val="20"/>
                <w:color w:val="auto"/>
              </w:rPr>
            </w:pPr>
            <w:r>
              <w:rPr>
                <w:rFonts w:ascii="Arial" w:cs="Arial" w:eastAsia="Arial" w:hAnsi="Arial"/>
                <w:sz w:val="18"/>
                <w:szCs w:val="18"/>
                <w:b w:val="1"/>
                <w:bCs w:val="1"/>
                <w:color w:val="auto"/>
                <w:w w:val="90"/>
              </w:rPr>
              <w:t>Security</w:t>
            </w:r>
          </w:p>
        </w:tc>
        <w:tc>
          <w:tcPr>
            <w:tcW w:w="1200" w:type="dxa"/>
            <w:vAlign w:val="bottom"/>
            <w:gridSpan w:val="2"/>
          </w:tcPr>
          <w:p>
            <w:pPr>
              <w:jc w:val="center"/>
              <w:ind w:right="160"/>
              <w:spacing w:after="0" w:line="181" w:lineRule="exact"/>
              <w:rPr>
                <w:sz w:val="20"/>
                <w:szCs w:val="20"/>
                <w:color w:val="auto"/>
              </w:rPr>
            </w:pPr>
            <w:r>
              <w:rPr>
                <w:rFonts w:ascii="Arial" w:cs="Arial" w:eastAsia="Arial" w:hAnsi="Arial"/>
                <w:sz w:val="18"/>
                <w:szCs w:val="18"/>
                <w:b w:val="1"/>
                <w:bCs w:val="1"/>
                <w:color w:val="auto"/>
                <w:w w:val="83"/>
              </w:rPr>
              <w:t>Class</w:t>
            </w:r>
          </w:p>
        </w:tc>
        <w:tc>
          <w:tcPr>
            <w:tcW w:w="1200" w:type="dxa"/>
            <w:vAlign w:val="bottom"/>
            <w:gridSpan w:val="3"/>
          </w:tcPr>
          <w:p>
            <w:pPr>
              <w:jc w:val="center"/>
              <w:ind w:right="160"/>
              <w:spacing w:after="0" w:line="181" w:lineRule="exact"/>
              <w:rPr>
                <w:sz w:val="20"/>
                <w:szCs w:val="20"/>
                <w:color w:val="auto"/>
              </w:rPr>
            </w:pPr>
            <w:r>
              <w:rPr>
                <w:rFonts w:ascii="Arial" w:cs="Arial" w:eastAsia="Arial" w:hAnsi="Arial"/>
                <w:sz w:val="18"/>
                <w:szCs w:val="18"/>
                <w:b w:val="1"/>
                <w:bCs w:val="1"/>
                <w:color w:val="auto"/>
                <w:w w:val="97"/>
              </w:rPr>
              <w:t>or Carry</w:t>
            </w:r>
          </w:p>
        </w:tc>
        <w:tc>
          <w:tcPr>
            <w:tcW w:w="122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3"/>
          </w:tcPr>
          <w:p>
            <w:pPr>
              <w:jc w:val="center"/>
              <w:ind w:right="460"/>
              <w:spacing w:after="0" w:line="181" w:lineRule="exact"/>
              <w:rPr>
                <w:sz w:val="20"/>
                <w:szCs w:val="20"/>
                <w:color w:val="auto"/>
              </w:rPr>
            </w:pPr>
            <w:r>
              <w:rPr>
                <w:rFonts w:ascii="Arial" w:cs="Arial" w:eastAsia="Arial" w:hAnsi="Arial"/>
                <w:sz w:val="18"/>
                <w:szCs w:val="18"/>
                <w:b w:val="1"/>
                <w:bCs w:val="1"/>
                <w:color w:val="auto"/>
                <w:w w:val="89"/>
              </w:rPr>
              <w:t>Price Per</w:t>
            </w:r>
          </w:p>
        </w:tc>
        <w:tc>
          <w:tcPr>
            <w:tcW w:w="1340" w:type="dxa"/>
            <w:vAlign w:val="bottom"/>
            <w:gridSpan w:val="2"/>
          </w:tcPr>
          <w:p>
            <w:pPr>
              <w:jc w:val="center"/>
              <w:ind w:right="160"/>
              <w:spacing w:after="0" w:line="181" w:lineRule="exact"/>
              <w:rPr>
                <w:sz w:val="20"/>
                <w:szCs w:val="20"/>
                <w:color w:val="auto"/>
              </w:rPr>
            </w:pPr>
            <w:r>
              <w:rPr>
                <w:rFonts w:ascii="Arial" w:cs="Arial" w:eastAsia="Arial" w:hAnsi="Arial"/>
                <w:sz w:val="18"/>
                <w:szCs w:val="18"/>
                <w:b w:val="1"/>
                <w:bCs w:val="1"/>
                <w:color w:val="auto"/>
                <w:w w:val="94"/>
              </w:rPr>
              <w:t>Offering</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ind w:left="180"/>
              <w:spacing w:after="0" w:line="181" w:lineRule="exact"/>
              <w:rPr>
                <w:sz w:val="20"/>
                <w:szCs w:val="20"/>
                <w:color w:val="auto"/>
              </w:rPr>
            </w:pPr>
            <w:r>
              <w:rPr>
                <w:rFonts w:ascii="Arial" w:cs="Arial" w:eastAsia="Arial" w:hAnsi="Arial"/>
                <w:sz w:val="18"/>
                <w:szCs w:val="18"/>
                <w:b w:val="1"/>
                <w:bCs w:val="1"/>
                <w:color w:val="auto"/>
              </w:rPr>
              <w:t>Fee</w:t>
            </w:r>
          </w:p>
        </w:tc>
        <w:tc>
          <w:tcPr>
            <w:tcW w:w="1000" w:type="dxa"/>
            <w:vAlign w:val="bottom"/>
            <w:gridSpan w:val="2"/>
          </w:tcPr>
          <w:p>
            <w:pPr>
              <w:spacing w:after="0" w:line="181" w:lineRule="exact"/>
              <w:rPr>
                <w:sz w:val="20"/>
                <w:szCs w:val="20"/>
                <w:color w:val="auto"/>
              </w:rPr>
            </w:pPr>
            <w:r>
              <w:rPr>
                <w:rFonts w:ascii="Arial" w:cs="Arial" w:eastAsia="Arial" w:hAnsi="Arial"/>
                <w:sz w:val="18"/>
                <w:szCs w:val="18"/>
                <w:b w:val="1"/>
                <w:bCs w:val="1"/>
                <w:color w:val="auto"/>
                <w:w w:val="93"/>
              </w:rPr>
              <w:t>Registration</w:t>
            </w:r>
          </w:p>
        </w:tc>
        <w:tc>
          <w:tcPr>
            <w:tcW w:w="0" w:type="dxa"/>
            <w:vAlign w:val="bottom"/>
          </w:tcPr>
          <w:p>
            <w:pPr>
              <w:spacing w:after="0"/>
              <w:rPr>
                <w:sz w:val="1"/>
                <w:szCs w:val="1"/>
                <w:color w:val="auto"/>
              </w:rPr>
            </w:pPr>
          </w:p>
        </w:tc>
      </w:tr>
      <w:tr>
        <w:trPr>
          <w:trHeight w:val="277"/>
        </w:trPr>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Type</w:t>
            </w: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7"/>
              </w:rPr>
              <w:t>Title</w:t>
            </w:r>
          </w:p>
        </w:tc>
        <w:tc>
          <w:tcPr>
            <w:tcW w:w="12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Forward Rule</w:t>
            </w:r>
          </w:p>
        </w:tc>
        <w:tc>
          <w:tcPr>
            <w:tcW w:w="1220" w:type="dxa"/>
            <w:vAlign w:val="bottom"/>
            <w:gridSpan w:val="2"/>
          </w:tcPr>
          <w:p>
            <w:pPr>
              <w:jc w:val="center"/>
              <w:ind w:right="240"/>
              <w:spacing w:after="0" w:line="270" w:lineRule="exact"/>
              <w:rPr>
                <w:sz w:val="20"/>
                <w:szCs w:val="20"/>
                <w:color w:val="auto"/>
              </w:rPr>
            </w:pPr>
            <w:r>
              <w:rPr>
                <w:rFonts w:ascii="Arial" w:cs="Arial" w:eastAsia="Arial" w:hAnsi="Arial"/>
                <w:sz w:val="18"/>
                <w:szCs w:val="18"/>
                <w:b w:val="1"/>
                <w:bCs w:val="1"/>
                <w:color w:val="auto"/>
                <w:w w:val="83"/>
              </w:rPr>
              <w:t>Registered</w:t>
            </w:r>
            <w:r>
              <w:rPr>
                <w:rFonts w:ascii="Arial" w:cs="Arial" w:eastAsia="Arial" w:hAnsi="Arial"/>
                <w:sz w:val="29"/>
                <w:szCs w:val="29"/>
                <w:b w:val="1"/>
                <w:bCs w:val="1"/>
                <w:color w:val="auto"/>
                <w:w w:val="83"/>
                <w:vertAlign w:val="superscript"/>
              </w:rPr>
              <w:t>(1)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7"/>
              </w:rPr>
              <w:t>Unit</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Price</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2"/>
          </w:tcPr>
          <w:p>
            <w:pPr>
              <w:ind w:left="160"/>
              <w:spacing w:after="0"/>
              <w:rPr>
                <w:sz w:val="20"/>
                <w:szCs w:val="20"/>
                <w:color w:val="auto"/>
              </w:rPr>
            </w:pPr>
            <w:r>
              <w:rPr>
                <w:rFonts w:ascii="Arial" w:cs="Arial" w:eastAsia="Arial" w:hAnsi="Arial"/>
                <w:sz w:val="18"/>
                <w:szCs w:val="18"/>
                <w:b w:val="1"/>
                <w:bCs w:val="1"/>
                <w:color w:val="auto"/>
              </w:rPr>
              <w:t>Rate</w:t>
            </w:r>
          </w:p>
        </w:tc>
        <w:tc>
          <w:tcPr>
            <w:tcW w:w="220" w:type="dxa"/>
            <w:vAlign w:val="bottom"/>
          </w:tcPr>
          <w:p>
            <w:pPr>
              <w:spacing w:after="0"/>
              <w:rPr>
                <w:sz w:val="24"/>
                <w:szCs w:val="24"/>
                <w:color w:val="auto"/>
              </w:rPr>
            </w:pPr>
          </w:p>
        </w:tc>
        <w:tc>
          <w:tcPr>
            <w:tcW w:w="780" w:type="dxa"/>
            <w:vAlign w:val="bottom"/>
          </w:tcPr>
          <w:p>
            <w:pPr>
              <w:jc w:val="right"/>
              <w:ind w:right="290"/>
              <w:spacing w:after="0"/>
              <w:rPr>
                <w:sz w:val="20"/>
                <w:szCs w:val="20"/>
                <w:color w:val="auto"/>
              </w:rPr>
            </w:pPr>
            <w:r>
              <w:rPr>
                <w:rFonts w:ascii="Arial" w:cs="Arial" w:eastAsia="Arial" w:hAnsi="Arial"/>
                <w:sz w:val="18"/>
                <w:szCs w:val="18"/>
                <w:b w:val="1"/>
                <w:bCs w:val="1"/>
                <w:color w:val="auto"/>
              </w:rPr>
              <w:t>Fee</w:t>
            </w:r>
          </w:p>
        </w:tc>
        <w:tc>
          <w:tcPr>
            <w:tcW w:w="0" w:type="dxa"/>
            <w:vAlign w:val="bottom"/>
          </w:tcPr>
          <w:p>
            <w:pPr>
              <w:spacing w:after="0"/>
              <w:rPr>
                <w:sz w:val="1"/>
                <w:szCs w:val="1"/>
                <w:color w:val="auto"/>
              </w:rPr>
            </w:pPr>
          </w:p>
        </w:tc>
      </w:tr>
      <w:tr>
        <w:trPr>
          <w:trHeight w:val="203"/>
        </w:trPr>
        <w:tc>
          <w:tcPr>
            <w:tcW w:w="1120" w:type="dxa"/>
            <w:vAlign w:val="bottom"/>
            <w:tcBorders>
              <w:top w:val="single" w:sz="8" w:color="auto"/>
            </w:tcBorders>
          </w:tcPr>
          <w:p>
            <w:pPr>
              <w:jc w:val="center"/>
              <w:spacing w:after="0" w:line="202" w:lineRule="exact"/>
              <w:rPr>
                <w:sz w:val="20"/>
                <w:szCs w:val="20"/>
                <w:color w:val="auto"/>
              </w:rPr>
            </w:pPr>
            <w:r>
              <w:rPr>
                <w:rFonts w:ascii="Arial" w:cs="Arial" w:eastAsia="Arial" w:hAnsi="Arial"/>
                <w:sz w:val="18"/>
                <w:szCs w:val="18"/>
                <w:color w:val="auto"/>
                <w:w w:val="95"/>
              </w:rPr>
              <w:t>Equity</w:t>
            </w:r>
          </w:p>
        </w:tc>
        <w:tc>
          <w:tcPr>
            <w:tcW w:w="100" w:type="dxa"/>
            <w:vAlign w:val="bottom"/>
          </w:tcPr>
          <w:p>
            <w:pPr>
              <w:spacing w:after="0"/>
              <w:rPr>
                <w:sz w:val="17"/>
                <w:szCs w:val="17"/>
                <w:color w:val="auto"/>
              </w:rPr>
            </w:pPr>
          </w:p>
        </w:tc>
        <w:tc>
          <w:tcPr>
            <w:tcW w:w="1080" w:type="dxa"/>
            <w:vAlign w:val="bottom"/>
            <w:tcBorders>
              <w:top w:val="single" w:sz="8" w:color="auto"/>
            </w:tcBorders>
          </w:tcPr>
          <w:p>
            <w:pPr>
              <w:jc w:val="center"/>
              <w:spacing w:after="0" w:line="202" w:lineRule="exact"/>
              <w:rPr>
                <w:sz w:val="20"/>
                <w:szCs w:val="20"/>
                <w:color w:val="auto"/>
              </w:rPr>
            </w:pPr>
            <w:r>
              <w:rPr>
                <w:rFonts w:ascii="Arial" w:cs="Arial" w:eastAsia="Arial" w:hAnsi="Arial"/>
                <w:sz w:val="18"/>
                <w:szCs w:val="18"/>
                <w:color w:val="auto"/>
                <w:w w:val="95"/>
              </w:rPr>
              <w:t>ordinary</w:t>
            </w:r>
          </w:p>
        </w:tc>
        <w:tc>
          <w:tcPr>
            <w:tcW w:w="120" w:type="dxa"/>
            <w:vAlign w:val="bottom"/>
          </w:tcPr>
          <w:p>
            <w:pPr>
              <w:spacing w:after="0"/>
              <w:rPr>
                <w:sz w:val="17"/>
                <w:szCs w:val="17"/>
                <w:color w:val="auto"/>
              </w:rPr>
            </w:pPr>
          </w:p>
        </w:tc>
        <w:tc>
          <w:tcPr>
            <w:tcW w:w="1080" w:type="dxa"/>
            <w:vAlign w:val="bottom"/>
            <w:tcBorders>
              <w:top w:val="single" w:sz="8" w:color="auto"/>
            </w:tcBorders>
            <w:gridSpan w:val="2"/>
          </w:tcPr>
          <w:p>
            <w:pPr>
              <w:jc w:val="center"/>
              <w:spacing w:after="0" w:line="202" w:lineRule="exact"/>
              <w:rPr>
                <w:sz w:val="20"/>
                <w:szCs w:val="20"/>
                <w:color w:val="auto"/>
              </w:rPr>
            </w:pPr>
            <w:r>
              <w:rPr>
                <w:rFonts w:ascii="Arial" w:cs="Arial" w:eastAsia="Arial" w:hAnsi="Arial"/>
                <w:sz w:val="15"/>
                <w:szCs w:val="15"/>
                <w:color w:val="auto"/>
              </w:rPr>
              <w:t>Other</w:t>
            </w:r>
            <w:r>
              <w:rPr>
                <w:rFonts w:ascii="Arial" w:cs="Arial" w:eastAsia="Arial" w:hAnsi="Arial"/>
                <w:sz w:val="23"/>
                <w:szCs w:val="23"/>
                <w:color w:val="auto"/>
                <w:vertAlign w:val="superscript"/>
              </w:rPr>
              <w:t>(2)</w:t>
            </w:r>
          </w:p>
        </w:tc>
        <w:tc>
          <w:tcPr>
            <w:tcW w:w="12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shares, par</w:t>
            </w: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value NIS</w:t>
            </w: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0.01 per share</w:t>
            </w: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b w:val="1"/>
                <w:bCs w:val="1"/>
                <w:color w:val="auto"/>
                <w:w w:val="97"/>
              </w:rPr>
              <w:t>ordinary</w:t>
            </w: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shares</w:t>
            </w:r>
            <w:r>
              <w:rPr>
                <w:rFonts w:ascii="Arial" w:cs="Arial" w:eastAsia="Arial" w:hAnsi="Arial"/>
                <w:sz w:val="18"/>
                <w:szCs w:val="18"/>
                <w:color w:val="auto"/>
                <w:w w:val="88"/>
              </w:rPr>
              <w:t>”)</w:t>
            </w:r>
          </w:p>
        </w:tc>
        <w:tc>
          <w:tcPr>
            <w:tcW w:w="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ind w:left="280"/>
              <w:spacing w:after="0"/>
              <w:rPr>
                <w:sz w:val="20"/>
                <w:szCs w:val="20"/>
                <w:color w:val="auto"/>
              </w:rPr>
            </w:pPr>
            <w:r>
              <w:rPr>
                <w:rFonts w:ascii="Arial" w:cs="Arial" w:eastAsia="Arial" w:hAnsi="Arial"/>
                <w:sz w:val="18"/>
                <w:szCs w:val="18"/>
                <w:color w:val="auto"/>
                <w:w w:val="94"/>
              </w:rPr>
              <w:t>1,488,107</w:t>
            </w:r>
            <w:r>
              <w:rPr>
                <w:rFonts w:ascii="Arial" w:cs="Arial" w:eastAsia="Arial" w:hAnsi="Arial"/>
                <w:sz w:val="14"/>
                <w:szCs w:val="14"/>
                <w:color w:val="auto"/>
                <w:w w:val="94"/>
              </w:rPr>
              <w:t>(3)</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79.635(2)</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$ 118,505,400.95</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w w:val="96"/>
              </w:rPr>
              <w:t>0.0000927</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10,986</w:t>
            </w:r>
          </w:p>
        </w:tc>
        <w:tc>
          <w:tcPr>
            <w:tcW w:w="0" w:type="dxa"/>
            <w:vAlign w:val="bottom"/>
          </w:tcPr>
          <w:p>
            <w:pPr>
              <w:spacing w:after="0"/>
              <w:rPr>
                <w:sz w:val="1"/>
                <w:szCs w:val="1"/>
                <w:color w:val="auto"/>
              </w:rPr>
            </w:pPr>
          </w:p>
        </w:tc>
      </w:tr>
      <w:tr>
        <w:trPr>
          <w:trHeight w:val="648"/>
        </w:trPr>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ind w:left="280"/>
              <w:spacing w:after="0"/>
              <w:rPr>
                <w:sz w:val="20"/>
                <w:szCs w:val="20"/>
                <w:color w:val="auto"/>
              </w:rPr>
            </w:pPr>
            <w:r>
              <w:rPr>
                <w:rFonts w:ascii="Arial" w:cs="Arial" w:eastAsia="Arial" w:hAnsi="Arial"/>
                <w:sz w:val="18"/>
                <w:szCs w:val="18"/>
                <w:b w:val="1"/>
                <w:bCs w:val="1"/>
                <w:color w:val="auto"/>
              </w:rPr>
              <w:t>1,488,107</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$ 118,505,400.95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10,986</w:t>
            </w:r>
          </w:p>
        </w:tc>
        <w:tc>
          <w:tcPr>
            <w:tcW w:w="0" w:type="dxa"/>
            <w:vAlign w:val="bottom"/>
          </w:tcPr>
          <w:p>
            <w:pPr>
              <w:spacing w:after="0"/>
              <w:rPr>
                <w:sz w:val="1"/>
                <w:szCs w:val="1"/>
                <w:color w:val="auto"/>
              </w:rPr>
            </w:pPr>
          </w:p>
        </w:tc>
      </w:tr>
      <w:tr>
        <w:trPr>
          <w:trHeight w:val="648"/>
        </w:trPr>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14"/>
        </w:trPr>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10,986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-807085</wp:posOffset>
            </wp:positionH>
            <wp:positionV relativeFrom="paragraph">
              <wp:posOffset>-2065020</wp:posOffset>
            </wp:positionV>
            <wp:extent cx="7132320" cy="8312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7132320" cy="831215"/>
                    </a:xfrm>
                    <a:prstGeom prst="rect">
                      <a:avLst/>
                    </a:prstGeom>
                    <a:noFill/>
                  </pic:spPr>
                </pic:pic>
              </a:graphicData>
            </a:graphic>
          </wp:anchor>
        </w:drawing>
        <w:drawing>
          <wp:anchor simplePos="0" relativeHeight="251657728" behindDoc="1" locked="0" layoutInCell="0" allowOverlap="1">
            <wp:simplePos x="0" y="0"/>
            <wp:positionH relativeFrom="column">
              <wp:posOffset>-807085</wp:posOffset>
            </wp:positionH>
            <wp:positionV relativeFrom="paragraph">
              <wp:posOffset>-822325</wp:posOffset>
            </wp:positionV>
            <wp:extent cx="7132320" cy="4114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-807085</wp:posOffset>
            </wp:positionH>
            <wp:positionV relativeFrom="paragraph">
              <wp:posOffset>-136525</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132" w:space="140"/>
            <w:col w:w="9960"/>
          </w:cols>
          <w:pgMar w:left="328" w:top="121" w:right="339" w:bottom="1440" w:gutter="0" w:footer="0" w:header="0"/>
        </w:sectPr>
      </w:pPr>
    </w:p>
    <w:p>
      <w:pPr>
        <w:spacing w:after="0" w:line="2" w:lineRule="exact"/>
        <w:rPr>
          <w:sz w:val="20"/>
          <w:szCs w:val="20"/>
          <w:color w:val="auto"/>
        </w:rPr>
      </w:pPr>
    </w:p>
    <w:p>
      <w:pPr>
        <w:ind w:left="332" w:right="80" w:hanging="332"/>
        <w:spacing w:after="0" w:line="254" w:lineRule="auto"/>
        <w:tabs>
          <w:tab w:leader="none" w:pos="332" w:val="left"/>
        </w:tabs>
        <w:numPr>
          <w:ilvl w:val="0"/>
          <w:numId w:val="4"/>
        </w:numPr>
        <w:rPr>
          <w:rFonts w:ascii="Arial" w:cs="Arial" w:eastAsia="Arial" w:hAnsi="Arial"/>
          <w:sz w:val="18"/>
          <w:szCs w:val="18"/>
          <w:color w:val="auto"/>
        </w:rPr>
      </w:pPr>
      <w:r>
        <w:rPr>
          <w:rFonts w:ascii="Arial" w:cs="Arial" w:eastAsia="Arial" w:hAnsi="Arial"/>
          <w:sz w:val="18"/>
          <w:szCs w:val="18"/>
          <w:color w:val="auto"/>
        </w:rPr>
        <w:t>Pursuant to Rule 416(a) under the Securities Act of 1933, as amended, this Registration Statement shall also cover any additional ordinary shares that become issuable under the Kornit Digital Ltd. 2015 Incentive Compensation Plan (the “</w:t>
      </w:r>
      <w:r>
        <w:rPr>
          <w:rFonts w:ascii="Arial" w:cs="Arial" w:eastAsia="Arial" w:hAnsi="Arial"/>
          <w:sz w:val="18"/>
          <w:szCs w:val="18"/>
          <w:b w:val="1"/>
          <w:bCs w:val="1"/>
          <w:color w:val="auto"/>
        </w:rPr>
        <w:t>2015 Plan</w:t>
      </w:r>
      <w:r>
        <w:rPr>
          <w:rFonts w:ascii="Arial" w:cs="Arial" w:eastAsia="Arial" w:hAnsi="Arial"/>
          <w:sz w:val="18"/>
          <w:szCs w:val="18"/>
          <w:color w:val="auto"/>
        </w:rPr>
        <w:t>”) to prevent dilution resulting from any share dividend, share split, recapitalization or other similar transaction effected without the receipt of consideration that increases the number of outstanding ordinary shares.</w:t>
      </w:r>
    </w:p>
    <w:p>
      <w:pPr>
        <w:spacing w:after="0" w:line="2" w:lineRule="exact"/>
        <w:rPr>
          <w:rFonts w:ascii="Arial" w:cs="Arial" w:eastAsia="Arial" w:hAnsi="Arial"/>
          <w:sz w:val="18"/>
          <w:szCs w:val="18"/>
          <w:color w:val="auto"/>
        </w:rPr>
      </w:pPr>
    </w:p>
    <w:p>
      <w:pPr>
        <w:ind w:left="332" w:hanging="332"/>
        <w:spacing w:after="0" w:line="281" w:lineRule="auto"/>
        <w:tabs>
          <w:tab w:leader="none" w:pos="332" w:val="left"/>
        </w:tabs>
        <w:numPr>
          <w:ilvl w:val="0"/>
          <w:numId w:val="4"/>
        </w:numPr>
        <w:rPr>
          <w:rFonts w:ascii="Arial" w:cs="Arial" w:eastAsia="Arial" w:hAnsi="Arial"/>
          <w:sz w:val="16"/>
          <w:szCs w:val="16"/>
          <w:color w:val="auto"/>
        </w:rPr>
      </w:pPr>
      <w:r>
        <w:rPr>
          <w:rFonts w:ascii="Arial" w:cs="Arial" w:eastAsia="Arial" w:hAnsi="Arial"/>
          <w:sz w:val="16"/>
          <w:szCs w:val="16"/>
          <w:color w:val="auto"/>
        </w:rPr>
        <w:t>Estimated in accordance with Rules 457(c) and 457(h) solely for the purpose of calculating the registration fee on the basis of $79.635 per share, which represents the average of the high ($82.00) and low ($77.27) prices of the ordinary shares as reported on the Nasdaq Global Select Market on</w:t>
      </w:r>
    </w:p>
    <w:p>
      <w:pPr>
        <w:spacing w:after="0" w:line="1" w:lineRule="exact"/>
        <w:rPr>
          <w:rFonts w:ascii="Arial" w:cs="Arial" w:eastAsia="Arial" w:hAnsi="Arial"/>
          <w:sz w:val="16"/>
          <w:szCs w:val="16"/>
          <w:color w:val="auto"/>
        </w:rPr>
      </w:pPr>
    </w:p>
    <w:p>
      <w:pPr>
        <w:ind w:left="332"/>
        <w:spacing w:after="0"/>
        <w:rPr>
          <w:rFonts w:ascii="Arial" w:cs="Arial" w:eastAsia="Arial" w:hAnsi="Arial"/>
          <w:sz w:val="16"/>
          <w:szCs w:val="16"/>
          <w:color w:val="auto"/>
        </w:rPr>
      </w:pPr>
      <w:r>
        <w:rPr>
          <w:rFonts w:ascii="Arial" w:cs="Arial" w:eastAsia="Arial" w:hAnsi="Arial"/>
          <w:sz w:val="18"/>
          <w:szCs w:val="18"/>
          <w:color w:val="auto"/>
        </w:rPr>
        <w:t>March 25, 2022, which is a date within five business days prior to the filing of this Registration Statement.</w:t>
      </w:r>
    </w:p>
    <w:p>
      <w:pPr>
        <w:spacing w:after="0" w:line="9" w:lineRule="exact"/>
        <w:rPr>
          <w:rFonts w:ascii="Arial" w:cs="Arial" w:eastAsia="Arial" w:hAnsi="Arial"/>
          <w:sz w:val="16"/>
          <w:szCs w:val="16"/>
          <w:color w:val="auto"/>
        </w:rPr>
      </w:pPr>
    </w:p>
    <w:p>
      <w:pPr>
        <w:ind w:left="332" w:right="160" w:hanging="332"/>
        <w:spacing w:after="0" w:line="260" w:lineRule="auto"/>
        <w:tabs>
          <w:tab w:leader="none" w:pos="332"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ordinary shares available for issuance pursuant to an automatic increase to the number of ordinary shares available for issuance under the 2015 Plan, effective January 1, 2022.</w:t>
      </w:r>
    </w:p>
    <w:sectPr>
      <w:pgSz w:w="11900" w:h="16838" w:orient="portrait"/>
      <w:cols w:equalWidth="0" w:num="1">
        <w:col w:w="11232"/>
      </w:cols>
      <w:pgMar w:left="328" w:top="12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Roman"/>
      <w:start w:val="1"/>
    </w:lvl>
  </w:abstractNum>
  <w:abstractNum w:abstractNumId="2">
    <w:nsid w:val="2AE8944A"/>
    <w:multiLevelType w:val="hybridMultilevel"/>
    <w:lvl w:ilvl="0">
      <w:lvlJc w:val="left"/>
      <w:lvlText w:val="%1"/>
      <w:numFmt w:val="decimal"/>
      <w:start w:val="107"/>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jpe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12" Type="http://schemas.openxmlformats.org/officeDocument/2006/relationships/hyperlink" Target="https://www.sec.gov/ix?doc=/Archives/edgar/data/1625791/000121390022016155/f20f2021_kornitdigital.htm" TargetMode="External"/><Relationship Id="rId13" Type="http://schemas.openxmlformats.org/officeDocument/2006/relationships/hyperlink" Target="https://www.sec.gov/Archives/edgar/data/1625791/000161577415000604/s100918_8a12b.htm" TargetMode="External"/><Relationship Id="rId14" Type="http://schemas.openxmlformats.org/officeDocument/2006/relationships/hyperlink" Target="https://www.sec.gov/Archives/edgar/data/1625791/000121390021017655/f20f2020ex2-2_kornit.htm" TargetMode="External"/><Relationship Id="rId16" Type="http://schemas.openxmlformats.org/officeDocument/2006/relationships/hyperlink" Target="https://www.sec.gov/Archives/edgar/data/1625791/000161577415000505/s100871_ex10-21.htm" TargetMode="External"/><Relationship Id="rId17" Type="http://schemas.openxmlformats.org/officeDocument/2006/relationships/hyperlink" Target="https://www.sec.gov/Archives/edgar/data/1625791/000121390021041996/ea145694ex99-1_kornitdigital.htm" TargetMode="External"/><Relationship Id="rId18" Type="http://schemas.openxmlformats.org/officeDocument/2006/relationships/hyperlink" Target="https://www.sec.gov/Archives/edgar/data/1625791/000161577415000434/s100824_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2022-03-30T15:35:37Z</dcterms:created>
  <dcterms:modified xsi:type="dcterms:W3CDTF">2022-03-30T15:35:37Z</dcterms:modified>
</cp:coreProperties>
</file>