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25"/>
          <w:szCs w:val="25"/>
          <w:color w:val="auto"/>
        </w:rPr>
        <w:t>SCHEDULE 13G*</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(Rule 13d-102)</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TO BE INCLUDED IN STATEMENTS FILED PURSUANT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TO § 240.13d-1(b), (c), AND (d) AND AMENDMENTS THERETO FILED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 240.13d-2</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1 )*</w:t>
      </w:r>
    </w:p>
    <w:p>
      <w:pPr>
        <w:spacing w:after="0" w:line="200" w:lineRule="exact"/>
        <w:rPr>
          <w:sz w:val="24"/>
          <w:szCs w:val="24"/>
          <w:color w:val="auto"/>
        </w:rPr>
      </w:pP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25"/>
          <w:szCs w:val="25"/>
          <w:color w:val="auto"/>
        </w:rPr>
        <w:t>Kornit Digital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M6372Q113</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December 31, 2019</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the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820" w:hanging="812"/>
        <w:spacing w:after="0"/>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23" w:lineRule="exact"/>
        <w:rPr>
          <w:sz w:val="24"/>
          <w:szCs w:val="24"/>
          <w:color w:val="auto"/>
        </w:rPr>
      </w:pPr>
    </w:p>
    <w:p>
      <w:pPr>
        <w:ind w:left="820" w:hanging="812"/>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Rule 13d-1(c)</w:t>
      </w:r>
    </w:p>
    <w:p>
      <w:pPr>
        <w:spacing w:after="0" w:line="9" w:lineRule="exact"/>
        <w:rPr>
          <w:rFonts w:ascii="Arial" w:cs="Arial" w:eastAsia="Arial" w:hAnsi="Arial"/>
          <w:sz w:val="18"/>
          <w:szCs w:val="18"/>
          <w:color w:val="auto"/>
        </w:rPr>
      </w:pPr>
    </w:p>
    <w:p>
      <w:pPr>
        <w:ind w:left="820" w:hanging="812"/>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Rule 13d-1(d)</w:t>
      </w:r>
    </w:p>
    <w:p>
      <w:pPr>
        <w:spacing w:after="0" w:line="211" w:lineRule="exact"/>
        <w:rPr>
          <w:sz w:val="24"/>
          <w:szCs w:val="24"/>
          <w:color w:val="auto"/>
        </w:rPr>
      </w:pPr>
    </w:p>
    <w:p>
      <w:pPr>
        <w:ind w:right="2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379095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472" w:right="259" w:bottom="1440" w:gutter="0" w:footer="0" w:header="0"/>
        </w:sectPr>
      </w:pPr>
    </w:p>
    <w:bookmarkStart w:id="1" w:name="page2"/>
    <w:bookmarkEnd w:id="1"/>
    <w:p>
      <w:pPr>
        <w:ind w:left="613" w:hanging="568"/>
        <w:spacing w:after="0"/>
        <w:tabs>
          <w:tab w:leader="none" w:pos="613" w:val="left"/>
        </w:tabs>
        <w:numPr>
          <w:ilvl w:val="0"/>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46620" cy="62858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6285865"/>
                    </a:xfrm>
                    <a:prstGeom prst="rect">
                      <a:avLst/>
                    </a:prstGeom>
                    <a:noFill/>
                  </pic:spPr>
                </pic:pic>
              </a:graphicData>
            </a:graphic>
          </wp:anchor>
        </w:drawing>
        <w:t>NAME OF REPORTING PERSONS</w:t>
      </w:r>
    </w:p>
    <w:p>
      <w:pPr>
        <w:spacing w:after="0" w:line="225" w:lineRule="exact"/>
        <w:rPr>
          <w:rFonts w:ascii="Arial" w:cs="Arial" w:eastAsia="Arial" w:hAnsi="Arial"/>
          <w:sz w:val="18"/>
          <w:szCs w:val="18"/>
          <w:color w:val="auto"/>
        </w:rPr>
      </w:pPr>
    </w:p>
    <w:p>
      <w:pPr>
        <w:ind w:left="613"/>
        <w:spacing w:after="0"/>
        <w:rPr>
          <w:rFonts w:ascii="Arial" w:cs="Arial" w:eastAsia="Arial" w:hAnsi="Arial"/>
          <w:sz w:val="18"/>
          <w:szCs w:val="18"/>
          <w:color w:val="auto"/>
        </w:rPr>
      </w:pPr>
      <w:r>
        <w:rPr>
          <w:rFonts w:ascii="Arial" w:cs="Arial" w:eastAsia="Arial" w:hAnsi="Arial"/>
          <w:sz w:val="18"/>
          <w:szCs w:val="18"/>
          <w:color w:val="auto"/>
        </w:rPr>
        <w:t>American Capital Management, Inc. 13-30008848</w:t>
      </w:r>
    </w:p>
    <w:p>
      <w:pPr>
        <w:spacing w:after="0" w:line="184" w:lineRule="exact"/>
        <w:rPr>
          <w:rFonts w:ascii="Arial" w:cs="Arial" w:eastAsia="Arial" w:hAnsi="Arial"/>
          <w:sz w:val="18"/>
          <w:szCs w:val="18"/>
          <w:color w:val="auto"/>
        </w:rPr>
      </w:pPr>
    </w:p>
    <w:p>
      <w:pPr>
        <w:ind w:left="613" w:right="5520" w:hanging="568"/>
        <w:spacing w:after="0" w:line="255" w:lineRule="auto"/>
        <w:tabs>
          <w:tab w:leader="none" w:pos="613"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 w:lineRule="exact"/>
        <w:rPr>
          <w:sz w:val="20"/>
          <w:szCs w:val="20"/>
          <w:color w:val="auto"/>
        </w:rPr>
      </w:pPr>
    </w:p>
    <w:p>
      <w:pPr>
        <w:ind w:left="10433"/>
        <w:spacing w:after="0" w:line="207" w:lineRule="exact"/>
        <w:tabs>
          <w:tab w:leader="none" w:pos="10832" w:val="left"/>
        </w:tabs>
        <w:rPr>
          <w:sz w:val="20"/>
          <w:szCs w:val="20"/>
          <w:color w:val="auto"/>
        </w:rPr>
      </w:pPr>
      <w:r>
        <w:rPr>
          <w:rFonts w:ascii="Arial" w:cs="Arial" w:eastAsia="Arial" w:hAnsi="Arial"/>
          <w:sz w:val="18"/>
          <w:szCs w:val="18"/>
          <w:color w:val="auto"/>
        </w:rPr>
        <w:t>(a)</w:t>
      </w:r>
      <w:r>
        <w:rPr>
          <w:sz w:val="20"/>
          <w:szCs w:val="20"/>
          <w:color w:val="auto"/>
        </w:rPr>
        <w:tab/>
      </w:r>
      <w:r>
        <w:rPr>
          <w:rFonts w:ascii="MS PGothic" w:cs="MS PGothic" w:eastAsia="MS PGothic" w:hAnsi="MS PGothic"/>
          <w:sz w:val="18"/>
          <w:szCs w:val="18"/>
          <w:color w:val="auto"/>
        </w:rPr>
        <w:t>☒</w:t>
      </w:r>
    </w:p>
    <w:p>
      <w:pPr>
        <w:spacing w:after="0" w:line="16" w:lineRule="exact"/>
        <w:rPr>
          <w:sz w:val="20"/>
          <w:szCs w:val="20"/>
          <w:color w:val="auto"/>
        </w:rPr>
      </w:pPr>
    </w:p>
    <w:p>
      <w:pPr>
        <w:jc w:val="both"/>
        <w:ind w:left="10473"/>
        <w:spacing w:after="0"/>
        <w:tabs>
          <w:tab w:leader="none" w:pos="10892" w:val="left"/>
        </w:tabs>
        <w:rPr>
          <w:sz w:val="20"/>
          <w:szCs w:val="20"/>
          <w:color w:val="auto"/>
        </w:rPr>
      </w:pPr>
      <w:r>
        <w:rPr>
          <w:rFonts w:ascii="Arial" w:cs="Arial" w:eastAsia="Arial" w:hAnsi="Arial"/>
          <w:sz w:val="18"/>
          <w:szCs w:val="18"/>
          <w:color w:val="auto"/>
        </w:rPr>
        <w:t>(b)</w:t>
        <w:tab/>
        <w:t>o</w:t>
      </w:r>
    </w:p>
    <w:p>
      <w:pPr>
        <w:spacing w:after="0" w:line="169" w:lineRule="exact"/>
        <w:rPr>
          <w:sz w:val="20"/>
          <w:szCs w:val="20"/>
          <w:color w:val="auto"/>
        </w:rPr>
      </w:pPr>
    </w:p>
    <w:p>
      <w:pPr>
        <w:ind w:left="613" w:hanging="568"/>
        <w:spacing w:after="0"/>
        <w:tabs>
          <w:tab w:leader="none" w:pos="613"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613" w:right="6820" w:hanging="568"/>
        <w:spacing w:after="0" w:line="477" w:lineRule="auto"/>
        <w:tabs>
          <w:tab w:leader="none" w:pos="613"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 OR PLACE OF ORGANIZATION New York</w:t>
      </w:r>
    </w:p>
    <w:p>
      <w:pPr>
        <w:spacing w:after="0" w:line="1" w:lineRule="exact"/>
        <w:rPr>
          <w:rFonts w:ascii="Arial" w:cs="Arial" w:eastAsia="Arial" w:hAnsi="Arial"/>
          <w:sz w:val="18"/>
          <w:szCs w:val="18"/>
          <w:color w:val="auto"/>
        </w:rPr>
      </w:pPr>
    </w:p>
    <w:p>
      <w:pPr>
        <w:ind w:left="2893" w:hanging="572"/>
        <w:spacing w:after="0"/>
        <w:tabs>
          <w:tab w:leader="none" w:pos="2893"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25" w:lineRule="exact"/>
        <w:rPr>
          <w:sz w:val="20"/>
          <w:szCs w:val="20"/>
          <w:color w:val="auto"/>
        </w:rPr>
      </w:pPr>
    </w:p>
    <w:tbl>
      <w:tblPr>
        <w:tblLayout w:type="fixed"/>
        <w:tblInd w:w="213" w:type="dxa"/>
        <w:tblCellMar>
          <w:top w:w="0" w:type="dxa"/>
          <w:left w:w="0" w:type="dxa"/>
          <w:bottom w:w="0" w:type="dxa"/>
          <w:right w:w="0" w:type="dxa"/>
        </w:tblCellMar>
      </w:tblPr>
      <w:tr>
        <w:trPr>
          <w:trHeight w:val="230"/>
        </w:trPr>
        <w:tc>
          <w:tcPr>
            <w:tcW w:w="17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440" w:type="dxa"/>
            <w:vAlign w:val="bottom"/>
          </w:tcPr>
          <w:p>
            <w:pPr>
              <w:ind w:left="220"/>
              <w:spacing w:after="0"/>
              <w:rPr>
                <w:sz w:val="20"/>
                <w:szCs w:val="20"/>
                <w:color w:val="auto"/>
              </w:rPr>
            </w:pPr>
            <w:r>
              <w:rPr>
                <w:rFonts w:ascii="Arial" w:cs="Arial" w:eastAsia="Arial" w:hAnsi="Arial"/>
                <w:sz w:val="18"/>
                <w:szCs w:val="18"/>
                <w:color w:val="auto"/>
              </w:rPr>
              <w:t>8345</w:t>
            </w:r>
          </w:p>
        </w:tc>
        <w:tc>
          <w:tcPr>
            <w:tcW w:w="0" w:type="dxa"/>
            <w:vAlign w:val="bottom"/>
          </w:tcPr>
          <w:p>
            <w:pPr>
              <w:spacing w:after="0"/>
              <w:rPr>
                <w:sz w:val="1"/>
                <w:szCs w:val="1"/>
                <w:color w:val="auto"/>
              </w:rPr>
            </w:pPr>
          </w:p>
        </w:tc>
      </w:tr>
      <w:tr>
        <w:trPr>
          <w:trHeight w:val="81"/>
        </w:trPr>
        <w:tc>
          <w:tcPr>
            <w:tcW w:w="1780" w:type="dxa"/>
            <w:vAlign w:val="bottom"/>
            <w:vMerge w:val="restart"/>
          </w:tcPr>
          <w:p>
            <w:pPr>
              <w:jc w:val="center"/>
              <w:ind w:right="410"/>
              <w:spacing w:after="0"/>
              <w:rPr>
                <w:sz w:val="20"/>
                <w:szCs w:val="20"/>
                <w:color w:val="auto"/>
              </w:rPr>
            </w:pPr>
            <w:r>
              <w:rPr>
                <w:rFonts w:ascii="Arial" w:cs="Arial" w:eastAsia="Arial" w:hAnsi="Arial"/>
                <w:sz w:val="18"/>
                <w:szCs w:val="18"/>
                <w:color w:val="auto"/>
                <w:w w:val="96"/>
              </w:rPr>
              <w:t>NUMBER OF</w:t>
            </w:r>
          </w:p>
        </w:tc>
        <w:tc>
          <w:tcPr>
            <w:tcW w:w="680" w:type="dxa"/>
            <w:vAlign w:val="bottom"/>
            <w:tcBorders>
              <w:bottom w:val="single" w:sz="8" w:color="auto"/>
            </w:tcBorders>
          </w:tcPr>
          <w:p>
            <w:pPr>
              <w:spacing w:after="0"/>
              <w:rPr>
                <w:sz w:val="7"/>
                <w:szCs w:val="7"/>
                <w:color w:val="auto"/>
              </w:rPr>
            </w:pPr>
          </w:p>
        </w:tc>
        <w:tc>
          <w:tcPr>
            <w:tcW w:w="84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1"/>
        </w:trPr>
        <w:tc>
          <w:tcPr>
            <w:tcW w:w="1780" w:type="dxa"/>
            <w:vAlign w:val="bottom"/>
            <w:vMerge w:val="continue"/>
          </w:tcPr>
          <w:p>
            <w:pPr>
              <w:spacing w:after="0"/>
              <w:rPr>
                <w:sz w:val="12"/>
                <w:szCs w:val="12"/>
                <w:color w:val="auto"/>
              </w:rPr>
            </w:pPr>
          </w:p>
        </w:tc>
        <w:tc>
          <w:tcPr>
            <w:tcW w:w="680" w:type="dxa"/>
            <w:vAlign w:val="bottom"/>
            <w:vMerge w:val="restart"/>
          </w:tcPr>
          <w:p>
            <w:pPr>
              <w:jc w:val="right"/>
              <w:ind w:right="130"/>
              <w:spacing w:after="0"/>
              <w:rPr>
                <w:sz w:val="20"/>
                <w:szCs w:val="20"/>
                <w:color w:val="auto"/>
              </w:rPr>
            </w:pPr>
            <w:r>
              <w:rPr>
                <w:rFonts w:ascii="Arial" w:cs="Arial" w:eastAsia="Arial" w:hAnsi="Arial"/>
                <w:sz w:val="18"/>
                <w:szCs w:val="18"/>
                <w:color w:val="auto"/>
              </w:rPr>
              <w:t>6.</w:t>
            </w:r>
          </w:p>
        </w:tc>
        <w:tc>
          <w:tcPr>
            <w:tcW w:w="8440" w:type="dxa"/>
            <w:vAlign w:val="bottom"/>
            <w:vMerge w:val="restart"/>
          </w:tcPr>
          <w:p>
            <w:pPr>
              <w:ind w:left="2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49"/>
        </w:trPr>
        <w:tc>
          <w:tcPr>
            <w:tcW w:w="1780" w:type="dxa"/>
            <w:vAlign w:val="bottom"/>
            <w:vMerge w:val="restart"/>
          </w:tcPr>
          <w:p>
            <w:pPr>
              <w:jc w:val="center"/>
              <w:ind w:right="410"/>
              <w:spacing w:after="0"/>
              <w:rPr>
                <w:sz w:val="20"/>
                <w:szCs w:val="20"/>
                <w:color w:val="auto"/>
              </w:rPr>
            </w:pPr>
            <w:r>
              <w:rPr>
                <w:rFonts w:ascii="Arial" w:cs="Arial" w:eastAsia="Arial" w:hAnsi="Arial"/>
                <w:sz w:val="18"/>
                <w:szCs w:val="18"/>
                <w:color w:val="auto"/>
                <w:w w:val="91"/>
              </w:rPr>
              <w:t>SHARES</w:t>
            </w:r>
          </w:p>
        </w:tc>
        <w:tc>
          <w:tcPr>
            <w:tcW w:w="680" w:type="dxa"/>
            <w:vAlign w:val="bottom"/>
            <w:vMerge w:val="continue"/>
          </w:tcPr>
          <w:p>
            <w:pPr>
              <w:spacing w:after="0"/>
              <w:rPr>
                <w:sz w:val="12"/>
                <w:szCs w:val="12"/>
                <w:color w:val="auto"/>
              </w:rPr>
            </w:pPr>
          </w:p>
        </w:tc>
        <w:tc>
          <w:tcPr>
            <w:tcW w:w="8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17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8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780" w:type="dxa"/>
            <w:vAlign w:val="bottom"/>
          </w:tcPr>
          <w:p>
            <w:pPr>
              <w:jc w:val="center"/>
              <w:ind w:right="410"/>
              <w:spacing w:after="0"/>
              <w:rPr>
                <w:sz w:val="20"/>
                <w:szCs w:val="20"/>
                <w:color w:val="auto"/>
              </w:rPr>
            </w:pPr>
            <w:r>
              <w:rPr>
                <w:rFonts w:ascii="Arial" w:cs="Arial" w:eastAsia="Arial" w:hAnsi="Arial"/>
                <w:sz w:val="18"/>
                <w:szCs w:val="18"/>
                <w:color w:val="auto"/>
              </w:rPr>
              <w:t>BENEFICIALLY</w:t>
            </w:r>
          </w:p>
        </w:tc>
        <w:tc>
          <w:tcPr>
            <w:tcW w:w="680" w:type="dxa"/>
            <w:vAlign w:val="bottom"/>
          </w:tcPr>
          <w:p>
            <w:pPr>
              <w:spacing w:after="0"/>
              <w:rPr>
                <w:sz w:val="18"/>
                <w:szCs w:val="18"/>
                <w:color w:val="auto"/>
              </w:rPr>
            </w:pPr>
          </w:p>
        </w:tc>
        <w:tc>
          <w:tcPr>
            <w:tcW w:w="8440" w:type="dxa"/>
            <w:vAlign w:val="bottom"/>
            <w:vMerge w:val="restart"/>
          </w:tcPr>
          <w:p>
            <w:pPr>
              <w:ind w:left="2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49"/>
        </w:trPr>
        <w:tc>
          <w:tcPr>
            <w:tcW w:w="1780" w:type="dxa"/>
            <w:vAlign w:val="bottom"/>
            <w:vMerge w:val="restart"/>
          </w:tcPr>
          <w:p>
            <w:pPr>
              <w:jc w:val="center"/>
              <w:ind w:right="410"/>
              <w:spacing w:after="0"/>
              <w:rPr>
                <w:sz w:val="20"/>
                <w:szCs w:val="20"/>
                <w:color w:val="auto"/>
              </w:rPr>
            </w:pPr>
            <w:r>
              <w:rPr>
                <w:rFonts w:ascii="Arial" w:cs="Arial" w:eastAsia="Arial" w:hAnsi="Arial"/>
                <w:sz w:val="18"/>
                <w:szCs w:val="18"/>
                <w:color w:val="auto"/>
                <w:w w:val="97"/>
              </w:rPr>
              <w:t>OWNED BY</w:t>
            </w:r>
          </w:p>
        </w:tc>
        <w:tc>
          <w:tcPr>
            <w:tcW w:w="680" w:type="dxa"/>
            <w:vAlign w:val="bottom"/>
          </w:tcPr>
          <w:p>
            <w:pPr>
              <w:spacing w:after="0"/>
              <w:rPr>
                <w:sz w:val="12"/>
                <w:szCs w:val="12"/>
                <w:color w:val="auto"/>
              </w:rPr>
            </w:pPr>
          </w:p>
        </w:tc>
        <w:tc>
          <w:tcPr>
            <w:tcW w:w="8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780" w:type="dxa"/>
            <w:vAlign w:val="bottom"/>
            <w:vMerge w:val="continue"/>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84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1780" w:type="dxa"/>
            <w:vAlign w:val="bottom"/>
          </w:tcPr>
          <w:p>
            <w:pPr>
              <w:jc w:val="center"/>
              <w:ind w:right="410"/>
              <w:spacing w:after="0" w:line="182" w:lineRule="exact"/>
              <w:rPr>
                <w:sz w:val="20"/>
                <w:szCs w:val="20"/>
                <w:color w:val="auto"/>
              </w:rPr>
            </w:pPr>
            <w:r>
              <w:rPr>
                <w:rFonts w:ascii="Arial" w:cs="Arial" w:eastAsia="Arial" w:hAnsi="Arial"/>
                <w:sz w:val="18"/>
                <w:szCs w:val="18"/>
                <w:color w:val="auto"/>
                <w:w w:val="95"/>
              </w:rPr>
              <w:t>EACH</w:t>
            </w:r>
          </w:p>
        </w:tc>
        <w:tc>
          <w:tcPr>
            <w:tcW w:w="680" w:type="dxa"/>
            <w:vAlign w:val="bottom"/>
            <w:vMerge w:val="restart"/>
          </w:tcPr>
          <w:p>
            <w:pPr>
              <w:jc w:val="right"/>
              <w:ind w:right="130"/>
              <w:spacing w:after="0"/>
              <w:rPr>
                <w:sz w:val="20"/>
                <w:szCs w:val="20"/>
                <w:color w:val="auto"/>
              </w:rPr>
            </w:pPr>
            <w:r>
              <w:rPr>
                <w:rFonts w:ascii="Arial" w:cs="Arial" w:eastAsia="Arial" w:hAnsi="Arial"/>
                <w:sz w:val="18"/>
                <w:szCs w:val="18"/>
                <w:color w:val="auto"/>
              </w:rPr>
              <w:t>7.</w:t>
            </w:r>
          </w:p>
        </w:tc>
        <w:tc>
          <w:tcPr>
            <w:tcW w:w="8440" w:type="dxa"/>
            <w:vAlign w:val="bottom"/>
            <w:vMerge w:val="restart"/>
          </w:tcPr>
          <w:p>
            <w:pPr>
              <w:ind w:left="2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09"/>
        </w:trPr>
        <w:tc>
          <w:tcPr>
            <w:tcW w:w="1780" w:type="dxa"/>
            <w:vAlign w:val="bottom"/>
            <w:vMerge w:val="restart"/>
          </w:tcPr>
          <w:p>
            <w:pPr>
              <w:jc w:val="center"/>
              <w:ind w:right="410"/>
              <w:spacing w:after="0"/>
              <w:rPr>
                <w:sz w:val="20"/>
                <w:szCs w:val="20"/>
                <w:color w:val="auto"/>
              </w:rPr>
            </w:pPr>
            <w:r>
              <w:rPr>
                <w:rFonts w:ascii="Arial" w:cs="Arial" w:eastAsia="Arial" w:hAnsi="Arial"/>
                <w:sz w:val="18"/>
                <w:szCs w:val="18"/>
                <w:color w:val="auto"/>
                <w:w w:val="93"/>
              </w:rPr>
              <w:t>REPORTING</w:t>
            </w:r>
          </w:p>
        </w:tc>
        <w:tc>
          <w:tcPr>
            <w:tcW w:w="680" w:type="dxa"/>
            <w:vAlign w:val="bottom"/>
            <w:vMerge w:val="continue"/>
          </w:tcPr>
          <w:p>
            <w:pPr>
              <w:spacing w:after="0"/>
              <w:rPr>
                <w:sz w:val="9"/>
                <w:szCs w:val="9"/>
                <w:color w:val="auto"/>
              </w:rPr>
            </w:pPr>
          </w:p>
        </w:tc>
        <w:tc>
          <w:tcPr>
            <w:tcW w:w="8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78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8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780" w:type="dxa"/>
            <w:vAlign w:val="bottom"/>
          </w:tcPr>
          <w:p>
            <w:pPr>
              <w:jc w:val="center"/>
              <w:ind w:right="410"/>
              <w:spacing w:after="0"/>
              <w:rPr>
                <w:sz w:val="20"/>
                <w:szCs w:val="20"/>
                <w:color w:val="auto"/>
              </w:rPr>
            </w:pPr>
            <w:r>
              <w:rPr>
                <w:rFonts w:ascii="Arial" w:cs="Arial" w:eastAsia="Arial" w:hAnsi="Arial"/>
                <w:sz w:val="18"/>
                <w:szCs w:val="18"/>
                <w:color w:val="auto"/>
                <w:w w:val="89"/>
              </w:rPr>
              <w:t>PERSON</w:t>
            </w:r>
          </w:p>
        </w:tc>
        <w:tc>
          <w:tcPr>
            <w:tcW w:w="680" w:type="dxa"/>
            <w:vAlign w:val="bottom"/>
          </w:tcPr>
          <w:p>
            <w:pPr>
              <w:spacing w:after="0"/>
              <w:rPr>
                <w:sz w:val="18"/>
                <w:szCs w:val="18"/>
                <w:color w:val="auto"/>
              </w:rPr>
            </w:pPr>
          </w:p>
        </w:tc>
        <w:tc>
          <w:tcPr>
            <w:tcW w:w="8440" w:type="dxa"/>
            <w:vAlign w:val="bottom"/>
            <w:vMerge w:val="restart"/>
          </w:tcPr>
          <w:p>
            <w:pPr>
              <w:ind w:left="220"/>
              <w:spacing w:after="0"/>
              <w:rPr>
                <w:sz w:val="20"/>
                <w:szCs w:val="20"/>
                <w:color w:val="auto"/>
              </w:rPr>
            </w:pPr>
            <w:r>
              <w:rPr>
                <w:rFonts w:ascii="Arial" w:cs="Arial" w:eastAsia="Arial" w:hAnsi="Arial"/>
                <w:sz w:val="18"/>
                <w:szCs w:val="18"/>
                <w:color w:val="auto"/>
              </w:rPr>
              <w:t>2,545,892</w:t>
            </w:r>
          </w:p>
        </w:tc>
        <w:tc>
          <w:tcPr>
            <w:tcW w:w="0" w:type="dxa"/>
            <w:vAlign w:val="bottom"/>
          </w:tcPr>
          <w:p>
            <w:pPr>
              <w:spacing w:after="0"/>
              <w:rPr>
                <w:sz w:val="1"/>
                <w:szCs w:val="1"/>
                <w:color w:val="auto"/>
              </w:rPr>
            </w:pPr>
          </w:p>
        </w:tc>
      </w:tr>
      <w:tr>
        <w:trPr>
          <w:trHeight w:val="109"/>
        </w:trPr>
        <w:tc>
          <w:tcPr>
            <w:tcW w:w="1780" w:type="dxa"/>
            <w:vAlign w:val="bottom"/>
            <w:vMerge w:val="restart"/>
          </w:tcPr>
          <w:p>
            <w:pPr>
              <w:jc w:val="center"/>
              <w:ind w:right="410"/>
              <w:spacing w:after="0"/>
              <w:rPr>
                <w:sz w:val="20"/>
                <w:szCs w:val="20"/>
                <w:color w:val="auto"/>
              </w:rPr>
            </w:pPr>
            <w:r>
              <w:rPr>
                <w:rFonts w:ascii="Arial" w:cs="Arial" w:eastAsia="Arial" w:hAnsi="Arial"/>
                <w:sz w:val="18"/>
                <w:szCs w:val="18"/>
                <w:color w:val="auto"/>
              </w:rPr>
              <w:t>WITH</w:t>
            </w:r>
          </w:p>
        </w:tc>
        <w:tc>
          <w:tcPr>
            <w:tcW w:w="680" w:type="dxa"/>
            <w:vAlign w:val="bottom"/>
          </w:tcPr>
          <w:p>
            <w:pPr>
              <w:spacing w:after="0"/>
              <w:rPr>
                <w:sz w:val="9"/>
                <w:szCs w:val="9"/>
                <w:color w:val="auto"/>
              </w:rPr>
            </w:pPr>
          </w:p>
        </w:tc>
        <w:tc>
          <w:tcPr>
            <w:tcW w:w="8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78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84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2893" w:right="5700" w:hanging="572"/>
        <w:spacing w:after="0" w:line="477" w:lineRule="auto"/>
        <w:tabs>
          <w:tab w:leader="none" w:pos="2893" w:val="left"/>
        </w:tabs>
        <w:numPr>
          <w:ilvl w:val="1"/>
          <w:numId w:val="5"/>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1" w:lineRule="exact"/>
        <w:rPr>
          <w:rFonts w:ascii="Arial" w:cs="Arial" w:eastAsia="Arial" w:hAnsi="Arial"/>
          <w:sz w:val="18"/>
          <w:szCs w:val="18"/>
          <w:color w:val="auto"/>
        </w:rPr>
      </w:pPr>
    </w:p>
    <w:p>
      <w:pPr>
        <w:ind w:left="613" w:right="3940" w:hanging="568"/>
        <w:spacing w:after="0" w:line="477" w:lineRule="auto"/>
        <w:tabs>
          <w:tab w:leader="none" w:pos="613" w:val="left"/>
        </w:tabs>
        <w:numPr>
          <w:ilvl w:val="0"/>
          <w:numId w:val="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2,545,892</w:t>
      </w:r>
    </w:p>
    <w:p>
      <w:pPr>
        <w:spacing w:after="0" w:line="1" w:lineRule="exact"/>
        <w:rPr>
          <w:sz w:val="20"/>
          <w:szCs w:val="20"/>
          <w:color w:val="auto"/>
        </w:rPr>
      </w:pPr>
    </w:p>
    <w:p>
      <w:pPr>
        <w:ind w:left="613" w:right="3860" w:hanging="613"/>
        <w:spacing w:after="0" w:line="258" w:lineRule="auto"/>
        <w:tabs>
          <w:tab w:leader="none" w:pos="613"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1"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o</w:t>
      </w:r>
    </w:p>
    <w:p>
      <w:pPr>
        <w:spacing w:after="0" w:line="170" w:lineRule="exact"/>
        <w:rPr>
          <w:sz w:val="20"/>
          <w:szCs w:val="20"/>
          <w:color w:val="auto"/>
        </w:rPr>
      </w:pPr>
    </w:p>
    <w:p>
      <w:pPr>
        <w:ind w:left="613" w:right="5440" w:hanging="609"/>
        <w:spacing w:after="0" w:line="477" w:lineRule="auto"/>
        <w:tabs>
          <w:tab w:leader="none" w:pos="613"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(9) 7.3%</w:t>
      </w:r>
    </w:p>
    <w:p>
      <w:pPr>
        <w:spacing w:after="0" w:line="1" w:lineRule="exact"/>
        <w:rPr>
          <w:rFonts w:ascii="Arial" w:cs="Arial" w:eastAsia="Arial" w:hAnsi="Arial"/>
          <w:sz w:val="18"/>
          <w:szCs w:val="18"/>
          <w:color w:val="auto"/>
        </w:rPr>
      </w:pPr>
    </w:p>
    <w:p>
      <w:pPr>
        <w:ind w:left="613" w:right="6160" w:hanging="613"/>
        <w:spacing w:after="0" w:line="528" w:lineRule="auto"/>
        <w:tabs>
          <w:tab w:leader="none" w:pos="613" w:val="left"/>
        </w:tabs>
        <w:numPr>
          <w:ilvl w:val="0"/>
          <w:numId w:val="8"/>
        </w:numPr>
        <w:rPr>
          <w:rFonts w:ascii="Arial" w:cs="Arial" w:eastAsia="Arial" w:hAnsi="Arial"/>
          <w:sz w:val="18"/>
          <w:szCs w:val="18"/>
          <w:color w:val="auto"/>
        </w:rPr>
      </w:pPr>
      <w:r>
        <w:rPr>
          <w:rFonts w:ascii="Arial" w:cs="Arial" w:eastAsia="Arial" w:hAnsi="Arial"/>
          <w:sz w:val="18"/>
          <w:szCs w:val="18"/>
          <w:color w:val="auto"/>
        </w:rPr>
        <w:t>TYPE OF REPORTING PERSON (SEE INSTRUCTIONS)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wp:posOffset>
            </wp:positionH>
            <wp:positionV relativeFrom="paragraph">
              <wp:posOffset>331470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13"/>
          </w:cols>
          <w:pgMar w:left="547" w:top="1003" w:right="239" w:bottom="1440" w:gutter="0" w:footer="0" w:header="0"/>
        </w:sectPr>
      </w:pPr>
    </w:p>
    <w:bookmarkStart w:id="2" w:name="page3"/>
    <w:bookmarkEnd w:id="2"/>
    <w:p>
      <w:pPr>
        <w:spacing w:after="0"/>
        <w:rPr>
          <w:sz w:val="20"/>
          <w:szCs w:val="20"/>
          <w:color w:val="auto"/>
        </w:rPr>
      </w:pPr>
      <w:r>
        <w:rPr>
          <w:rFonts w:ascii="Arial" w:cs="Arial" w:eastAsia="Arial" w:hAnsi="Arial"/>
          <w:sz w:val="17"/>
          <w:szCs w:val="17"/>
          <w:b w:val="1"/>
          <w:bCs w:val="1"/>
          <w:color w:val="auto"/>
        </w:rPr>
        <w:t>Item 1(a).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Name of Issuer:</w:t>
      </w:r>
    </w:p>
    <w:p>
      <w:pPr>
        <w:spacing w:after="0" w:line="50" w:lineRule="exact"/>
        <w:rPr>
          <w:sz w:val="20"/>
          <w:szCs w:val="20"/>
          <w:color w:val="auto"/>
        </w:rPr>
      </w:pPr>
    </w:p>
    <w:p>
      <w:pPr>
        <w:sectPr>
          <w:pgSz w:w="11900" w:h="16838" w:orient="portrait"/>
          <w:cols w:equalWidth="0" w:num="2">
            <w:col w:w="1000" w:space="720"/>
            <w:col w:w="9680"/>
          </w:cols>
          <w:pgMar w:left="240" w:top="904" w:right="259" w:bottom="1440" w:gutter="0" w:footer="0" w:header="0"/>
        </w:sectPr>
      </w:pPr>
    </w:p>
    <w:p>
      <w:pPr>
        <w:ind w:left="1720"/>
        <w:spacing w:after="0"/>
        <w:rPr>
          <w:sz w:val="20"/>
          <w:szCs w:val="20"/>
          <w:color w:val="auto"/>
        </w:rPr>
      </w:pPr>
      <w:r>
        <w:rPr>
          <w:rFonts w:ascii="Arial" w:cs="Arial" w:eastAsia="Arial" w:hAnsi="Arial"/>
          <w:sz w:val="17"/>
          <w:szCs w:val="17"/>
          <w:color w:val="auto"/>
        </w:rPr>
        <w:t>Kornit Digital, LTD</w:t>
      </w:r>
    </w:p>
    <w:p>
      <w:pPr>
        <w:sectPr>
          <w:pgSz w:w="11900" w:h="16838" w:orient="portrait"/>
          <w:cols w:equalWidth="0" w:num="1">
            <w:col w:w="11400"/>
          </w:cols>
          <w:pgMar w:left="240" w:top="904" w:right="259" w:bottom="1440" w:gutter="0" w:footer="0" w:header="0"/>
          <w:type w:val="continuous"/>
        </w:sect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1(b).</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Address of Issuer’s Principal Executive Offices: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12 Ha Amal 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Afar Park, Rosh-HA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Ayin 4809246, Israel</w:t>
      </w:r>
    </w:p>
    <w:p>
      <w:pPr>
        <w:spacing w:after="0" w:line="200" w:lineRule="exact"/>
        <w:rPr>
          <w:sz w:val="20"/>
          <w:szCs w:val="20"/>
          <w:color w:val="auto"/>
        </w:rPr>
      </w:pPr>
    </w:p>
    <w:p>
      <w:pPr>
        <w:sectPr>
          <w:pgSz w:w="11900" w:h="16838" w:orient="portrait"/>
          <w:cols w:equalWidth="0" w:num="2">
            <w:col w:w="1000" w:space="720"/>
            <w:col w:w="9680"/>
          </w:cols>
          <w:pgMar w:left="240" w:top="904" w:right="25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Name of Person Filing:</w:t>
      </w:r>
    </w:p>
    <w:p>
      <w:pPr>
        <w:spacing w:after="0" w:line="50" w:lineRule="exact"/>
        <w:rPr>
          <w:sz w:val="20"/>
          <w:szCs w:val="20"/>
          <w:color w:val="auto"/>
        </w:rPr>
      </w:pPr>
    </w:p>
    <w:p>
      <w:pPr>
        <w:sectPr>
          <w:pgSz w:w="11900" w:h="16838" w:orient="portrait"/>
          <w:cols w:equalWidth="0" w:num="2">
            <w:col w:w="1000" w:space="720"/>
            <w:col w:w="9680"/>
          </w:cols>
          <w:pgMar w:left="240" w:top="904" w:right="259" w:bottom="1440" w:gutter="0" w:footer="0" w:header="0"/>
          <w:type w:val="continuous"/>
        </w:sectPr>
      </w:pPr>
    </w:p>
    <w:p>
      <w:pPr>
        <w:ind w:left="1720"/>
        <w:spacing w:after="0"/>
        <w:rPr>
          <w:sz w:val="20"/>
          <w:szCs w:val="20"/>
          <w:color w:val="auto"/>
        </w:rPr>
      </w:pPr>
      <w:r>
        <w:rPr>
          <w:rFonts w:ascii="Arial" w:cs="Arial" w:eastAsia="Arial" w:hAnsi="Arial"/>
          <w:sz w:val="16"/>
          <w:szCs w:val="16"/>
          <w:color w:val="auto"/>
        </w:rPr>
        <w:t>American Capital Management, Inc.</w:t>
      </w:r>
    </w:p>
    <w:p>
      <w:pPr>
        <w:sectPr>
          <w:pgSz w:w="11900" w:h="16838" w:orient="portrait"/>
          <w:cols w:equalWidth="0" w:num="1">
            <w:col w:w="11400"/>
          </w:cols>
          <w:pgMar w:left="240" w:top="904" w:right="259" w:bottom="1440" w:gutter="0" w:footer="0" w:header="0"/>
          <w:type w:val="continuous"/>
        </w:sectPr>
      </w:pP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2(b).</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Address of Principal Business Office or, if none, Residence: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551 Madison Ave, Suite 902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10022</w:t>
      </w:r>
    </w:p>
    <w:p>
      <w:pPr>
        <w:spacing w:after="0" w:line="200" w:lineRule="exact"/>
        <w:rPr>
          <w:sz w:val="20"/>
          <w:szCs w:val="20"/>
          <w:color w:val="auto"/>
        </w:rPr>
      </w:pPr>
    </w:p>
    <w:p>
      <w:pPr>
        <w:sectPr>
          <w:pgSz w:w="11900" w:h="16838" w:orient="portrait"/>
          <w:cols w:equalWidth="0" w:num="2">
            <w:col w:w="1000" w:space="720"/>
            <w:col w:w="9680"/>
          </w:cols>
          <w:pgMar w:left="240" w:top="904" w:right="25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Citizenship:</w:t>
      </w:r>
    </w:p>
    <w:p>
      <w:pPr>
        <w:spacing w:after="0" w:line="50" w:lineRule="exact"/>
        <w:rPr>
          <w:sz w:val="20"/>
          <w:szCs w:val="20"/>
          <w:color w:val="auto"/>
        </w:rPr>
      </w:pPr>
    </w:p>
    <w:p>
      <w:pPr>
        <w:sectPr>
          <w:pgSz w:w="11900" w:h="16838" w:orient="portrait"/>
          <w:cols w:equalWidth="0" w:num="2">
            <w:col w:w="1000" w:space="720"/>
            <w:col w:w="9680"/>
          </w:cols>
          <w:pgMar w:left="240" w:top="904" w:right="259" w:bottom="1440" w:gutter="0" w:footer="0" w:header="0"/>
          <w:type w:val="continuous"/>
        </w:sectPr>
      </w:pPr>
    </w:p>
    <w:p>
      <w:pPr>
        <w:ind w:left="1720"/>
        <w:spacing w:after="0"/>
        <w:rPr>
          <w:sz w:val="20"/>
          <w:szCs w:val="20"/>
          <w:color w:val="auto"/>
        </w:rPr>
      </w:pPr>
      <w:r>
        <w:rPr>
          <w:rFonts w:ascii="Arial" w:cs="Arial" w:eastAsia="Arial" w:hAnsi="Arial"/>
          <w:sz w:val="17"/>
          <w:szCs w:val="17"/>
          <w:color w:val="auto"/>
        </w:rPr>
        <w:t>New York</w:t>
      </w:r>
    </w:p>
    <w:p>
      <w:pPr>
        <w:sectPr>
          <w:pgSz w:w="11900" w:h="16838" w:orient="portrait"/>
          <w:cols w:equalWidth="0" w:num="1">
            <w:col w:w="11400"/>
          </w:cols>
          <w:pgMar w:left="240" w:top="904" w:right="259" w:bottom="1440" w:gutter="0" w:footer="0" w:header="0"/>
          <w:type w:val="continuous"/>
        </w:sect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2(d).</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Title of Class of Securities:</w:t>
      </w:r>
    </w:p>
    <w:p>
      <w:pPr>
        <w:spacing w:after="0" w:line="50" w:lineRule="exact"/>
        <w:rPr>
          <w:sz w:val="20"/>
          <w:szCs w:val="20"/>
          <w:color w:val="auto"/>
        </w:rPr>
      </w:pPr>
    </w:p>
    <w:p>
      <w:pPr>
        <w:sectPr>
          <w:pgSz w:w="11900" w:h="16838" w:orient="portrait"/>
          <w:cols w:equalWidth="0" w:num="2">
            <w:col w:w="1000" w:space="720"/>
            <w:col w:w="9680"/>
          </w:cols>
          <w:pgMar w:left="240" w:top="904" w:right="259" w:bottom="1440" w:gutter="0" w:footer="0" w:header="0"/>
          <w:type w:val="continuous"/>
        </w:sectPr>
      </w:pPr>
    </w:p>
    <w:p>
      <w:pPr>
        <w:ind w:left="1720"/>
        <w:spacing w:after="0"/>
        <w:rPr>
          <w:sz w:val="20"/>
          <w:szCs w:val="20"/>
          <w:color w:val="auto"/>
        </w:rPr>
      </w:pPr>
      <w:r>
        <w:rPr>
          <w:rFonts w:ascii="Arial" w:cs="Arial" w:eastAsia="Arial" w:hAnsi="Arial"/>
          <w:sz w:val="16"/>
          <w:szCs w:val="16"/>
          <w:color w:val="auto"/>
        </w:rPr>
        <w:t>Common Stock</w:t>
      </w:r>
    </w:p>
    <w:p>
      <w:pPr>
        <w:sectPr>
          <w:pgSz w:w="11900" w:h="16838" w:orient="portrait"/>
          <w:cols w:equalWidth="0" w:num="1">
            <w:col w:w="11400"/>
          </w:cols>
          <w:pgMar w:left="240" w:top="904" w:right="259" w:bottom="1440" w:gutter="0" w:footer="0" w:header="0"/>
          <w:type w:val="continuous"/>
        </w:sectPr>
      </w:pP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2(e).</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CUSIP Number:</w:t>
      </w:r>
    </w:p>
    <w:p>
      <w:pPr>
        <w:spacing w:after="0" w:line="39" w:lineRule="exact"/>
        <w:rPr>
          <w:sz w:val="20"/>
          <w:szCs w:val="20"/>
          <w:color w:val="auto"/>
        </w:rPr>
      </w:pPr>
    </w:p>
    <w:p>
      <w:pPr>
        <w:sectPr>
          <w:pgSz w:w="11900" w:h="16838" w:orient="portrait"/>
          <w:cols w:equalWidth="0" w:num="2">
            <w:col w:w="1000" w:space="720"/>
            <w:col w:w="9680"/>
          </w:cols>
          <w:pgMar w:left="240" w:top="904" w:right="259" w:bottom="1440" w:gutter="0" w:footer="0" w:header="0"/>
          <w:type w:val="continuous"/>
        </w:sectPr>
      </w:pPr>
    </w:p>
    <w:p>
      <w:pPr>
        <w:ind w:left="1720"/>
        <w:spacing w:after="0"/>
        <w:rPr>
          <w:sz w:val="20"/>
          <w:szCs w:val="20"/>
          <w:color w:val="auto"/>
        </w:rPr>
      </w:pPr>
      <w:r>
        <w:rPr>
          <w:rFonts w:ascii="Arial" w:cs="Arial" w:eastAsia="Arial" w:hAnsi="Arial"/>
          <w:sz w:val="16"/>
          <w:szCs w:val="16"/>
          <w:color w:val="auto"/>
        </w:rPr>
        <w:t>M6372Q113</w:t>
      </w:r>
    </w:p>
    <w:p>
      <w:pPr>
        <w:sectPr>
          <w:pgSz w:w="11900" w:h="16838" w:orient="portrait"/>
          <w:cols w:equalWidth="0" w:num="1">
            <w:col w:w="11400"/>
          </w:cols>
          <w:pgMar w:left="240" w:top="904" w:right="259" w:bottom="1440" w:gutter="0" w:footer="0" w:header="0"/>
          <w:type w:val="continuous"/>
        </w:sectPr>
      </w:pP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jc w:val="center"/>
        <w:ind w:right="1120"/>
        <w:spacing w:after="0"/>
        <w:rPr>
          <w:sz w:val="20"/>
          <w:szCs w:val="20"/>
          <w:color w:val="auto"/>
        </w:rPr>
      </w:pPr>
      <w:r>
        <w:rPr>
          <w:rFonts w:ascii="Arial" w:cs="Arial" w:eastAsia="Arial" w:hAnsi="Arial"/>
          <w:sz w:val="16"/>
          <w:szCs w:val="16"/>
          <w:b w:val="1"/>
          <w:bCs w:val="1"/>
          <w:color w:val="auto"/>
        </w:rPr>
        <w:t>If this statement is filed pursuant to §§ 240.13d-1(b), or 240.13d-2(b) or (c), check whether the person filing is a:</w:t>
      </w:r>
    </w:p>
    <w:p>
      <w:pPr>
        <w:spacing w:after="0" w:line="211" w:lineRule="exact"/>
        <w:rPr>
          <w:sz w:val="20"/>
          <w:szCs w:val="20"/>
          <w:color w:val="auto"/>
        </w:rPr>
      </w:pPr>
    </w:p>
    <w:p>
      <w:pPr>
        <w:sectPr>
          <w:pgSz w:w="11900" w:h="16838" w:orient="portrait"/>
          <w:cols w:equalWidth="0" w:num="2">
            <w:col w:w="1000" w:space="720"/>
            <w:col w:w="9680"/>
          </w:cols>
          <w:pgMar w:left="240" w:top="904" w:right="259" w:bottom="1440" w:gutter="0" w:footer="0" w:header="0"/>
          <w:type w:val="continuous"/>
        </w:sectPr>
      </w:pPr>
    </w:p>
    <w:p>
      <w:pPr>
        <w:spacing w:after="0" w:line="41" w:lineRule="exact"/>
        <w:rPr>
          <w:sz w:val="20"/>
          <w:szCs w:val="20"/>
          <w:color w:val="auto"/>
        </w:rPr>
      </w:pPr>
    </w:p>
    <w:p>
      <w:pPr>
        <w:ind w:left="2540" w:hanging="626"/>
        <w:spacing w:after="0"/>
        <w:tabs>
          <w:tab w:leader="none" w:pos="2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   Broker or dealer registered under Section 15 of the Act (15 U.S.C. 78o);</w:t>
      </w:r>
    </w:p>
    <w:p>
      <w:pPr>
        <w:spacing w:after="0" w:line="90" w:lineRule="exact"/>
        <w:rPr>
          <w:rFonts w:ascii="Arial" w:cs="Arial" w:eastAsia="Arial" w:hAnsi="Arial"/>
          <w:sz w:val="18"/>
          <w:szCs w:val="18"/>
          <w:color w:val="auto"/>
        </w:rPr>
      </w:pPr>
    </w:p>
    <w:p>
      <w:pPr>
        <w:ind w:left="2540" w:hanging="631"/>
        <w:spacing w:after="0"/>
        <w:tabs>
          <w:tab w:leader="none" w:pos="2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   Bank as defined in Section 3(a)(6) of the Act (15 U.S.C. 78c);</w:t>
      </w:r>
    </w:p>
    <w:p>
      <w:pPr>
        <w:spacing w:after="0" w:line="90" w:lineRule="exact"/>
        <w:rPr>
          <w:rFonts w:ascii="Arial" w:cs="Arial" w:eastAsia="Arial" w:hAnsi="Arial"/>
          <w:sz w:val="18"/>
          <w:szCs w:val="18"/>
          <w:color w:val="auto"/>
        </w:rPr>
      </w:pPr>
    </w:p>
    <w:p>
      <w:pPr>
        <w:ind w:left="2540" w:hanging="626"/>
        <w:spacing w:after="0"/>
        <w:tabs>
          <w:tab w:leader="none" w:pos="2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   Insurance company as defined in Section 3(a)(19) of the Act (15 U.S.C. 78c);</w:t>
      </w:r>
    </w:p>
    <w:p>
      <w:pPr>
        <w:spacing w:after="0" w:line="90" w:lineRule="exact"/>
        <w:rPr>
          <w:rFonts w:ascii="Arial" w:cs="Arial" w:eastAsia="Arial" w:hAnsi="Arial"/>
          <w:sz w:val="18"/>
          <w:szCs w:val="18"/>
          <w:color w:val="auto"/>
        </w:rPr>
      </w:pPr>
    </w:p>
    <w:p>
      <w:pPr>
        <w:ind w:left="2540" w:hanging="631"/>
        <w:spacing w:after="0"/>
        <w:tabs>
          <w:tab w:leader="none" w:pos="2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   Investment company registered under Section 8 of the Investment Company Act of 1940 (15 U.S.C. 80a-8);</w:t>
      </w:r>
    </w:p>
    <w:p>
      <w:pPr>
        <w:spacing w:after="0" w:line="57" w:lineRule="exact"/>
        <w:rPr>
          <w:rFonts w:ascii="Arial" w:cs="Arial" w:eastAsia="Arial" w:hAnsi="Arial"/>
          <w:sz w:val="18"/>
          <w:szCs w:val="18"/>
          <w:color w:val="auto"/>
        </w:rPr>
      </w:pPr>
    </w:p>
    <w:p>
      <w:pPr>
        <w:ind w:left="2500" w:hanging="586"/>
        <w:spacing w:after="0" w:line="207" w:lineRule="exact"/>
        <w:tabs>
          <w:tab w:leader="none" w:pos="250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 240.13d-1(b)(1)(ii)(E);</w:t>
      </w:r>
    </w:p>
    <w:p>
      <w:pPr>
        <w:spacing w:after="0" w:line="122" w:lineRule="exact"/>
        <w:rPr>
          <w:rFonts w:ascii="Arial" w:cs="Arial" w:eastAsia="Arial" w:hAnsi="Arial"/>
          <w:sz w:val="18"/>
          <w:szCs w:val="18"/>
          <w:color w:val="auto"/>
        </w:rPr>
      </w:pPr>
    </w:p>
    <w:p>
      <w:pPr>
        <w:ind w:left="2540" w:hanging="616"/>
        <w:spacing w:after="0"/>
        <w:tabs>
          <w:tab w:leader="none" w:pos="2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   An employee benefit plan or endowment fund in accordance with § 240.13d-1(b)(1)(ii)(F);</w:t>
      </w:r>
    </w:p>
    <w:p>
      <w:pPr>
        <w:spacing w:after="0" w:line="90" w:lineRule="exact"/>
        <w:rPr>
          <w:rFonts w:ascii="Arial" w:cs="Arial" w:eastAsia="Arial" w:hAnsi="Arial"/>
          <w:sz w:val="18"/>
          <w:szCs w:val="18"/>
          <w:color w:val="auto"/>
        </w:rPr>
      </w:pPr>
    </w:p>
    <w:p>
      <w:pPr>
        <w:ind w:left="2540" w:hanging="631"/>
        <w:spacing w:after="0"/>
        <w:tabs>
          <w:tab w:leader="none" w:pos="2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   A parent holding company or control person in accordance with § 240.13d-1(b)(1)(ii)(G);</w:t>
      </w:r>
    </w:p>
    <w:p>
      <w:pPr>
        <w:spacing w:after="0" w:line="90" w:lineRule="exact"/>
        <w:rPr>
          <w:rFonts w:ascii="Arial" w:cs="Arial" w:eastAsia="Arial" w:hAnsi="Arial"/>
          <w:sz w:val="18"/>
          <w:szCs w:val="18"/>
          <w:color w:val="auto"/>
        </w:rPr>
      </w:pPr>
    </w:p>
    <w:p>
      <w:pPr>
        <w:ind w:left="2540" w:hanging="631"/>
        <w:spacing w:after="0"/>
        <w:tabs>
          <w:tab w:leader="none" w:pos="2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   A savings association as defined in Section 3(b) of the Federal Deposit Insurance Act (12 U.S.C. 1813);</w:t>
      </w:r>
    </w:p>
    <w:p>
      <w:pPr>
        <w:spacing w:after="0" w:line="90" w:lineRule="exact"/>
        <w:rPr>
          <w:sz w:val="20"/>
          <w:szCs w:val="20"/>
          <w:color w:val="auto"/>
        </w:rPr>
      </w:pPr>
    </w:p>
    <w:p>
      <w:pPr>
        <w:ind w:left="2880" w:hanging="951"/>
        <w:spacing w:after="0" w:line="277" w:lineRule="auto"/>
        <w:tabs>
          <w:tab w:leader="none" w:pos="2551" w:val="left"/>
        </w:tabs>
        <w:numPr>
          <w:ilvl w:val="0"/>
          <w:numId w:val="10"/>
        </w:numPr>
        <w:rPr>
          <w:rFonts w:ascii="Arial" w:cs="Arial" w:eastAsia="Arial" w:hAnsi="Arial"/>
          <w:sz w:val="18"/>
          <w:szCs w:val="18"/>
          <w:color w:val="auto"/>
        </w:rPr>
      </w:pPr>
      <w:r>
        <w:rPr>
          <w:rFonts w:ascii="Arial" w:cs="Arial" w:eastAsia="Arial" w:hAnsi="Arial"/>
          <w:sz w:val="18"/>
          <w:szCs w:val="18"/>
          <w:color w:val="auto"/>
        </w:rPr>
        <w:t>o A church plan that is excluded from the definition of an investment company under Section 3(c)(14) of the Investment Company Act (15 U.S.C. 80a-3);</w:t>
      </w:r>
    </w:p>
    <w:p>
      <w:pPr>
        <w:spacing w:after="0" w:line="35" w:lineRule="exact"/>
        <w:rPr>
          <w:rFonts w:ascii="Arial" w:cs="Arial" w:eastAsia="Arial" w:hAnsi="Arial"/>
          <w:sz w:val="18"/>
          <w:szCs w:val="18"/>
          <w:color w:val="auto"/>
        </w:rPr>
      </w:pPr>
    </w:p>
    <w:p>
      <w:pPr>
        <w:ind w:left="2540" w:hanging="611"/>
        <w:spacing w:after="0"/>
        <w:tabs>
          <w:tab w:leader="none" w:pos="2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   A non-U.S. institution in accordance with § 240.13d-1(b)(1)(ii)(J);</w:t>
      </w:r>
    </w:p>
    <w:p>
      <w:pPr>
        <w:spacing w:after="0" w:line="90" w:lineRule="exact"/>
        <w:rPr>
          <w:sz w:val="20"/>
          <w:szCs w:val="20"/>
          <w:color w:val="auto"/>
        </w:rPr>
      </w:pPr>
    </w:p>
    <w:p>
      <w:pPr>
        <w:ind w:left="2540" w:hanging="631"/>
        <w:spacing w:after="0"/>
        <w:tabs>
          <w:tab w:leader="none" w:pos="2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   Group, in accordance with § 240.13d-1(b)(1)(ii)(K).</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If filing as a non-U.S. institution in accordance with § 240.13d-1(b)(1)(ii)(J), please specify the type of institution: 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20"/>
        </w:trPr>
        <w:tc>
          <w:tcPr>
            <w:tcW w:w="118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0240" w:type="dxa"/>
            <w:vAlign w:val="bottom"/>
          </w:tcPr>
          <w:p>
            <w:pPr>
              <w:ind w:left="540"/>
              <w:spacing w:after="0"/>
              <w:rPr>
                <w:sz w:val="20"/>
                <w:szCs w:val="20"/>
                <w:color w:val="auto"/>
              </w:rPr>
            </w:pPr>
            <w:r>
              <w:rPr>
                <w:rFonts w:ascii="Arial" w:cs="Arial" w:eastAsia="Arial" w:hAnsi="Arial"/>
                <w:sz w:val="18"/>
                <w:szCs w:val="18"/>
                <w:b w:val="1"/>
                <w:bCs w:val="1"/>
                <w:color w:val="auto"/>
              </w:rPr>
              <w:t>Ownership:</w:t>
            </w:r>
          </w:p>
        </w:tc>
      </w:tr>
      <w:tr>
        <w:trPr>
          <w:trHeight w:val="216"/>
        </w:trPr>
        <w:tc>
          <w:tcPr>
            <w:tcW w:w="1180" w:type="dxa"/>
            <w:vAlign w:val="bottom"/>
          </w:tcPr>
          <w:p>
            <w:pPr>
              <w:spacing w:after="0"/>
              <w:rPr>
                <w:sz w:val="18"/>
                <w:szCs w:val="18"/>
                <w:color w:val="auto"/>
              </w:rPr>
            </w:pPr>
          </w:p>
        </w:tc>
        <w:tc>
          <w:tcPr>
            <w:tcW w:w="10240" w:type="dxa"/>
            <w:vAlign w:val="bottom"/>
          </w:tcPr>
          <w:p>
            <w:pPr>
              <w:ind w:left="540"/>
              <w:spacing w:after="0"/>
              <w:rPr>
                <w:sz w:val="20"/>
                <w:szCs w:val="20"/>
                <w:color w:val="auto"/>
              </w:rPr>
            </w:pPr>
            <w:r>
              <w:rPr>
                <w:rFonts w:ascii="Arial" w:cs="Arial" w:eastAsia="Arial" w:hAnsi="Arial"/>
                <w:sz w:val="18"/>
                <w:szCs w:val="18"/>
                <w:color w:val="auto"/>
                <w:w w:val="92"/>
              </w:rPr>
              <w:t>Provide the following information regarding the aggregate number and percentage of the class of securities of the issuer identified in</w:t>
            </w:r>
          </w:p>
        </w:tc>
      </w:tr>
      <w:tr>
        <w:trPr>
          <w:trHeight w:val="230"/>
        </w:trPr>
        <w:tc>
          <w:tcPr>
            <w:tcW w:w="1180" w:type="dxa"/>
            <w:vAlign w:val="bottom"/>
          </w:tcPr>
          <w:p>
            <w:pPr>
              <w:spacing w:after="0"/>
              <w:rPr>
                <w:sz w:val="20"/>
                <w:szCs w:val="20"/>
                <w:color w:val="auto"/>
              </w:rPr>
            </w:pPr>
          </w:p>
        </w:tc>
        <w:tc>
          <w:tcPr>
            <w:tcW w:w="10240" w:type="dxa"/>
            <w:vAlign w:val="bottom"/>
          </w:tcPr>
          <w:p>
            <w:pPr>
              <w:ind w:left="540"/>
              <w:spacing w:after="0"/>
              <w:rPr>
                <w:sz w:val="20"/>
                <w:szCs w:val="20"/>
                <w:color w:val="auto"/>
              </w:rPr>
            </w:pPr>
            <w:r>
              <w:rPr>
                <w:rFonts w:ascii="Arial" w:cs="Arial" w:eastAsia="Arial" w:hAnsi="Arial"/>
                <w:sz w:val="18"/>
                <w:szCs w:val="18"/>
                <w:color w:val="auto"/>
              </w:rPr>
              <w:t>Item 1.</w:t>
            </w:r>
          </w:p>
        </w:tc>
      </w:tr>
      <w:tr>
        <w:trPr>
          <w:trHeight w:val="432"/>
        </w:trPr>
        <w:tc>
          <w:tcPr>
            <w:tcW w:w="1180" w:type="dxa"/>
            <w:vAlign w:val="bottom"/>
          </w:tcPr>
          <w:p>
            <w:pPr>
              <w:spacing w:after="0"/>
              <w:rPr>
                <w:sz w:val="24"/>
                <w:szCs w:val="24"/>
                <w:color w:val="auto"/>
              </w:rPr>
            </w:pPr>
          </w:p>
        </w:tc>
        <w:tc>
          <w:tcPr>
            <w:tcW w:w="10240" w:type="dxa"/>
            <w:vAlign w:val="bottom"/>
          </w:tcPr>
          <w:p>
            <w:pPr>
              <w:ind w:left="740"/>
              <w:spacing w:after="0"/>
              <w:rPr>
                <w:sz w:val="20"/>
                <w:szCs w:val="20"/>
                <w:color w:val="auto"/>
              </w:rPr>
            </w:pPr>
            <w:r>
              <w:rPr>
                <w:rFonts w:ascii="Arial" w:cs="Arial" w:eastAsia="Arial" w:hAnsi="Arial"/>
                <w:sz w:val="18"/>
                <w:szCs w:val="18"/>
                <w:color w:val="auto"/>
              </w:rPr>
              <w:t>(a)  Amount beneficially owned: 2,545,892</w:t>
            </w:r>
          </w:p>
        </w:tc>
      </w:tr>
      <w:tr>
        <w:trPr>
          <w:trHeight w:val="432"/>
        </w:trPr>
        <w:tc>
          <w:tcPr>
            <w:tcW w:w="1180" w:type="dxa"/>
            <w:vAlign w:val="bottom"/>
          </w:tcPr>
          <w:p>
            <w:pPr>
              <w:spacing w:after="0"/>
              <w:rPr>
                <w:sz w:val="24"/>
                <w:szCs w:val="24"/>
                <w:color w:val="auto"/>
              </w:rPr>
            </w:pPr>
          </w:p>
        </w:tc>
        <w:tc>
          <w:tcPr>
            <w:tcW w:w="10240" w:type="dxa"/>
            <w:vAlign w:val="bottom"/>
          </w:tcPr>
          <w:p>
            <w:pPr>
              <w:ind w:left="720"/>
              <w:spacing w:after="0"/>
              <w:rPr>
                <w:sz w:val="20"/>
                <w:szCs w:val="20"/>
                <w:color w:val="auto"/>
              </w:rPr>
            </w:pPr>
            <w:r>
              <w:rPr>
                <w:rFonts w:ascii="Arial" w:cs="Arial" w:eastAsia="Arial" w:hAnsi="Arial"/>
                <w:sz w:val="18"/>
                <w:szCs w:val="18"/>
                <w:color w:val="auto"/>
              </w:rPr>
              <w:t>(b)  Percent of class: 7.3%</w:t>
            </w:r>
          </w:p>
        </w:tc>
      </w:tr>
      <w:tr>
        <w:trPr>
          <w:trHeight w:val="432"/>
        </w:trPr>
        <w:tc>
          <w:tcPr>
            <w:tcW w:w="1180" w:type="dxa"/>
            <w:vAlign w:val="bottom"/>
          </w:tcPr>
          <w:p>
            <w:pPr>
              <w:spacing w:after="0"/>
              <w:rPr>
                <w:sz w:val="24"/>
                <w:szCs w:val="24"/>
                <w:color w:val="auto"/>
              </w:rPr>
            </w:pPr>
          </w:p>
        </w:tc>
        <w:tc>
          <w:tcPr>
            <w:tcW w:w="10240" w:type="dxa"/>
            <w:vAlign w:val="bottom"/>
          </w:tcPr>
          <w:p>
            <w:pPr>
              <w:ind w:left="740"/>
              <w:spacing w:after="0"/>
              <w:rPr>
                <w:sz w:val="20"/>
                <w:szCs w:val="20"/>
                <w:color w:val="auto"/>
              </w:rPr>
            </w:pPr>
            <w:r>
              <w:rPr>
                <w:rFonts w:ascii="Arial" w:cs="Arial" w:eastAsia="Arial" w:hAnsi="Arial"/>
                <w:sz w:val="18"/>
                <w:szCs w:val="18"/>
                <w:color w:val="auto"/>
              </w:rPr>
              <w:t>(c)  Number of shares as to which the person has:</w:t>
            </w:r>
          </w:p>
        </w:tc>
      </w:tr>
      <w:tr>
        <w:trPr>
          <w:trHeight w:val="432"/>
        </w:trPr>
        <w:tc>
          <w:tcPr>
            <w:tcW w:w="1180" w:type="dxa"/>
            <w:vAlign w:val="bottom"/>
          </w:tcPr>
          <w:p>
            <w:pPr>
              <w:spacing w:after="0"/>
              <w:rPr>
                <w:sz w:val="24"/>
                <w:szCs w:val="24"/>
                <w:color w:val="auto"/>
              </w:rPr>
            </w:pPr>
          </w:p>
        </w:tc>
        <w:tc>
          <w:tcPr>
            <w:tcW w:w="10240" w:type="dxa"/>
            <w:vAlign w:val="bottom"/>
          </w:tcPr>
          <w:p>
            <w:pPr>
              <w:ind w:left="1320"/>
              <w:spacing w:after="0"/>
              <w:rPr>
                <w:sz w:val="20"/>
                <w:szCs w:val="20"/>
                <w:color w:val="auto"/>
              </w:rPr>
            </w:pPr>
            <w:r>
              <w:rPr>
                <w:rFonts w:ascii="Arial" w:cs="Arial" w:eastAsia="Arial" w:hAnsi="Arial"/>
                <w:sz w:val="18"/>
                <w:szCs w:val="18"/>
                <w:color w:val="auto"/>
              </w:rPr>
              <w:t>(i)  Sole power to vote or to direct the vote: 0</w:t>
            </w:r>
          </w:p>
        </w:tc>
      </w:tr>
      <w:tr>
        <w:trPr>
          <w:trHeight w:val="432"/>
        </w:trPr>
        <w:tc>
          <w:tcPr>
            <w:tcW w:w="1180" w:type="dxa"/>
            <w:vAlign w:val="bottom"/>
          </w:tcPr>
          <w:p>
            <w:pPr>
              <w:spacing w:after="0"/>
              <w:rPr>
                <w:sz w:val="24"/>
                <w:szCs w:val="24"/>
                <w:color w:val="auto"/>
              </w:rPr>
            </w:pPr>
          </w:p>
        </w:tc>
        <w:tc>
          <w:tcPr>
            <w:tcW w:w="10240" w:type="dxa"/>
            <w:vAlign w:val="bottom"/>
          </w:tcPr>
          <w:p>
            <w:pPr>
              <w:ind w:left="1300"/>
              <w:spacing w:after="0"/>
              <w:rPr>
                <w:sz w:val="20"/>
                <w:szCs w:val="20"/>
                <w:color w:val="auto"/>
              </w:rPr>
            </w:pPr>
            <w:r>
              <w:rPr>
                <w:rFonts w:ascii="Arial" w:cs="Arial" w:eastAsia="Arial" w:hAnsi="Arial"/>
                <w:sz w:val="18"/>
                <w:szCs w:val="18"/>
                <w:color w:val="auto"/>
              </w:rPr>
              <w:t>(ii)  Shared power to vote or to direct the vote: 0</w:t>
            </w:r>
          </w:p>
        </w:tc>
      </w:tr>
      <w:tr>
        <w:trPr>
          <w:trHeight w:val="432"/>
        </w:trPr>
        <w:tc>
          <w:tcPr>
            <w:tcW w:w="1180" w:type="dxa"/>
            <w:vAlign w:val="bottom"/>
          </w:tcPr>
          <w:p>
            <w:pPr>
              <w:spacing w:after="0"/>
              <w:rPr>
                <w:sz w:val="24"/>
                <w:szCs w:val="24"/>
                <w:color w:val="auto"/>
              </w:rPr>
            </w:pPr>
          </w:p>
        </w:tc>
        <w:tc>
          <w:tcPr>
            <w:tcW w:w="10240" w:type="dxa"/>
            <w:vAlign w:val="bottom"/>
          </w:tcPr>
          <w:p>
            <w:pPr>
              <w:ind w:left="1280"/>
              <w:spacing w:after="0"/>
              <w:rPr>
                <w:sz w:val="20"/>
                <w:szCs w:val="20"/>
                <w:color w:val="auto"/>
              </w:rPr>
            </w:pPr>
            <w:r>
              <w:rPr>
                <w:rFonts w:ascii="Arial" w:cs="Arial" w:eastAsia="Arial" w:hAnsi="Arial"/>
                <w:sz w:val="18"/>
                <w:szCs w:val="18"/>
                <w:color w:val="auto"/>
              </w:rPr>
              <w:t>(iii)  Sole power to dispose or to direct the disposition of: 2,545,892</w:t>
            </w:r>
          </w:p>
        </w:tc>
      </w:tr>
      <w:tr>
        <w:trPr>
          <w:trHeight w:val="432"/>
        </w:trPr>
        <w:tc>
          <w:tcPr>
            <w:tcW w:w="1180" w:type="dxa"/>
            <w:vAlign w:val="bottom"/>
          </w:tcPr>
          <w:p>
            <w:pPr>
              <w:spacing w:after="0"/>
              <w:rPr>
                <w:sz w:val="24"/>
                <w:szCs w:val="24"/>
                <w:color w:val="auto"/>
              </w:rPr>
            </w:pPr>
          </w:p>
        </w:tc>
        <w:tc>
          <w:tcPr>
            <w:tcW w:w="10240" w:type="dxa"/>
            <w:vAlign w:val="bottom"/>
          </w:tcPr>
          <w:p>
            <w:pPr>
              <w:ind w:left="1280"/>
              <w:spacing w:after="0"/>
              <w:rPr>
                <w:sz w:val="20"/>
                <w:szCs w:val="20"/>
                <w:color w:val="auto"/>
              </w:rPr>
            </w:pPr>
            <w:r>
              <w:rPr>
                <w:rFonts w:ascii="Arial" w:cs="Arial" w:eastAsia="Arial" w:hAnsi="Arial"/>
                <w:sz w:val="18"/>
                <w:szCs w:val="18"/>
                <w:color w:val="auto"/>
              </w:rPr>
              <w:t>(iv)  Shared power to dispose or to direct the disposition of: 0</w:t>
            </w:r>
          </w:p>
        </w:tc>
      </w:tr>
      <w:tr>
        <w:trPr>
          <w:trHeight w:val="418"/>
        </w:trPr>
        <w:tc>
          <w:tcPr>
            <w:tcW w:w="118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0240" w:type="dxa"/>
            <w:vAlign w:val="bottom"/>
          </w:tcPr>
          <w:p>
            <w:pPr>
              <w:ind w:left="540"/>
              <w:spacing w:after="0"/>
              <w:rPr>
                <w:sz w:val="20"/>
                <w:szCs w:val="20"/>
                <w:color w:val="auto"/>
              </w:rPr>
            </w:pPr>
            <w:r>
              <w:rPr>
                <w:rFonts w:ascii="Arial" w:cs="Arial" w:eastAsia="Arial" w:hAnsi="Arial"/>
                <w:sz w:val="18"/>
                <w:szCs w:val="18"/>
                <w:b w:val="1"/>
                <w:bCs w:val="1"/>
                <w:color w:val="auto"/>
              </w:rPr>
              <w:t>Ownership of Five Percent or Less of a Class:</w:t>
            </w:r>
          </w:p>
        </w:tc>
      </w:tr>
      <w:tr>
        <w:trPr>
          <w:trHeight w:val="216"/>
        </w:trPr>
        <w:tc>
          <w:tcPr>
            <w:tcW w:w="1180" w:type="dxa"/>
            <w:vAlign w:val="bottom"/>
          </w:tcPr>
          <w:p>
            <w:pPr>
              <w:spacing w:after="0"/>
              <w:rPr>
                <w:sz w:val="18"/>
                <w:szCs w:val="18"/>
                <w:color w:val="auto"/>
              </w:rPr>
            </w:pPr>
          </w:p>
        </w:tc>
        <w:tc>
          <w:tcPr>
            <w:tcW w:w="10240" w:type="dxa"/>
            <w:vAlign w:val="bottom"/>
          </w:tcPr>
          <w:p>
            <w:pPr>
              <w:ind w:left="540"/>
              <w:spacing w:after="0"/>
              <w:rPr>
                <w:sz w:val="20"/>
                <w:szCs w:val="20"/>
                <w:color w:val="auto"/>
              </w:rPr>
            </w:pPr>
            <w:r>
              <w:rPr>
                <w:rFonts w:ascii="Arial" w:cs="Arial" w:eastAsia="Arial" w:hAnsi="Arial"/>
                <w:sz w:val="18"/>
                <w:szCs w:val="18"/>
                <w:color w:val="auto"/>
                <w:w w:val="90"/>
              </w:rPr>
              <w:t>If this statement is being filed to report the fact that as of the date hereof the reporting person has ceased to be the beneficial owner of</w:t>
            </w:r>
          </w:p>
        </w:tc>
      </w:tr>
      <w:tr>
        <w:trPr>
          <w:trHeight w:val="230"/>
        </w:trPr>
        <w:tc>
          <w:tcPr>
            <w:tcW w:w="1180" w:type="dxa"/>
            <w:vAlign w:val="bottom"/>
          </w:tcPr>
          <w:p>
            <w:pPr>
              <w:spacing w:after="0"/>
              <w:rPr>
                <w:sz w:val="20"/>
                <w:szCs w:val="20"/>
                <w:color w:val="auto"/>
              </w:rPr>
            </w:pPr>
          </w:p>
        </w:tc>
        <w:tc>
          <w:tcPr>
            <w:tcW w:w="10240" w:type="dxa"/>
            <w:vAlign w:val="bottom"/>
          </w:tcPr>
          <w:p>
            <w:pPr>
              <w:ind w:left="540"/>
              <w:spacing w:after="0"/>
              <w:rPr>
                <w:sz w:val="20"/>
                <w:szCs w:val="20"/>
                <w:color w:val="auto"/>
              </w:rPr>
            </w:pPr>
            <w:r>
              <w:rPr>
                <w:rFonts w:ascii="Arial" w:cs="Arial" w:eastAsia="Arial" w:hAnsi="Arial"/>
                <w:sz w:val="18"/>
                <w:szCs w:val="18"/>
                <w:color w:val="auto"/>
              </w:rPr>
              <w:t>more than 5 percent of the class of securities, check the following. o</w:t>
            </w:r>
          </w:p>
        </w:tc>
      </w:tr>
      <w:tr>
        <w:trPr>
          <w:trHeight w:val="418"/>
        </w:trPr>
        <w:tc>
          <w:tcPr>
            <w:tcW w:w="118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240" w:type="dxa"/>
            <w:vAlign w:val="bottom"/>
          </w:tcPr>
          <w:p>
            <w:pPr>
              <w:ind w:left="540"/>
              <w:spacing w:after="0"/>
              <w:rPr>
                <w:sz w:val="20"/>
                <w:szCs w:val="20"/>
                <w:color w:val="auto"/>
              </w:rPr>
            </w:pPr>
            <w:r>
              <w:rPr>
                <w:rFonts w:ascii="Arial" w:cs="Arial" w:eastAsia="Arial" w:hAnsi="Arial"/>
                <w:sz w:val="18"/>
                <w:szCs w:val="18"/>
                <w:b w:val="1"/>
                <w:bCs w:val="1"/>
                <w:color w:val="auto"/>
              </w:rPr>
              <w:t>Ownership of More Than Five Percent on Behalf of Another Person:</w:t>
            </w:r>
          </w:p>
        </w:tc>
      </w:tr>
      <w:tr>
        <w:trPr>
          <w:trHeight w:val="230"/>
        </w:trPr>
        <w:tc>
          <w:tcPr>
            <w:tcW w:w="1180" w:type="dxa"/>
            <w:vAlign w:val="bottom"/>
          </w:tcPr>
          <w:p>
            <w:pPr>
              <w:spacing w:after="0"/>
              <w:rPr>
                <w:sz w:val="20"/>
                <w:szCs w:val="20"/>
                <w:color w:val="auto"/>
              </w:rPr>
            </w:pPr>
          </w:p>
        </w:tc>
        <w:tc>
          <w:tcPr>
            <w:tcW w:w="10240" w:type="dxa"/>
            <w:vAlign w:val="bottom"/>
          </w:tcPr>
          <w:p>
            <w:pPr>
              <w:ind w:left="540"/>
              <w:spacing w:after="0"/>
              <w:rPr>
                <w:sz w:val="20"/>
                <w:szCs w:val="20"/>
                <w:color w:val="auto"/>
              </w:rPr>
            </w:pPr>
            <w:r>
              <w:rPr>
                <w:rFonts w:ascii="Arial" w:cs="Arial" w:eastAsia="Arial" w:hAnsi="Arial"/>
                <w:sz w:val="18"/>
                <w:szCs w:val="18"/>
                <w:color w:val="auto"/>
              </w:rPr>
              <w:t>NA</w:t>
            </w:r>
          </w:p>
        </w:tc>
      </w:tr>
      <w:tr>
        <w:trPr>
          <w:trHeight w:val="414"/>
        </w:trPr>
        <w:tc>
          <w:tcPr>
            <w:tcW w:w="118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10240" w:type="dxa"/>
            <w:vAlign w:val="bottom"/>
          </w:tcPr>
          <w:p>
            <w:pPr>
              <w:ind w:left="540"/>
              <w:spacing w:after="0"/>
              <w:rPr>
                <w:sz w:val="20"/>
                <w:szCs w:val="20"/>
                <w:color w:val="auto"/>
              </w:rPr>
            </w:pPr>
            <w:r>
              <w:rPr>
                <w:rFonts w:ascii="Arial" w:cs="Arial" w:eastAsia="Arial" w:hAnsi="Arial"/>
                <w:sz w:val="18"/>
                <w:szCs w:val="18"/>
                <w:b w:val="1"/>
                <w:bCs w:val="1"/>
                <w:color w:val="auto"/>
                <w:w w:val="93"/>
              </w:rPr>
              <w:t>Identification and Classification of the Subsidiary Which Acquired the Security Being Reported on By the Parent Holding</w:t>
            </w:r>
          </w:p>
        </w:tc>
      </w:tr>
      <w:tr>
        <w:trPr>
          <w:trHeight w:val="220"/>
        </w:trPr>
        <w:tc>
          <w:tcPr>
            <w:tcW w:w="1180" w:type="dxa"/>
            <w:vAlign w:val="bottom"/>
          </w:tcPr>
          <w:p>
            <w:pPr>
              <w:spacing w:after="0"/>
              <w:rPr>
                <w:sz w:val="19"/>
                <w:szCs w:val="19"/>
                <w:color w:val="auto"/>
              </w:rPr>
            </w:pPr>
          </w:p>
        </w:tc>
        <w:tc>
          <w:tcPr>
            <w:tcW w:w="10240" w:type="dxa"/>
            <w:vAlign w:val="bottom"/>
          </w:tcPr>
          <w:p>
            <w:pPr>
              <w:ind w:left="540"/>
              <w:spacing w:after="0"/>
              <w:rPr>
                <w:sz w:val="20"/>
                <w:szCs w:val="20"/>
                <w:color w:val="auto"/>
              </w:rPr>
            </w:pPr>
            <w:r>
              <w:rPr>
                <w:rFonts w:ascii="Arial" w:cs="Arial" w:eastAsia="Arial" w:hAnsi="Arial"/>
                <w:sz w:val="18"/>
                <w:szCs w:val="18"/>
                <w:b w:val="1"/>
                <w:bCs w:val="1"/>
                <w:color w:val="auto"/>
              </w:rPr>
              <w:t>Company:</w:t>
            </w:r>
          </w:p>
        </w:tc>
      </w:tr>
      <w:tr>
        <w:trPr>
          <w:trHeight w:val="230"/>
        </w:trPr>
        <w:tc>
          <w:tcPr>
            <w:tcW w:w="1180" w:type="dxa"/>
            <w:vAlign w:val="bottom"/>
          </w:tcPr>
          <w:p>
            <w:pPr>
              <w:spacing w:after="0"/>
              <w:rPr>
                <w:sz w:val="20"/>
                <w:szCs w:val="20"/>
                <w:color w:val="auto"/>
              </w:rPr>
            </w:pPr>
          </w:p>
        </w:tc>
        <w:tc>
          <w:tcPr>
            <w:tcW w:w="10240" w:type="dxa"/>
            <w:vAlign w:val="bottom"/>
          </w:tcPr>
          <w:p>
            <w:pPr>
              <w:ind w:left="540"/>
              <w:spacing w:after="0"/>
              <w:rPr>
                <w:sz w:val="20"/>
                <w:szCs w:val="20"/>
                <w:color w:val="auto"/>
              </w:rPr>
            </w:pPr>
            <w:r>
              <w:rPr>
                <w:rFonts w:ascii="Arial" w:cs="Arial" w:eastAsia="Arial" w:hAnsi="Arial"/>
                <w:sz w:val="18"/>
                <w:szCs w:val="18"/>
                <w:color w:val="auto"/>
              </w:rPr>
              <w:t>NA</w:t>
            </w:r>
          </w:p>
        </w:tc>
      </w:tr>
      <w:tr>
        <w:trPr>
          <w:trHeight w:val="418"/>
        </w:trPr>
        <w:tc>
          <w:tcPr>
            <w:tcW w:w="118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10240" w:type="dxa"/>
            <w:vAlign w:val="bottom"/>
          </w:tcPr>
          <w:p>
            <w:pPr>
              <w:ind w:left="540"/>
              <w:spacing w:after="0"/>
              <w:rPr>
                <w:sz w:val="20"/>
                <w:szCs w:val="20"/>
                <w:color w:val="auto"/>
              </w:rPr>
            </w:pPr>
            <w:r>
              <w:rPr>
                <w:rFonts w:ascii="Arial" w:cs="Arial" w:eastAsia="Arial" w:hAnsi="Arial"/>
                <w:sz w:val="18"/>
                <w:szCs w:val="18"/>
                <w:b w:val="1"/>
                <w:bCs w:val="1"/>
                <w:color w:val="auto"/>
              </w:rPr>
              <w:t>Identification and Classification of Members of the Group:</w:t>
            </w:r>
          </w:p>
        </w:tc>
      </w:tr>
      <w:tr>
        <w:trPr>
          <w:trHeight w:val="230"/>
        </w:trPr>
        <w:tc>
          <w:tcPr>
            <w:tcW w:w="1180" w:type="dxa"/>
            <w:vAlign w:val="bottom"/>
          </w:tcPr>
          <w:p>
            <w:pPr>
              <w:spacing w:after="0"/>
              <w:rPr>
                <w:sz w:val="20"/>
                <w:szCs w:val="20"/>
                <w:color w:val="auto"/>
              </w:rPr>
            </w:pPr>
          </w:p>
        </w:tc>
        <w:tc>
          <w:tcPr>
            <w:tcW w:w="10240" w:type="dxa"/>
            <w:vAlign w:val="bottom"/>
          </w:tcPr>
          <w:p>
            <w:pPr>
              <w:ind w:left="540"/>
              <w:spacing w:after="0"/>
              <w:rPr>
                <w:sz w:val="20"/>
                <w:szCs w:val="20"/>
                <w:color w:val="auto"/>
              </w:rPr>
            </w:pPr>
            <w:r>
              <w:rPr>
                <w:rFonts w:ascii="Arial" w:cs="Arial" w:eastAsia="Arial" w:hAnsi="Arial"/>
                <w:sz w:val="18"/>
                <w:szCs w:val="18"/>
                <w:color w:val="auto"/>
              </w:rPr>
              <w:t>NA</w:t>
            </w:r>
          </w:p>
        </w:tc>
      </w:tr>
      <w:tr>
        <w:trPr>
          <w:trHeight w:val="418"/>
        </w:trPr>
        <w:tc>
          <w:tcPr>
            <w:tcW w:w="1180" w:type="dxa"/>
            <w:vAlign w:val="bottom"/>
          </w:tcPr>
          <w:p>
            <w:pPr>
              <w:spacing w:after="0"/>
              <w:rPr>
                <w:sz w:val="20"/>
                <w:szCs w:val="20"/>
                <w:color w:val="auto"/>
              </w:rPr>
            </w:pPr>
            <w:r>
              <w:rPr>
                <w:rFonts w:ascii="Arial" w:cs="Arial" w:eastAsia="Arial" w:hAnsi="Arial"/>
                <w:sz w:val="18"/>
                <w:szCs w:val="18"/>
                <w:b w:val="1"/>
                <w:bCs w:val="1"/>
                <w:color w:val="auto"/>
              </w:rPr>
              <w:t>Item 9.</w:t>
            </w:r>
          </w:p>
        </w:tc>
        <w:tc>
          <w:tcPr>
            <w:tcW w:w="10240" w:type="dxa"/>
            <w:vAlign w:val="bottom"/>
          </w:tcPr>
          <w:p>
            <w:pPr>
              <w:ind w:left="540"/>
              <w:spacing w:after="0"/>
              <w:rPr>
                <w:sz w:val="20"/>
                <w:szCs w:val="20"/>
                <w:color w:val="auto"/>
              </w:rPr>
            </w:pPr>
            <w:r>
              <w:rPr>
                <w:rFonts w:ascii="Arial" w:cs="Arial" w:eastAsia="Arial" w:hAnsi="Arial"/>
                <w:sz w:val="18"/>
                <w:szCs w:val="18"/>
                <w:b w:val="1"/>
                <w:bCs w:val="1"/>
                <w:color w:val="auto"/>
              </w:rPr>
              <w:t>Notice of Dissolution of Group:</w:t>
            </w:r>
          </w:p>
        </w:tc>
      </w:tr>
      <w:tr>
        <w:trPr>
          <w:trHeight w:val="230"/>
        </w:trPr>
        <w:tc>
          <w:tcPr>
            <w:tcW w:w="1180" w:type="dxa"/>
            <w:vAlign w:val="bottom"/>
          </w:tcPr>
          <w:p>
            <w:pPr>
              <w:spacing w:after="0"/>
              <w:rPr>
                <w:sz w:val="20"/>
                <w:szCs w:val="20"/>
                <w:color w:val="auto"/>
              </w:rPr>
            </w:pPr>
          </w:p>
        </w:tc>
        <w:tc>
          <w:tcPr>
            <w:tcW w:w="10240" w:type="dxa"/>
            <w:vAlign w:val="bottom"/>
          </w:tcPr>
          <w:p>
            <w:pPr>
              <w:ind w:left="540"/>
              <w:spacing w:after="0"/>
              <w:rPr>
                <w:sz w:val="20"/>
                <w:szCs w:val="20"/>
                <w:color w:val="auto"/>
              </w:rPr>
            </w:pPr>
            <w:r>
              <w:rPr>
                <w:rFonts w:ascii="Arial" w:cs="Arial" w:eastAsia="Arial" w:hAnsi="Arial"/>
                <w:sz w:val="18"/>
                <w:szCs w:val="18"/>
                <w:color w:val="auto"/>
              </w:rPr>
              <w:t>NA</w:t>
            </w:r>
          </w:p>
        </w:tc>
      </w:tr>
      <w:tr>
        <w:trPr>
          <w:trHeight w:val="418"/>
        </w:trPr>
        <w:tc>
          <w:tcPr>
            <w:tcW w:w="1180" w:type="dxa"/>
            <w:vAlign w:val="bottom"/>
          </w:tcPr>
          <w:p>
            <w:pPr>
              <w:spacing w:after="0"/>
              <w:rPr>
                <w:sz w:val="20"/>
                <w:szCs w:val="20"/>
                <w:color w:val="auto"/>
              </w:rPr>
            </w:pPr>
            <w:r>
              <w:rPr>
                <w:rFonts w:ascii="Arial" w:cs="Arial" w:eastAsia="Arial" w:hAnsi="Arial"/>
                <w:sz w:val="18"/>
                <w:szCs w:val="18"/>
                <w:b w:val="1"/>
                <w:bCs w:val="1"/>
                <w:color w:val="auto"/>
              </w:rPr>
              <w:t>Item 10.</w:t>
            </w:r>
          </w:p>
        </w:tc>
        <w:tc>
          <w:tcPr>
            <w:tcW w:w="10240" w:type="dxa"/>
            <w:vAlign w:val="bottom"/>
          </w:tcPr>
          <w:p>
            <w:pPr>
              <w:ind w:left="540"/>
              <w:spacing w:after="0"/>
              <w:rPr>
                <w:sz w:val="20"/>
                <w:szCs w:val="20"/>
                <w:color w:val="auto"/>
              </w:rPr>
            </w:pPr>
            <w:r>
              <w:rPr>
                <w:rFonts w:ascii="Arial" w:cs="Arial" w:eastAsia="Arial" w:hAnsi="Arial"/>
                <w:sz w:val="18"/>
                <w:szCs w:val="18"/>
                <w:b w:val="1"/>
                <w:bCs w:val="1"/>
                <w:color w:val="auto"/>
              </w:rPr>
              <w:t>Certifications:</w:t>
            </w:r>
          </w:p>
        </w:tc>
      </w:tr>
      <w:tr>
        <w:trPr>
          <w:trHeight w:val="216"/>
        </w:trPr>
        <w:tc>
          <w:tcPr>
            <w:tcW w:w="1180" w:type="dxa"/>
            <w:vAlign w:val="bottom"/>
          </w:tcPr>
          <w:p>
            <w:pPr>
              <w:spacing w:after="0"/>
              <w:rPr>
                <w:sz w:val="18"/>
                <w:szCs w:val="18"/>
                <w:color w:val="auto"/>
              </w:rPr>
            </w:pPr>
          </w:p>
        </w:tc>
        <w:tc>
          <w:tcPr>
            <w:tcW w:w="10240" w:type="dxa"/>
            <w:vAlign w:val="bottom"/>
          </w:tcPr>
          <w:p>
            <w:pPr>
              <w:ind w:left="540"/>
              <w:spacing w:after="0"/>
              <w:rPr>
                <w:sz w:val="20"/>
                <w:szCs w:val="20"/>
                <w:color w:val="auto"/>
              </w:rPr>
            </w:pPr>
            <w:r>
              <w:rPr>
                <w:rFonts w:ascii="Arial" w:cs="Arial" w:eastAsia="Arial" w:hAnsi="Arial"/>
                <w:sz w:val="18"/>
                <w:szCs w:val="18"/>
                <w:color w:val="auto"/>
                <w:w w:val="91"/>
              </w:rPr>
              <w:t>By signing below, I certify that, to the best of my knowledge and belief, the securities referred to above were acquired and are held in</w:t>
            </w:r>
          </w:p>
        </w:tc>
      </w:tr>
      <w:tr>
        <w:trPr>
          <w:trHeight w:val="216"/>
        </w:trPr>
        <w:tc>
          <w:tcPr>
            <w:tcW w:w="1180" w:type="dxa"/>
            <w:vAlign w:val="bottom"/>
          </w:tcPr>
          <w:p>
            <w:pPr>
              <w:spacing w:after="0"/>
              <w:rPr>
                <w:sz w:val="18"/>
                <w:szCs w:val="18"/>
                <w:color w:val="auto"/>
              </w:rPr>
            </w:pPr>
          </w:p>
        </w:tc>
        <w:tc>
          <w:tcPr>
            <w:tcW w:w="10240" w:type="dxa"/>
            <w:vAlign w:val="bottom"/>
          </w:tcPr>
          <w:p>
            <w:pPr>
              <w:ind w:left="540"/>
              <w:spacing w:after="0"/>
              <w:rPr>
                <w:sz w:val="20"/>
                <w:szCs w:val="20"/>
                <w:color w:val="auto"/>
              </w:rPr>
            </w:pPr>
            <w:r>
              <w:rPr>
                <w:rFonts w:ascii="Arial" w:cs="Arial" w:eastAsia="Arial" w:hAnsi="Arial"/>
                <w:sz w:val="18"/>
                <w:szCs w:val="18"/>
                <w:color w:val="auto"/>
                <w:w w:val="91"/>
              </w:rPr>
              <w:t>the ordinary course of business and were not acquired and are not held for the purpose of or with the effect of changing or influencing</w:t>
            </w:r>
          </w:p>
        </w:tc>
      </w:tr>
      <w:tr>
        <w:trPr>
          <w:trHeight w:val="216"/>
        </w:trPr>
        <w:tc>
          <w:tcPr>
            <w:tcW w:w="1180" w:type="dxa"/>
            <w:vAlign w:val="bottom"/>
          </w:tcPr>
          <w:p>
            <w:pPr>
              <w:spacing w:after="0"/>
              <w:rPr>
                <w:sz w:val="18"/>
                <w:szCs w:val="18"/>
                <w:color w:val="auto"/>
              </w:rPr>
            </w:pPr>
          </w:p>
        </w:tc>
        <w:tc>
          <w:tcPr>
            <w:tcW w:w="10240" w:type="dxa"/>
            <w:vAlign w:val="bottom"/>
          </w:tcPr>
          <w:p>
            <w:pPr>
              <w:ind w:left="540"/>
              <w:spacing w:after="0"/>
              <w:rPr>
                <w:sz w:val="20"/>
                <w:szCs w:val="20"/>
                <w:color w:val="auto"/>
              </w:rPr>
            </w:pPr>
            <w:r>
              <w:rPr>
                <w:rFonts w:ascii="Arial" w:cs="Arial" w:eastAsia="Arial" w:hAnsi="Arial"/>
                <w:sz w:val="18"/>
                <w:szCs w:val="18"/>
                <w:color w:val="auto"/>
                <w:w w:val="98"/>
              </w:rPr>
              <w:t>the control of the issuer of the securities and were not acquired and are not held in connection with or as a participant in any</w:t>
            </w:r>
          </w:p>
        </w:tc>
      </w:tr>
      <w:tr>
        <w:trPr>
          <w:trHeight w:val="230"/>
        </w:trPr>
        <w:tc>
          <w:tcPr>
            <w:tcW w:w="1180" w:type="dxa"/>
            <w:vAlign w:val="bottom"/>
          </w:tcPr>
          <w:p>
            <w:pPr>
              <w:spacing w:after="0"/>
              <w:rPr>
                <w:sz w:val="20"/>
                <w:szCs w:val="20"/>
                <w:color w:val="auto"/>
              </w:rPr>
            </w:pPr>
          </w:p>
        </w:tc>
        <w:tc>
          <w:tcPr>
            <w:tcW w:w="10240" w:type="dxa"/>
            <w:vAlign w:val="bottom"/>
          </w:tcPr>
          <w:p>
            <w:pPr>
              <w:ind w:left="540"/>
              <w:spacing w:after="0"/>
              <w:rPr>
                <w:sz w:val="20"/>
                <w:szCs w:val="20"/>
                <w:color w:val="auto"/>
              </w:rPr>
            </w:pPr>
            <w:r>
              <w:rPr>
                <w:rFonts w:ascii="Arial" w:cs="Arial" w:eastAsia="Arial" w:hAnsi="Arial"/>
                <w:sz w:val="18"/>
                <w:szCs w:val="18"/>
                <w:color w:val="auto"/>
              </w:rPr>
              <w:t>transaction having that purpose or effect.</w:t>
            </w:r>
          </w:p>
        </w:tc>
      </w:tr>
      <w:tr>
        <w:trPr>
          <w:trHeight w:val="675"/>
        </w:trPr>
        <w:tc>
          <w:tcPr>
            <w:tcW w:w="1180" w:type="dxa"/>
            <w:vAlign w:val="bottom"/>
            <w:tcBorders>
              <w:bottom w:val="single" w:sz="8" w:color="auto"/>
            </w:tcBorders>
          </w:tcPr>
          <w:p>
            <w:pPr>
              <w:spacing w:after="0"/>
              <w:rPr>
                <w:sz w:val="24"/>
                <w:szCs w:val="24"/>
                <w:color w:val="auto"/>
              </w:rPr>
            </w:pPr>
          </w:p>
        </w:tc>
        <w:tc>
          <w:tcPr>
            <w:tcW w:w="102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4" w:name="page5"/>
    <w:bookmarkEnd w:id="4"/>
    <w:p>
      <w:pPr>
        <w:jc w:val="center"/>
        <w:ind w:right="-1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64"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January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19"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P. La Valle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Michael P. LaValle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19"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1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w:t>
      </w:r>
      <w:r>
        <w:rPr>
          <w:rFonts w:ascii="Arial" w:cs="Arial" w:eastAsia="Arial" w:hAnsi="Arial"/>
          <w:sz w:val="18"/>
          <w:szCs w:val="18"/>
          <w:i w:val="1"/>
          <w:iCs w:val="1"/>
          <w:color w:val="auto"/>
        </w:rPr>
        <w:t>Provided, however</w:t>
      </w:r>
      <w:r>
        <w:rPr>
          <w:rFonts w:ascii="Arial" w:cs="Arial" w:eastAsia="Arial" w:hAnsi="Arial"/>
          <w:sz w:val="18"/>
          <w:szCs w:val="18"/>
          <w:color w:val="auto"/>
        </w:rPr>
        <w:t>, that a power of attorney for this purpose which is already on file with the Commission may be incorporated by reference. The name and any title of each person who signs the statement shall be typed or printed beneath his signature.</w:t>
      </w:r>
    </w:p>
    <w:p>
      <w:pPr>
        <w:spacing w:after="0" w:line="184"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Attention: Intentional misstatements or omissions of fact constitute Federal criminal violations</w:t>
      </w:r>
    </w:p>
    <w:p>
      <w:pPr>
        <w:spacing w:after="0" w:line="27"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see</w:t>
      </w:r>
      <w:r>
        <w:rPr>
          <w:rFonts w:ascii="Arial" w:cs="Arial" w:eastAsia="Arial" w:hAnsi="Arial"/>
          <w:sz w:val="18"/>
          <w:szCs w:val="18"/>
          <w:color w:val="auto"/>
        </w:rPr>
        <w:t xml:space="preserv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300"/>
      </w:cols>
      <w:pgMar w:left="240" w:top="90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x"/>
      <w:numFmt w:val="bullet"/>
      <w:start w:val="1"/>
    </w:lvl>
  </w:abstractNum>
  <w:abstractNum w:abstractNumId="1">
    <w:nsid w:val="2EB141F2"/>
    <w:multiLevelType w:val="hybridMultilevel"/>
    <w:lvl w:ilvl="0">
      <w:lvlJc w:val="left"/>
      <w:lvlText w:val="o"/>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lvl w:ilvl="1">
      <w:lvlJc w:val="left"/>
      <w:lvlText w:val="%2."/>
      <w:numFmt w:val="decimal"/>
      <w:start w:val="5"/>
    </w:lvl>
  </w:abstractNum>
  <w:abstractNum w:abstractNumId="4">
    <w:nsid w:val="7545E146"/>
    <w:multiLevelType w:val="hybridMultilevel"/>
    <w:lvl w:ilvl="0">
      <w:lvlJc w:val="left"/>
      <w:lvlText w:val="%1"/>
      <w:numFmt w:val="decimal"/>
      <w:start w:val="1"/>
    </w:lvl>
    <w:lvl w:ilvl="1">
      <w:lvlJc w:val="left"/>
      <w:lvlText w:val="%2."/>
      <w:numFmt w:val="decimal"/>
      <w:start w:val="8"/>
    </w:lvl>
  </w:abstractNum>
  <w:abstractNum w:abstractNumId="5">
    <w:nsid w:val="515F007C"/>
    <w:multiLevelType w:val="hybridMultilevel"/>
    <w:lvl w:ilvl="0">
      <w:lvlJc w:val="left"/>
      <w:lvlText w:val="%1."/>
      <w:numFmt w:val="decimal"/>
      <w:start w:val="9"/>
    </w:lvl>
    <w:lvl w:ilvl="1">
      <w:lvlJc w:val="left"/>
      <w:lvlText w:val="%2"/>
      <w:numFmt w:val="decimal"/>
      <w:start w:val="1"/>
    </w:lvl>
  </w:abstractNum>
  <w:abstractNum w:abstractNumId="6">
    <w:nsid w:val="5BD062C2"/>
    <w:multiLevelType w:val="hybridMultilevel"/>
    <w:lvl w:ilvl="0">
      <w:lvlJc w:val="left"/>
      <w:lvlText w:val="%1."/>
      <w:numFmt w:val="decimal"/>
      <w:start w:val="10"/>
    </w:lvl>
  </w:abstractNum>
  <w:abstractNum w:abstractNumId="7">
    <w:nsid w:val="12200854"/>
    <w:multiLevelType w:val="hybridMultilevel"/>
    <w:lvl w:ilvl="0">
      <w:lvlJc w:val="left"/>
      <w:lvlText w:val="%1."/>
      <w:numFmt w:val="decimal"/>
      <w:start w:val="1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9"/>
    </w:lvl>
  </w:abstractNum>
  <w:abstractNum w:abstractNumId="10">
    <w:nsid w:val="1F16E9E8"/>
    <w:multiLevelType w:val="hybridMultilevel"/>
    <w:lvl w:ilvl="0">
      <w:lvlJc w:val="left"/>
      <w:lvlText w:val="(%1)"/>
      <w:numFmt w:val="lowerLetter"/>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2020-02-20T14:23:30Z</dcterms:created>
  <dcterms:modified xsi:type="dcterms:W3CDTF">2020-02-20T14:23:30Z</dcterms:modified>
</cp:coreProperties>
</file>