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 xml:space="preserve">For the month of: </w:t>
      </w:r>
      <w:r>
        <w:rPr>
          <w:rFonts w:ascii="Times New Roman" w:cs="Times New Roman" w:eastAsia="Times New Roman" w:hAnsi="Times New Roman"/>
          <w:sz w:val="18"/>
          <w:szCs w:val="18"/>
          <w:b w:val="1"/>
          <w:bCs w:val="1"/>
          <w:color w:val="auto"/>
        </w:rPr>
        <w:t>December 2022</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001-36903</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12 Ha’Amal Street</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Park Afek</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Rosh Ha’Ayin 4824096 Israel</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2022 Special Shareholder Meeting</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On December 29, 2022, Kornit Digital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held a special general meeting of shareholders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At the Special Meeting, the Company’s shareholders voted on two proposals, which are listed below and which were described in more detail in the Company’s notice and proxy statement for the Special Meeting, which were attached as Exhibits 99.1 and 99.2 to the Report of Foreign Private Issuer on Form 6-K (a “</w:t>
      </w:r>
      <w:r>
        <w:rPr>
          <w:rFonts w:ascii="Times New Roman" w:cs="Times New Roman" w:eastAsia="Times New Roman" w:hAnsi="Times New Roman"/>
          <w:sz w:val="18"/>
          <w:szCs w:val="18"/>
          <w:b w:val="1"/>
          <w:bCs w:val="1"/>
          <w:color w:val="auto"/>
        </w:rPr>
        <w:t>Form 6-K</w:t>
      </w:r>
      <w:r>
        <w:rPr>
          <w:rFonts w:ascii="Times New Roman" w:cs="Times New Roman" w:eastAsia="Times New Roman" w:hAnsi="Times New Roman"/>
          <w:sz w:val="18"/>
          <w:szCs w:val="18"/>
          <w:color w:val="auto"/>
        </w:rPr>
        <w:t>”) that the Company furnished to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November 22, 2022.</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on the presence in person or by proxy of the requisite quorum of our outstanding ordinary shares, par value 0.01 New Israeli Shekels per share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at the Special Meeting, each of the following two proposals was approved by the requisite ordinary majority of the Company’s ordinary shares, and, with respect to Proposal 2, the requisite special majority as well (as described below), in accordance with the Israeli Companies Law, 5759-1999 (the “</w:t>
      </w:r>
      <w:r>
        <w:rPr>
          <w:rFonts w:ascii="Times New Roman" w:cs="Times New Roman" w:eastAsia="Times New Roman" w:hAnsi="Times New Roman"/>
          <w:sz w:val="18"/>
          <w:szCs w:val="18"/>
          <w:b w:val="1"/>
          <w:bCs w:val="1"/>
          <w:color w:val="auto"/>
        </w:rPr>
        <w:t>Companies Law</w:t>
      </w:r>
      <w:r>
        <w:rPr>
          <w:rFonts w:ascii="Times New Roman" w:cs="Times New Roman" w:eastAsia="Times New Roman" w:hAnsi="Times New Roman"/>
          <w:sz w:val="18"/>
          <w:szCs w:val="18"/>
          <w:color w:val="auto"/>
        </w:rPr>
        <w:t>”) and the Company’s Articles of Association: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Approval of the compensation terms of Lauri Hanover, the Company’s new Chief Financial Officer: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in Favor</w:t>
            </w:r>
          </w:p>
        </w:tc>
        <w:tc>
          <w:tcPr>
            <w:tcW w:w="22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0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16"/>
        </w:trPr>
        <w:tc>
          <w:tcPr>
            <w:tcW w:w="3620" w:type="dxa"/>
            <w:vAlign w:val="bottom"/>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22,443,063</w:t>
            </w:r>
          </w:p>
        </w:tc>
        <w:tc>
          <w:tcPr>
            <w:tcW w:w="3820" w:type="dxa"/>
            <w:vAlign w:val="bottom"/>
            <w:gridSpan w:val="2"/>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10,921,824</w:t>
            </w:r>
          </w:p>
        </w:tc>
        <w:tc>
          <w:tcPr>
            <w:tcW w:w="3800" w:type="dxa"/>
            <w:vAlign w:val="bottom"/>
            <w:gridSpan w:val="2"/>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315,875</w:t>
            </w:r>
          </w:p>
        </w:tc>
      </w:tr>
    </w:tbl>
    <w:p>
      <w:pPr>
        <w:spacing w:after="0" w:line="198" w:lineRule="exact"/>
        <w:rPr>
          <w:sz w:val="20"/>
          <w:szCs w:val="20"/>
          <w:color w:val="auto"/>
        </w:rPr>
      </w:pPr>
    </w:p>
    <w:p>
      <w:pPr>
        <w:ind w:left="98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an amended package of employment terms for Ronen Samuel, the Company’s Chief Executive Officer, in order to increase his annual long-term incentive opportunity: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in Favor</w:t>
            </w:r>
          </w:p>
        </w:tc>
        <w:tc>
          <w:tcPr>
            <w:tcW w:w="2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34"/>
        </w:trPr>
        <w:tc>
          <w:tcPr>
            <w:tcW w:w="3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16"/>
        </w:trPr>
        <w:tc>
          <w:tcPr>
            <w:tcW w:w="3620" w:type="dxa"/>
            <w:vAlign w:val="bottom"/>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31,981,112</w:t>
            </w:r>
          </w:p>
        </w:tc>
        <w:tc>
          <w:tcPr>
            <w:tcW w:w="3820" w:type="dxa"/>
            <w:vAlign w:val="bottom"/>
            <w:gridSpan w:val="2"/>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1,344,525</w:t>
            </w:r>
          </w:p>
        </w:tc>
        <w:tc>
          <w:tcPr>
            <w:tcW w:w="3800" w:type="dxa"/>
            <w:vAlign w:val="bottom"/>
            <w:gridSpan w:val="2"/>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355,126</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Companies Law, the approval of Proposal 2 required that either of the following two conditions for a special majority be met:</w:t>
      </w:r>
    </w:p>
    <w:p>
      <w:pPr>
        <w:spacing w:after="0" w:line="225" w:lineRule="exact"/>
        <w:rPr>
          <w:sz w:val="20"/>
          <w:szCs w:val="20"/>
          <w:color w:val="auto"/>
        </w:rPr>
      </w:pPr>
    </w:p>
    <w:p>
      <w:pPr>
        <w:jc w:val="both"/>
        <w:ind w:left="98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voted in favor of the proposal included a majority of the shares held by non-controlling shareholders who did not have a conflict of interest (referred to in the Companies Law as a “personal interest”) in the approval of the proposal that were voted at the Special Meeting, excluding abstentions; or</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held by non-controlling, non-conflicted shareholders (as described in the previous bullet-point) voted against the proposal could not exceed two percent (2%) of the aggregate voting rights in the Company.</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Based on the following vote result among those shareholders who affirmed that they were non-controlling shareholders who were not conflicted with respect to Proposal 2, the special majority described in the first above bullet point was met: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in Favor</w:t>
            </w:r>
          </w:p>
        </w:tc>
        <w:tc>
          <w:tcPr>
            <w:tcW w:w="22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0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16"/>
        </w:trPr>
        <w:tc>
          <w:tcPr>
            <w:tcW w:w="3620" w:type="dxa"/>
            <w:vAlign w:val="bottom"/>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31,882,922</w:t>
            </w:r>
          </w:p>
        </w:tc>
        <w:tc>
          <w:tcPr>
            <w:tcW w:w="3820" w:type="dxa"/>
            <w:vAlign w:val="bottom"/>
            <w:gridSpan w:val="2"/>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1,344,525</w:t>
            </w:r>
          </w:p>
        </w:tc>
        <w:tc>
          <w:tcPr>
            <w:tcW w:w="3800" w:type="dxa"/>
            <w:vAlign w:val="bottom"/>
            <w:gridSpan w:val="2"/>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355,126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Incorporation by Reference</w:t>
      </w:r>
    </w:p>
    <w:p>
      <w:pPr>
        <w:spacing w:after="0" w:line="229" w:lineRule="exact"/>
        <w:rPr>
          <w:sz w:val="20"/>
          <w:szCs w:val="20"/>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contents of this Form 6-K are hereby incorporated by reference into the Company’s Registration Statements on </w:t>
      </w:r>
      <w:hyperlink r:id="rId13">
        <w:r>
          <w:rPr>
            <w:rFonts w:ascii="Times New Roman" w:cs="Times New Roman" w:eastAsia="Times New Roman" w:hAnsi="Times New Roman"/>
            <w:sz w:val="18"/>
            <w:szCs w:val="18"/>
            <w:u w:val="single" w:color="auto"/>
            <w:color w:val="0000EE"/>
          </w:rPr>
          <w:t>Form F-3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w:t>
      </w:r>
    </w:p>
    <w:p>
      <w:pPr>
        <w:spacing w:after="0" w:line="27"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248784) and Form S-8 (File No.’s </w:t>
      </w:r>
      <w:hyperlink r:id="rId14">
        <w:r>
          <w:rPr>
            <w:rFonts w:ascii="Times New Roman" w:cs="Times New Roman" w:eastAsia="Times New Roman" w:hAnsi="Times New Roman"/>
            <w:sz w:val="18"/>
            <w:szCs w:val="18"/>
            <w:u w:val="single" w:color="auto"/>
            <w:color w:val="0000EE"/>
          </w:rPr>
          <w:t>333-203970</w:t>
        </w:r>
      </w:hyperlink>
      <w:r>
        <w:rPr>
          <w:rFonts w:ascii="Times New Roman" w:cs="Times New Roman" w:eastAsia="Times New Roman" w:hAnsi="Times New Roman"/>
          <w:sz w:val="18"/>
          <w:szCs w:val="18"/>
          <w:color w:val="auto"/>
        </w:rPr>
        <w:t xml:space="preserve">, </w:t>
      </w:r>
      <w:hyperlink r:id="rId15">
        <w:r>
          <w:rPr>
            <w:rFonts w:ascii="Times New Roman" w:cs="Times New Roman" w:eastAsia="Times New Roman" w:hAnsi="Times New Roman"/>
            <w:sz w:val="18"/>
            <w:szCs w:val="18"/>
            <w:u w:val="single" w:color="auto"/>
            <w:color w:val="0000EE"/>
          </w:rPr>
          <w:t>333-214015</w:t>
        </w:r>
      </w:hyperlink>
      <w:r>
        <w:rPr>
          <w:rFonts w:ascii="Times New Roman" w:cs="Times New Roman" w:eastAsia="Times New Roman" w:hAnsi="Times New Roman"/>
          <w:sz w:val="18"/>
          <w:szCs w:val="18"/>
          <w:color w:val="auto"/>
        </w:rPr>
        <w:t xml:space="preserve">, </w:t>
      </w:r>
      <w:hyperlink r:id="rId16">
        <w:r>
          <w:rPr>
            <w:rFonts w:ascii="Times New Roman" w:cs="Times New Roman" w:eastAsia="Times New Roman" w:hAnsi="Times New Roman"/>
            <w:sz w:val="18"/>
            <w:szCs w:val="18"/>
            <w:u w:val="single" w:color="auto"/>
            <w:color w:val="0000EE"/>
          </w:rPr>
          <w:t>333-217039</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u w:val="single" w:color="auto"/>
            <w:color w:val="0000EE"/>
          </w:rPr>
          <w:t>333-223794</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333-230567</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333-237346</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EE"/>
          </w:rPr>
          <w:t>333-254749</w:t>
        </w:r>
      </w:hyperlink>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and </w:t>
      </w:r>
      <w:hyperlink r:id="rId21">
        <w:r>
          <w:rPr>
            <w:rFonts w:ascii="Times New Roman" w:cs="Times New Roman" w:eastAsia="Times New Roman" w:hAnsi="Times New Roman"/>
            <w:sz w:val="18"/>
            <w:szCs w:val="18"/>
            <w:u w:val="single" w:color="auto"/>
            <w:color w:val="0000EE"/>
          </w:rPr>
          <w:t>333-263975</w:t>
        </w:r>
      </w:hyperlink>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2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20" w:type="dxa"/>
            <w:vAlign w:val="bottom"/>
            <w:gridSpan w:val="2"/>
          </w:tcPr>
          <w:p>
            <w:pPr>
              <w:ind w:left="3040"/>
              <w:spacing w:after="0"/>
              <w:rPr>
                <w:sz w:val="20"/>
                <w:szCs w:val="20"/>
                <w:color w:val="auto"/>
              </w:rPr>
            </w:pPr>
            <w:r>
              <w:rPr>
                <w:rFonts w:ascii="Times New Roman" w:cs="Times New Roman" w:eastAsia="Times New Roman" w:hAnsi="Times New Roman"/>
                <w:sz w:val="18"/>
                <w:szCs w:val="18"/>
                <w:color w:val="auto"/>
              </w:rPr>
              <w:t>KORNIT DIGITAL LTD.</w:t>
            </w:r>
          </w:p>
        </w:tc>
      </w:tr>
      <w:tr>
        <w:trPr>
          <w:trHeight w:val="43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29, 2022</w:t>
            </w:r>
          </w:p>
        </w:tc>
        <w:tc>
          <w:tcPr>
            <w:tcW w:w="3600" w:type="dxa"/>
            <w:vAlign w:val="bottom"/>
          </w:tcPr>
          <w:p>
            <w:pPr>
              <w:ind w:left="30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Lauri Hanover</w:t>
            </w:r>
          </w:p>
        </w:tc>
      </w:tr>
      <w:tr>
        <w:trPr>
          <w:trHeight w:val="198"/>
        </w:trPr>
        <w:tc>
          <w:tcPr>
            <w:tcW w:w="3720" w:type="dxa"/>
            <w:vAlign w:val="bottom"/>
          </w:tcPr>
          <w:p>
            <w:pPr>
              <w:spacing w:after="0"/>
              <w:rPr>
                <w:sz w:val="17"/>
                <w:szCs w:val="17"/>
                <w:color w:val="auto"/>
              </w:rPr>
            </w:pPr>
          </w:p>
        </w:tc>
        <w:tc>
          <w:tcPr>
            <w:tcW w:w="3600" w:type="dxa"/>
            <w:vAlign w:val="bottom"/>
          </w:tcPr>
          <w:p>
            <w:pPr>
              <w:ind w:left="3040"/>
              <w:spacing w:after="0" w:line="198" w:lineRule="exact"/>
              <w:rPr>
                <w:sz w:val="20"/>
                <w:szCs w:val="20"/>
                <w:color w:val="auto"/>
              </w:rPr>
            </w:pPr>
            <w:r>
              <w:rPr>
                <w:rFonts w:ascii="Times New Roman" w:cs="Times New Roman" w:eastAsia="Times New Roman" w:hAnsi="Times New Roman"/>
                <w:sz w:val="18"/>
                <w:szCs w:val="18"/>
                <w:color w:val="auto"/>
              </w:rPr>
              <w:t>Name: </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Lauri Hanover</w:t>
            </w:r>
          </w:p>
        </w:tc>
      </w:tr>
      <w:tr>
        <w:trPr>
          <w:trHeight w:val="234"/>
        </w:trPr>
        <w:tc>
          <w:tcPr>
            <w:tcW w:w="3720" w:type="dxa"/>
            <w:vAlign w:val="bottom"/>
          </w:tcPr>
          <w:p>
            <w:pPr>
              <w:spacing w:after="0"/>
              <w:rPr>
                <w:sz w:val="20"/>
                <w:szCs w:val="20"/>
                <w:color w:val="auto"/>
              </w:rPr>
            </w:pPr>
          </w:p>
        </w:tc>
        <w:tc>
          <w:tcPr>
            <w:tcW w:w="3600" w:type="dxa"/>
            <w:vAlign w:val="bottom"/>
          </w:tcPr>
          <w:p>
            <w:pPr>
              <w:ind w:left="30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55"/>
        </w:trPr>
        <w:tc>
          <w:tcPr>
            <w:tcW w:w="37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2" Type="http://schemas.openxmlformats.org/officeDocument/2006/relationships/image" Target="media/image6.png"/><Relationship Id="rId13" Type="http://schemas.openxmlformats.org/officeDocument/2006/relationships/hyperlink" Target="http://www.sec.gov/Archives/edgar/data/1625791/000121390020026445/ff3asr2020_kornitdigital.htm" TargetMode="External"/><Relationship Id="rId14" Type="http://schemas.openxmlformats.org/officeDocument/2006/relationships/hyperlink" Target="http://www.sec.gov/Archives/edgar/data/1625791/000161577415000908/s101052_forms8.htm" TargetMode="External"/><Relationship Id="rId15" Type="http://schemas.openxmlformats.org/officeDocument/2006/relationships/hyperlink" Target="http://www.sec.gov/Archives/edgar/data/1625791/000121390016017339/fs82016_kornitdigital.htm" TargetMode="External"/><Relationship Id="rId16" Type="http://schemas.openxmlformats.org/officeDocument/2006/relationships/hyperlink" Target="http://www.sec.gov/Archives/edgar/data/1625791/000121390017003012/fs82017_kornitdigital.htm" TargetMode="External"/><Relationship Id="rId17" Type="http://schemas.openxmlformats.org/officeDocument/2006/relationships/hyperlink" Target="http://www.sec.gov/Archives/edgar/data/1625791/000121390018003205/fs82018_kornitdigital.htm" TargetMode="External"/><Relationship Id="rId18" Type="http://schemas.openxmlformats.org/officeDocument/2006/relationships/hyperlink" Target="http://www.sec.gov/Archives/edgar/data/1625791/000121390019005079/fs82019_kornitdigitalltd.htm" TargetMode="External"/><Relationship Id="rId19" Type="http://schemas.openxmlformats.org/officeDocument/2006/relationships/hyperlink" Target="http://www.sec.gov/Archives/edgar/data/1625791/000121390020007116/ea119827-s8_kornitdigital.htm" TargetMode="External"/><Relationship Id="rId20" Type="http://schemas.openxmlformats.org/officeDocument/2006/relationships/hyperlink" Target="http://www.sec.gov/Archives/edgar/data/1625791/000121390021017777/ea138332-s8_kornitdigital.htm" TargetMode="External"/><Relationship Id="rId21" Type="http://schemas.openxmlformats.org/officeDocument/2006/relationships/hyperlink" Target="http://www.sec.gov/Archives/edgar/data/1625791/000121390022016164/ea157447-s8_kornitdigit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2022-12-29T06:39:00Z</dcterms:created>
  <dcterms:modified xsi:type="dcterms:W3CDTF">2022-12-29T06:39:00Z</dcterms:modified>
</cp:coreProperties>
</file>