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0283042-s8_kornit.htm"/>
      <w:bookmarkStart w:id="1" w:name="ksea0283042s8_kornit"/>
      <w:bookmarkEnd w:id="0"/>
      <w:bookmarkEnd w:id="1"/>
      <w:r>
        <w:rPr>
          <w:rFonts w:ascii="Times New Roman;Times;Serif" w:hAnsi="Times New Roman;Times;Serif"/>
          <w:b w:val="false"/>
          <w:i w:val="false"/>
          <w:caps w:val="false"/>
          <w:smallCaps w:val="false"/>
          <w:sz w:val="20"/>
        </w:rPr>
        <w:t>As filed with the Securities and Exchange Commission on March 26, 2026</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Kornit Digital Ltd.</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80" w:type="dxa"/>
        <w:jc w:val="left"/>
        <w:tblInd w:w="0" w:type="dxa"/>
        <w:tblLayout w:type="fixed"/>
        <w:tblCellMar>
          <w:top w:w="0" w:type="dxa"/>
          <w:left w:w="0" w:type="dxa"/>
          <w:bottom w:w="28" w:type="dxa"/>
          <w:right w:w="0" w:type="dxa"/>
        </w:tblCellMar>
      </w:tblPr>
      <w:tblGrid>
        <w:gridCol w:w="2525"/>
        <w:gridCol w:w="60"/>
        <w:gridCol w:w="18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52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 Amal Street, Afek Park,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Rosh-Ha’Ayin, Israel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4809246</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Kornit Digital Ltd. 2025 Share Incentive Plan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North America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 South Dean Street</w:t>
        <w:br/>
        <w:t>Englewood, NJ 07631, USA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 608-5750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communications to:</w:t>
      </w:r>
    </w:p>
    <w:p>
      <w:pPr>
        <w:pStyle w:val="TextBody"/>
        <w:bidi w:val="0"/>
        <w:spacing w:before="0" w:after="0"/>
        <w:ind w:left="0" w:right="0" w:hanging="0"/>
        <w:jc w:val="center"/>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600"/>
        <w:gridCol w:w="60"/>
        <w:gridCol w:w="2375"/>
      </w:tblGrid>
      <w:tr>
        <w:trPr/>
        <w:tc>
          <w:tcPr>
            <w:tcW w:w="26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Assaf Zipori</w:t>
              <w:br/>
              <w:t>Chief Financial Officer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Street, Afek Park,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Rosh-Ha’Ayin 4809246, Israel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+972-3-908-5800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Aviv Avidan-Shalit, Adv.</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Jonathan M. Nathan, Adv.</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Meitar | Law Offices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Abba Hillel Silver 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Gan 5250608, Israel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+972-3-610-3100</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6205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62050" cy="714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spacing w:before="0" w:after="0"/>
        <w:ind w:left="0" w:right="0" w:firstLine="709"/>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registers the offer, issuance and sale of a total of up to an additional 1,500,000 ordinary shares, par value New Israeli Shekel (“</w:t>
      </w:r>
      <w:r>
        <w:rPr>
          <w:rFonts w:ascii="Times New Roman;Times;Serif" w:hAnsi="Times New Roman;Times;Serif"/>
          <w:b/>
          <w:i w:val="false"/>
          <w:caps w:val="false"/>
          <w:smallCaps w:val="false"/>
          <w:sz w:val="20"/>
        </w:rPr>
        <w:t>NIS</w:t>
      </w:r>
      <w:r>
        <w:rPr>
          <w:rFonts w:ascii="Times New Roman;Times;Serif" w:hAnsi="Times New Roman;Times;Serif"/>
          <w:b w:val="false"/>
          <w:i w:val="false"/>
          <w:caps w:val="false"/>
          <w:smallCaps w:val="false"/>
          <w:sz w:val="20"/>
        </w:rPr>
        <w:t>”) 0.01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of Kornit Digital Ltd. (“</w:t>
      </w:r>
      <w:r>
        <w:rPr>
          <w:rFonts w:ascii="Times New Roman;Times;Serif" w:hAnsi="Times New Roman;Times;Serif"/>
          <w:b/>
          <w:i w:val="false"/>
          <w:caps w:val="false"/>
          <w:smallCaps w:val="false"/>
          <w:sz w:val="20"/>
        </w:rPr>
        <w:t>Kornit</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Registrant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 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to Kornit’s and/or its subsidiaries’ employees, directors, officers, consultants, advisors and any other persons or entities who provide services to them under the Kornit Digital Ltd. 2025 Share Incentive Plan, as amended (the “</w:t>
      </w:r>
      <w:r>
        <w:rPr>
          <w:rFonts w:ascii="Times New Roman;Times;Serif" w:hAnsi="Times New Roman;Times;Serif"/>
          <w:b/>
          <w:i w:val="false"/>
          <w:caps w:val="false"/>
          <w:smallCaps w:val="false"/>
          <w:sz w:val="20"/>
        </w:rPr>
        <w:t>2025 Plan</w:t>
      </w:r>
      <w:r>
        <w:rPr>
          <w:rFonts w:ascii="Times New Roman;Times;Serif" w:hAnsi="Times New Roman;Times;Serif"/>
          <w:b w:val="false"/>
          <w:i w:val="false"/>
          <w:caps w:val="false"/>
          <w:smallCaps w:val="false"/>
          <w:sz w:val="20"/>
        </w:rPr>
        <w:t>”). All of these Ordinary Shares are available for issuance pursuant to potential future grants under the 2025 Plan.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Instruction E of Form S-8, the contents of the Company’s registration statement on Form S-8, Commission File No. 333-286158,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March 27, 2025, covering offers, issuances and sales of Ordinary Shares under the 2025 Plan, are incorporated herein by reference, and made a part of this Registration Statement, except as amended or supplemented by the information set forth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concerning the 2025 Plan required by Item 1 of this Registration Statement, and the statement of availability of registrant information and other information required by Item 2 of Form S-8, will be sent or given to persons eligible to participate in the 2025 Plan as specified by Rule 428(b)(1)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We will maintain a file of such documents in accordance with the provisions of Rule 428 and, upon request, will furnish to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or its staff a copy or copies of documents included in such file. Pursuant to the instructions to Form S-8, these documents are not required to be and are not being filed either as part of this Registration Statement or as prospectuses or prospectus supplements pursuant to Rule 424 under the Securities Act. These documents and the documents incorporated by reference in this Registration Statement pursuant to Item 3 of Part II of Form S-8, taken together, constitute part of a prospectus that meets the requirements of Section 10(a) of the Securities Act.</w:t>
      </w:r>
    </w:p>
    <w:p>
      <w:pPr>
        <w:pStyle w:val="TextBody"/>
        <w:shd w:fill="FFFFFF" w:val="clear"/>
        <w:bidi w:val="0"/>
        <w:spacing w:before="0" w:after="0"/>
        <w:ind w:left="0" w:right="0" w:firstLine="709"/>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documents incorporated by reference in Item 3 of Part II of this Registration Statement (which documents are incorporated by reference in this prospectus) and the other documents required to be delivered to participants in the 2025 Plan pursuant to Rule 428(b) under the Securities Act, will be available without charge to participants in the 2025 Plan upon written or oral request by contacting:</w:t>
      </w:r>
    </w:p>
    <w:p>
      <w:pPr>
        <w:pStyle w:val="TextBody"/>
        <w:shd w:fill="FFFFFF" w:val="clear"/>
        <w:bidi w:val="0"/>
        <w:spacing w:before="0" w:after="0"/>
        <w:ind w:left="0" w:right="0" w:firstLine="709"/>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Ltd.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Ha’ Amal Street, Afek Park,</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Rosh-Ha’Ayin 4809246, Israel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+972-3-908-5800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Yair Gerber, Deputy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 II</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herein the following documents (or portions thereof) that we have filed with or furnished to the Commission:</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17"/>
        <w:gridCol w:w="9913"/>
      </w:tblGrid>
      <w:tr>
        <w:trPr/>
        <w:tc>
          <w:tcPr>
            <w:tcW w:w="75"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both"/>
              <w:rPr>
                <w:sz w:val="20"/>
              </w:rPr>
            </w:pPr>
            <w:r>
              <w:rPr>
                <w:sz w:val="20"/>
              </w:rPr>
              <w:t>(a)</w:t>
            </w:r>
          </w:p>
        </w:tc>
        <w:tc>
          <w:tcPr>
            <w:tcW w:w="9913" w:type="dxa"/>
            <w:tcBorders/>
            <w:shd w:fill="FFFFFF" w:val="clear"/>
            <w:vAlign w:val="center"/>
          </w:tcPr>
          <w:p>
            <w:pPr>
              <w:pStyle w:val="TableContents"/>
              <w:bidi w:val="0"/>
              <w:spacing w:before="0" w:after="283"/>
              <w:jc w:val="both"/>
              <w:rPr/>
            </w:pPr>
            <w:r>
              <w:rPr>
                <w:sz w:val="20"/>
              </w:rPr>
              <w:t xml:space="preserve">Our Annual Report on </w:t>
            </w:r>
            <w:hyperlink r:id="rId3">
              <w:r>
                <w:rPr>
                  <w:rStyle w:val="InternetLink"/>
                  <w:sz w:val="20"/>
                </w:rPr>
                <w:t>Form 20-F</w:t>
              </w:r>
            </w:hyperlink>
            <w:r>
              <w:rPr>
                <w:sz w:val="20"/>
              </w:rPr>
              <w:t xml:space="preserve"> for the fiscal year ended December 31, 2025, filed with the Commission on March 26, 2026 (the “</w:t>
            </w:r>
            <w:r>
              <w:rPr>
                <w:b/>
                <w:sz w:val="20"/>
              </w:rPr>
              <w:t>2025 Form 20-F</w:t>
            </w:r>
            <w:r>
              <w:rPr>
                <w:sz w:val="20"/>
              </w:rPr>
              <w:t>”);</w:t>
            </w:r>
          </w:p>
        </w:tc>
      </w:tr>
    </w:tbl>
    <w:p>
      <w:pPr>
        <w:pStyle w:val="TextBody"/>
        <w:shd w:fill="FFFFFF" w:val="clear"/>
        <w:bidi w:val="0"/>
        <w:spacing w:before="0" w:after="0"/>
        <w:ind w:left="108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04"/>
        <w:gridCol w:w="9926"/>
      </w:tblGrid>
      <w:tr>
        <w:trPr/>
        <w:tc>
          <w:tcPr>
            <w:tcW w:w="75"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sz w:val="20"/>
              </w:rPr>
            </w:pPr>
            <w:r>
              <w:rPr>
                <w:sz w:val="20"/>
              </w:rPr>
              <w:t>(b)</w:t>
            </w:r>
          </w:p>
        </w:tc>
        <w:tc>
          <w:tcPr>
            <w:tcW w:w="9926" w:type="dxa"/>
            <w:tcBorders/>
            <w:shd w:fill="FFFFFF" w:val="clear"/>
            <w:vAlign w:val="center"/>
          </w:tcPr>
          <w:p>
            <w:pPr>
              <w:pStyle w:val="TableContents"/>
              <w:bidi w:val="0"/>
              <w:spacing w:before="0" w:after="283"/>
              <w:jc w:val="both"/>
              <w:rPr/>
            </w:pPr>
            <w:r>
              <w:rPr>
                <w:sz w:val="20"/>
              </w:rPr>
              <w:t xml:space="preserve">Our Report of Foreign Private Issuer on </w:t>
            </w:r>
            <w:hyperlink r:id="rId4">
              <w:r>
                <w:rPr>
                  <w:rStyle w:val="InternetLink"/>
                  <w:sz w:val="20"/>
                </w:rPr>
                <w:t>Form 6-K</w:t>
              </w:r>
            </w:hyperlink>
            <w:r>
              <w:rPr>
                <w:sz w:val="20"/>
              </w:rPr>
              <w:t>, furnished to the Commission on February 11, 2026 (only the U.S. GAAP financial information contained in the (i) consolidated balance sheets, (ii) consolidated statements of operations and (iii) consolidated statements of cash flows included in the press release attached as Exhibit 99.1 thereto);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87"/>
        <w:gridCol w:w="9943"/>
      </w:tblGrid>
      <w:tr>
        <w:trPr/>
        <w:tc>
          <w:tcPr>
            <w:tcW w:w="75"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sz w:val="20"/>
              </w:rPr>
            </w:pPr>
            <w:r>
              <w:rPr>
                <w:sz w:val="20"/>
              </w:rPr>
              <w:t>(c)</w:t>
            </w:r>
          </w:p>
        </w:tc>
        <w:tc>
          <w:tcPr>
            <w:tcW w:w="9943" w:type="dxa"/>
            <w:tcBorders/>
            <w:shd w:fill="FFFFFF" w:val="clear"/>
            <w:vAlign w:val="center"/>
          </w:tcPr>
          <w:p>
            <w:pPr>
              <w:pStyle w:val="TableContents"/>
              <w:bidi w:val="0"/>
              <w:spacing w:before="0" w:after="283"/>
              <w:jc w:val="both"/>
              <w:rPr/>
            </w:pPr>
            <w:r>
              <w:rPr>
                <w:sz w:val="20"/>
              </w:rPr>
              <w:t xml:space="preserve">The description of our Ordinary Shares under “Item 1. Description of Registrant’s Securities to be Registered” in our company’s registration statement on </w:t>
            </w:r>
            <w:hyperlink r:id="rId5">
              <w:r>
                <w:rPr>
                  <w:rStyle w:val="InternetLink"/>
                  <w:sz w:val="20"/>
                </w:rPr>
                <w:t>Form 8-A</w:t>
              </w:r>
            </w:hyperlink>
            <w:r>
              <w:rPr>
                <w:sz w:val="20"/>
              </w:rPr>
              <w:t xml:space="preserve"> (Commission File No. 001-36903), filed with the Commission on March 31, 2015, as updated by Exhibit 2.2 to the 2025 Form 20-F, and any amendment or report filed for the purpose of further updating that description.</w:t>
            </w:r>
          </w:p>
        </w:tc>
      </w:tr>
    </w:tbl>
    <w:p>
      <w:pPr>
        <w:pStyle w:val="TextBody"/>
        <w:bidi w:val="0"/>
        <w:spacing w:before="0" w:after="0"/>
        <w:ind w:left="0" w:right="0" w:firstLine="709"/>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documents filed by us pursuant to Sections 13(a), 13(c), 14 or 15(d) of the Exchange Act and, to the extent designated therein, Reports of Foreign Private Issuer on Form 6-K furnished by us to the Commission, in each case, subsequent to the effective date of this Registration Statement and prior to the filing of a post-effective amendment to this Registration Statement indicating that all securities offered under the Registration Statement have been sold, or deregistering all securities then remaining unsold, are also incorporated herein by reference and shall be a part hereof from the date of the filing or furnishing of such documents.</w:t>
      </w:r>
    </w:p>
    <w:p>
      <w:pPr>
        <w:pStyle w:val="TextBody"/>
        <w:bidi w:val="0"/>
        <w:spacing w:before="0" w:after="0"/>
        <w:ind w:left="0" w:right="0" w:firstLine="709"/>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section entitled “Item 6. Indemnification of Directors and Officers” of the Company's Registration Statement on Form S-8 (Commission File No. 333-286158), filed with the Commission on March 27, 2025, is incorporated herein by reference.</w:t>
      </w:r>
    </w:p>
    <w:p>
      <w:pPr>
        <w:pStyle w:val="TextBody"/>
        <w:bidi w:val="0"/>
        <w:spacing w:before="0" w:after="0"/>
        <w:ind w:left="0" w:right="0" w:firstLine="709"/>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Kornit Digital Ltd. 2025 Share Incentive Plan (1)</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ea028304201ex4-1ii.htm">
              <w:r>
                <w:rPr>
                  <w:rStyle w:val="InternetLink"/>
                  <w:rFonts w:ascii="Times New Roman;Times;Serif" w:hAnsi="Times New Roman;Times;Serif"/>
                  <w:b w:val="false"/>
                  <w:i w:val="false"/>
                  <w:caps w:val="false"/>
                  <w:smallCaps w:val="false"/>
                  <w:sz w:val="20"/>
                </w:rPr>
                <w:t>Amendment No. 1 to Kornit Digital Ltd. 2025 Share Incentive Plan increasing the number of Ordinary Shares authorized for issuance thereunder*</w:t>
              </w:r>
            </w:hyperlink>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Amended and Restated Articles of Association of the Registrant (2)</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Specimen ordinary share certificate of the Registrant (3)</w:t>
              </w:r>
            </w:hyperlink>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a028304201ex5-1.htm">
              <w:r>
                <w:rPr>
                  <w:rStyle w:val="InternetLink"/>
                  <w:rFonts w:ascii="Times New Roman;Times;Serif" w:hAnsi="Times New Roman;Times;Serif"/>
                  <w:b w:val="false"/>
                  <w:i w:val="false"/>
                  <w:caps w:val="false"/>
                  <w:smallCaps w:val="false"/>
                  <w:sz w:val="20"/>
                </w:rPr>
                <w:t>Opinion of Meitar | Law Offices as to the legality of Kornit Digital Ltd.’s ordinary shares being registered*</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ea028304201ex23-1.htm">
              <w:r>
                <w:rPr>
                  <w:rStyle w:val="InternetLink"/>
                  <w:rFonts w:ascii="Times New Roman;Times;Serif" w:hAnsi="Times New Roman;Times;Serif"/>
                  <w:b w:val="false"/>
                  <w:i w:val="false"/>
                  <w:caps w:val="false"/>
                  <w:smallCaps w:val="false"/>
                  <w:sz w:val="20"/>
                </w:rPr>
                <w:t>Consent of Kost, Forer, Gabbay and Kasierer, a member firm of Ernst &amp; Young Global, an independent registered public accounting firm*</w:t>
              </w:r>
            </w:hyperlink>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a028304201ex5-1.htm">
              <w:r>
                <w:rPr>
                  <w:rStyle w:val="InternetLink"/>
                  <w:rFonts w:ascii="Times New Roman;Times;Serif" w:hAnsi="Times New Roman;Times;Serif"/>
                  <w:b w:val="false"/>
                  <w:i w:val="false"/>
                  <w:caps w:val="false"/>
                  <w:smallCaps w:val="false"/>
                  <w:sz w:val="20"/>
                </w:rPr>
                <w:t>Consent of Meitar | Law Offices (included in Exhibit 5.1)*</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toc">
              <w:r>
                <w:rPr>
                  <w:rStyle w:val="InternetLink"/>
                  <w:rFonts w:ascii="Times New Roman;Times;Serif" w:hAnsi="Times New Roman;Times;Serif"/>
                  <w:b w:val="false"/>
                  <w:i w:val="false"/>
                  <w:caps w:val="false"/>
                  <w:smallCaps w:val="false"/>
                  <w:sz w:val="20"/>
                </w:rPr>
                <w:t>Power of Attorney (included on the signature page of this Registration Statement)*</w:t>
              </w:r>
            </w:hyperlink>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a028304201ex-fee.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Exhibit 4.1 to the Registrant’s Registration Statement on Form S-8 (Commission File No. 333-286158), filed with the Commission on March 27, 2025.</w:t>
            </w:r>
          </w:p>
        </w:tc>
      </w:tr>
      <w:tr>
        <w:trPr/>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Exhibit 99.1 to the Registrant’s Report of Foreign Private Issuer on Form 6-K, furnished to the Commission on August 12, 2021.</w:t>
            </w:r>
          </w:p>
        </w:tc>
      </w:tr>
      <w:tr>
        <w:trPr/>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Exhibit 4.1 to the Registrant’s Registration Statement on Form F-1 (File No. 333-202291), filed with the Commission on March 10, 2015.</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undertakes: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200"/>
        <w:gridCol w:w="69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stimateed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 w:name="toc"/>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Rosh-Ha’Ayin, Israel, on this 26th day of March, 2026.</w:t>
      </w:r>
    </w:p>
    <w:p>
      <w:pPr>
        <w:pStyle w:val="TextBody"/>
        <w:bidi w:val="0"/>
        <w:spacing w:before="0" w:after="0"/>
        <w:ind w:left="0" w:right="0" w:hanging="0"/>
        <w:jc w:val="left"/>
        <w:rPr>
          <w:caps w:val="false"/>
          <w:smallCaps w:val="false"/>
        </w:rPr>
      </w:pPr>
      <w:r>
        <w:rPr>
          <w:caps w:val="false"/>
          <w:smallCaps w:val="false"/>
        </w:rPr>
        <w:t> </w:t>
      </w:r>
    </w:p>
    <w:tbl>
      <w:tblPr>
        <w:tblW w:w="2925" w:type="dxa"/>
        <w:jc w:val="left"/>
        <w:tblInd w:w="0" w:type="dxa"/>
        <w:tblLayout w:type="fixed"/>
        <w:tblCellMar>
          <w:top w:w="0" w:type="dxa"/>
          <w:left w:w="0" w:type="dxa"/>
          <w:bottom w:w="0" w:type="dxa"/>
          <w:right w:w="0" w:type="dxa"/>
        </w:tblCellMar>
      </w:tblPr>
      <w:tblGrid>
        <w:gridCol w:w="335"/>
        <w:gridCol w:w="635"/>
        <w:gridCol w:w="1880"/>
        <w:gridCol w:w="75"/>
      </w:tblGrid>
      <w:tr>
        <w:trPr/>
        <w:tc>
          <w:tcPr>
            <w:tcW w:w="285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1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Assaf Zipori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Assaf Zipori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the undersigned officers and directors of Kornit Digital Ltd., an Israeli corporation, do hereby constitute and appoint Ronen Samuel, Chief Executive Officer, and Assaf Zipori, Chief Financial Officer, and each of them, their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attorneys and agents, or any one of them, shall do or cause to be done by virtue hereof. This Power of Attorney may be signed in several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executed this Power of Attorney as of the date indicated.</w:t>
      </w:r>
    </w:p>
    <w:p>
      <w:pPr>
        <w:pStyle w:val="TextBody"/>
        <w:bidi w:val="0"/>
        <w:spacing w:before="0" w:after="0"/>
        <w:ind w:left="0" w:right="0" w:firstLine="709"/>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165"/>
        <w:gridCol w:w="60"/>
        <w:gridCol w:w="3875"/>
        <w:gridCol w:w="60"/>
        <w:gridCol w:w="1325"/>
      </w:tblGrid>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Ronen Samuel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Ronen Samuel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Assaf Zipori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Assaf Zipori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Yuval Cohen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Yuval Cohen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Ofer Ben-Zur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Ben-Zur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Nigro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Nigro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Naama Halevi Davidov</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Naama Halevi Davidov</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Gabi Seligsohn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Gabi Seligsohn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Dov Ofer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Dov Ofer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 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w:t>
      </w:r>
    </w:p>
    <w:p>
      <w:pPr>
        <w:pStyle w:val="TextBody"/>
        <w:bidi w:val="0"/>
        <w:spacing w:before="0" w:after="0"/>
        <w:ind w:left="0" w:right="0" w:hanging="0"/>
        <w:jc w:val="left"/>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829"/>
        <w:gridCol w:w="2130"/>
        <w:gridCol w:w="75"/>
      </w:tblGrid>
      <w:tr>
        <w:trPr/>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North America,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Ilan Shlomo Elad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Ilan Shlomo Elad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28304201ex4-1ii.htm"/>
      <w:bookmarkStart w:id="4" w:name="ksea028304201ex41ii"/>
      <w:bookmarkEnd w:id="3"/>
      <w:bookmarkEnd w:id="4"/>
      <w:r>
        <w:rPr>
          <w:rFonts w:ascii="Times New Roman;Times;Serif" w:hAnsi="Times New Roman;Times;Serif"/>
          <w:b/>
          <w:i w:val="false"/>
          <w:caps w:val="false"/>
          <w:smallCaps w:val="false"/>
          <w:sz w:val="20"/>
        </w:rPr>
        <w:t>Exhibit 4.1.2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47850" cy="1133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847850" cy="1133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Kornit Digital Ltd.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2025 SHARE INCENTIVE</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of the Kornit Digital Ltd. 2025 Share Incentive Plan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5.1. The maximum aggregate number of Shares that may be issued pursuant to Awards under this Plan (which includes Shares that were available under the Prior Plans and were not subject to outstanding awards as of the Effective Date of this Plan, and were therefore transferred over to this Plan) (the “</w:t>
      </w:r>
      <w:r>
        <w:rPr>
          <w:rFonts w:ascii="Times New Roman;Times;Serif" w:hAnsi="Times New Roman;Times;Serif"/>
          <w:b/>
          <w:i w:val="false"/>
          <w:caps w:val="false"/>
          <w:smallCaps w:val="false"/>
          <w:sz w:val="20"/>
        </w:rPr>
        <w:t>Pool</w:t>
      </w:r>
      <w:r>
        <w:rPr>
          <w:rFonts w:ascii="Times New Roman;Times;Serif" w:hAnsi="Times New Roman;Times;Serif"/>
          <w:b w:val="false"/>
          <w:i w:val="false"/>
          <w:caps w:val="false"/>
          <w:smallCaps w:val="false"/>
          <w:sz w:val="20"/>
        </w:rPr>
        <w:t>”) shall be the sum of (a) 3,553,090 Shares, plus (b) any Shares underlying awards under the Prior Plan(s) as of the Effective Date which, following the Effective Date, become available for issuance under the Plan pursuant to Section 5.2 below, in all events subject to adjustment as provided in Section 14.1. The Board may, at its discretion, reduce the number of Shares that may be issued pursuant to Awards under this Plan, at any time (provided that such reduction does not derogate from any issuance of Shares in respect of Awards then outstanding).”</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28304201ex5-1.htm"/>
      <w:bookmarkStart w:id="6" w:name="ksea028304201ex51"/>
      <w:bookmarkEnd w:id="5"/>
      <w:bookmarkEnd w:id="6"/>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43600" cy="847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5943600" cy="847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Ha’Amal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 Ha’Ayin 4809246,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S-8</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697"/>
        <w:jc w:val="left"/>
        <w:rPr>
          <w:caps w:val="false"/>
          <w:smallCaps w:val="false"/>
        </w:rPr>
      </w:pPr>
      <w:r>
        <w:rPr>
          <w:caps w:val="false"/>
          <w:smallCaps w:val="false"/>
        </w:rPr>
        <w:t> </w:t>
      </w:r>
    </w:p>
    <w:p>
      <w:pPr>
        <w:pStyle w:val="TextBody"/>
        <w:bidi w:val="0"/>
        <w:spacing w:before="0" w:after="0"/>
        <w:ind w:left="0" w:right="0"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Israeli counsel to Kornit Digital Ltd., a company organized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its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covering up to 1,500,000 ordinary shares of the Company, par value New Israeli Shekel 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that are or may become available for issuance under the Kornit Digital Ltd. 2025 Share Incentive Plan, as amended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697"/>
        <w:jc w:val="both"/>
        <w:rPr>
          <w:caps w:val="false"/>
          <w:smallCaps w:val="false"/>
        </w:rPr>
      </w:pPr>
      <w:r>
        <w:rPr>
          <w:caps w:val="false"/>
          <w:smallCaps w:val="false"/>
        </w:rPr>
        <w:t> </w:t>
      </w:r>
    </w:p>
    <w:p>
      <w:pPr>
        <w:pStyle w:val="TextBody"/>
        <w:bidi w:val="0"/>
        <w:spacing w:before="0" w:after="0"/>
        <w:ind w:left="0" w:right="0"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originals or copies, certified or otherwise identified to our satisfaction, of the Plan, as amended,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pStyle w:val="TextBody"/>
        <w:bidi w:val="0"/>
        <w:spacing w:before="0" w:after="0"/>
        <w:ind w:left="0" w:right="0" w:firstLine="697"/>
        <w:jc w:val="both"/>
        <w:rPr>
          <w:caps w:val="false"/>
          <w:smallCaps w:val="false"/>
        </w:rPr>
      </w:pPr>
      <w:r>
        <w:rPr>
          <w:caps w:val="false"/>
          <w:smallCaps w:val="false"/>
        </w:rPr>
        <w:t> </w:t>
      </w:r>
    </w:p>
    <w:p>
      <w:pPr>
        <w:pStyle w:val="TextBody"/>
        <w:bidi w:val="0"/>
        <w:spacing w:before="0" w:after="0"/>
        <w:ind w:left="0" w:right="0"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pStyle w:val="TextBody"/>
        <w:bidi w:val="0"/>
        <w:spacing w:before="0" w:after="0"/>
        <w:ind w:left="0" w:right="0" w:firstLine="697"/>
        <w:jc w:val="both"/>
        <w:rPr>
          <w:caps w:val="false"/>
          <w:smallCaps w:val="false"/>
        </w:rPr>
      </w:pPr>
      <w:r>
        <w:rPr>
          <w:caps w:val="false"/>
          <w:smallCaps w:val="false"/>
        </w:rPr>
        <w:t> </w:t>
      </w:r>
    </w:p>
    <w:p>
      <w:pPr>
        <w:pStyle w:val="TextBody"/>
        <w:bidi w:val="0"/>
        <w:spacing w:before="0" w:after="0"/>
        <w:ind w:left="0" w:right="0"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pStyle w:val="TextBody"/>
        <w:bidi w:val="0"/>
        <w:spacing w:before="0" w:after="0"/>
        <w:ind w:left="0" w:right="0" w:firstLine="697"/>
        <w:jc w:val="both"/>
        <w:rPr>
          <w:caps w:val="false"/>
          <w:smallCaps w:val="false"/>
        </w:rPr>
      </w:pPr>
      <w:r>
        <w:rPr>
          <w:caps w:val="false"/>
          <w:smallCaps w:val="false"/>
        </w:rPr>
        <w:t> </w:t>
      </w:r>
    </w:p>
    <w:p>
      <w:pPr>
        <w:pStyle w:val="TextBody"/>
        <w:bidi w:val="0"/>
        <w:spacing w:before="0" w:after="0"/>
        <w:ind w:left="0" w:right="0"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Shares have been duly authorized and reserved for issuance and, when issued and paid for, will be legally issued, fully paid and non-assessable.</w:t>
      </w:r>
    </w:p>
    <w:p>
      <w:pPr>
        <w:pStyle w:val="TextBody"/>
        <w:bidi w:val="0"/>
        <w:spacing w:before="0" w:after="0"/>
        <w:ind w:left="0" w:right="0" w:firstLine="697"/>
        <w:jc w:val="both"/>
        <w:rPr>
          <w:caps w:val="false"/>
          <w:smallCaps w:val="false"/>
        </w:rPr>
      </w:pPr>
      <w:r>
        <w:rPr>
          <w:caps w:val="false"/>
          <w:smallCaps w:val="false"/>
        </w:rPr>
        <w:t> </w:t>
      </w:r>
    </w:p>
    <w:p>
      <w:pPr>
        <w:pStyle w:val="TextBody"/>
        <w:bidi w:val="0"/>
        <w:spacing w:before="0" w:after="0"/>
        <w:ind w:left="0" w:right="0"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pStyle w:val="TextBody"/>
        <w:bidi w:val="0"/>
        <w:spacing w:before="0" w:after="0"/>
        <w:ind w:left="0" w:right="0" w:firstLine="697"/>
        <w:jc w:val="both"/>
        <w:rPr>
          <w:caps w:val="false"/>
          <w:smallCaps w:val="false"/>
        </w:rPr>
      </w:pPr>
      <w:r>
        <w:rPr>
          <w:caps w:val="false"/>
          <w:smallCaps w:val="false"/>
        </w:rPr>
        <w:t> </w:t>
      </w:r>
    </w:p>
    <w:p>
      <w:pPr>
        <w:pStyle w:val="TextBody"/>
        <w:bidi w:val="0"/>
        <w:spacing w:before="0" w:after="0"/>
        <w:ind w:left="0" w:right="0"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pStyle w:val="TextBody"/>
        <w:bidi w:val="0"/>
        <w:spacing w:before="0" w:after="0"/>
        <w:ind w:left="0" w:right="0" w:firstLine="697"/>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Meitar | Law Offices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Meitar | Law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ea028304201ex23-1.htm"/>
      <w:bookmarkStart w:id="8" w:name="ksea028304201ex231"/>
      <w:bookmarkEnd w:id="7"/>
      <w:bookmarkEnd w:id="8"/>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2025 Share Incentive Plan of Kornit Digital Ltd. of our reports dated March 26, 2026, with respect to the consolidated financial statements and the effectiveness of internal control over financial reporting of Kornit Digital Ltd., included in its Annual Report (Form 20-F)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1325"/>
        <w:gridCol w:w="348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Tel-Aviv, Israel</w:t>
            </w:r>
          </w:p>
        </w:tc>
        <w:tc>
          <w:tcPr>
            <w:tcW w:w="3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 FORER GABBAY &amp; KASIERER</w:t>
            </w:r>
          </w:p>
        </w:tc>
      </w:tr>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c>
          <w:tcPr>
            <w:tcW w:w="3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EY Global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9" w:name="ea028304201ex-fee.htm"/>
      <w:bookmarkStart w:id="10" w:name="ksea028304201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Kornit Digital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36"/>
        <w:gridCol w:w="60"/>
        <w:gridCol w:w="1191"/>
        <w:gridCol w:w="60"/>
        <w:gridCol w:w="575"/>
        <w:gridCol w:w="60"/>
        <w:gridCol w:w="1115"/>
        <w:gridCol w:w="60"/>
        <w:gridCol w:w="1057"/>
        <w:gridCol w:w="60"/>
        <w:gridCol w:w="158"/>
        <w:gridCol w:w="905"/>
        <w:gridCol w:w="60"/>
        <w:gridCol w:w="146"/>
        <w:gridCol w:w="1466"/>
        <w:gridCol w:w="60"/>
        <w:gridCol w:w="1040"/>
        <w:gridCol w:w="60"/>
        <w:gridCol w:w="169"/>
        <w:gridCol w:w="1067"/>
      </w:tblGrid>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r>
      <w:tr>
        <w:trPr/>
        <w:tc>
          <w:tcPr>
            <w:tcW w:w="836"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91"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r>
      <w:tr>
        <w:trPr/>
        <w:tc>
          <w:tcPr>
            <w:tcW w:w="836"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ordinary shares, par value NIS 0.01 per share ("ordinary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1,500,000</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14.1350</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466" w:type="dxa"/>
            <w:tcBorders/>
            <w:vAlign w:val="center"/>
          </w:tcPr>
          <w:p>
            <w:pPr>
              <w:pStyle w:val="TableContents"/>
              <w:bidi w:val="0"/>
              <w:spacing w:before="0" w:after="283"/>
              <w:jc w:val="right"/>
              <w:rPr/>
            </w:pPr>
            <w:r>
              <w:rPr/>
              <w:t>21,202,500.00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1067" w:type="dxa"/>
            <w:tcBorders/>
            <w:vAlign w:val="center"/>
          </w:tcPr>
          <w:p>
            <w:pPr>
              <w:pStyle w:val="TableContents"/>
              <w:bidi w:val="0"/>
              <w:spacing w:before="0" w:after="283"/>
              <w:jc w:val="right"/>
              <w:rPr/>
            </w:pPr>
            <w:r>
              <w:rPr/>
              <w:t>2,928.07</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single" w:sz="8" w:space="0" w:color="000000"/>
            </w:tcBorders>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37"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466" w:type="dxa"/>
            <w:tcBorders/>
            <w:vAlign w:val="center"/>
          </w:tcPr>
          <w:p>
            <w:pPr>
              <w:pStyle w:val="TableContents"/>
              <w:bidi w:val="0"/>
              <w:spacing w:before="0" w:after="283"/>
              <w:jc w:val="right"/>
              <w:rPr/>
            </w:pPr>
            <w:r>
              <w:rPr/>
              <w:t>21,202,500.00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2,928.07</w:t>
            </w:r>
          </w:p>
        </w:tc>
      </w:tr>
      <w:tr>
        <w:trPr/>
        <w:tc>
          <w:tcPr>
            <w:tcW w:w="6137"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single" w:sz="8" w:space="0" w:color="000000"/>
            </w:tcBorders>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37"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double" w:sz="8" w:space="0" w:color="000000"/>
            </w:tcBorders>
            <w:tcMar>
              <w:bottom w:w="28" w:type="dxa"/>
            </w:tcMar>
            <w:vAlign w:val="center"/>
          </w:tcPr>
          <w:p>
            <w:pPr>
              <w:pStyle w:val="TableContents"/>
              <w:bidi w:val="0"/>
              <w:spacing w:before="0" w:after="283"/>
              <w:jc w:val="left"/>
              <w:rPr/>
            </w:pPr>
            <w:r>
              <w:rPr/>
              <w:t>$</w:t>
            </w:r>
          </w:p>
        </w:tc>
        <w:tc>
          <w:tcPr>
            <w:tcW w:w="1067" w:type="dxa"/>
            <w:tcBorders>
              <w:bottom w:val="double" w:sz="8" w:space="0" w:color="000000"/>
            </w:tcBorders>
            <w:tcMar>
              <w:bottom w:w="28" w:type="dxa"/>
            </w:tcMar>
            <w:vAlign w:val="center"/>
          </w:tcPr>
          <w:p>
            <w:pPr>
              <w:pStyle w:val="TableContents"/>
              <w:bidi w:val="0"/>
              <w:spacing w:before="0" w:after="283"/>
              <w:jc w:val="right"/>
              <w:rPr/>
            </w:pPr>
            <w:r>
              <w:rPr/>
              <w:t>2,928.07</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2"/>
        <w:gridCol w:w="23"/>
        <w:gridCol w:w="9940"/>
      </w:tblGrid>
      <w:tr>
        <w:trPr/>
        <w:tc>
          <w:tcPr>
            <w:tcW w:w="24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0" w:type="dxa"/>
            <w:tcBorders/>
            <w:vAlign w:val="center"/>
          </w:tcPr>
          <w:p>
            <w:pPr>
              <w:pStyle w:val="TableContents"/>
              <w:bidi w:val="0"/>
              <w:spacing w:before="0" w:after="283"/>
              <w:jc w:val="both"/>
              <w:rPr/>
            </w:pPr>
            <w:r>
              <w:rPr/>
              <w:t>Proposed maximum offering price per unit has been estimated in accordance with Rules 457(c) and 457(h) solely for the purpose of calculating the registration fee on the basis of $14.135 per share, which represents the average of the high ($14.52) and low ($13.75) prices of the ordinary shares as reported on the Nasdaq Global Select Market on March 20, 2026.</w:t>
              <w:br/>
              <w:br/>
              <w:t>Amount registered consists of 1,500,000 ordinary shares available for issuance pursuant to potential future grants under the 2025 Plan. Pursuant to Rule 416(a) under the Securities Act of 1933, as amended, this Registration Statement shall also cover any additional ordinary shares that become issuable under the Kornit Digital Ltd. 2025 Share Incentive Plan to prevent dilution resulting from any share dividend, share split, recapitalization or other similar transaction effected without the receipt of consideration that increases the number of outstanding ordinary shares.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625791/000121390026034707/ea0282980-20f_kornit.htm" TargetMode="External"/><Relationship Id="rId4" Type="http://schemas.openxmlformats.org/officeDocument/2006/relationships/hyperlink" Target="https://www.sec.gov/Archives/edgar/data/1625791/000121390026014578/ea0276338-6k_kornit.htm" TargetMode="External"/><Relationship Id="rId5" Type="http://schemas.openxmlformats.org/officeDocument/2006/relationships/hyperlink" Target="http://www.sec.gov/Archives/edgar/data/1625791/000161577415000604/s100918_8a12b.htm" TargetMode="External"/><Relationship Id="rId6" Type="http://schemas.openxmlformats.org/officeDocument/2006/relationships/hyperlink" Target="https://www.sec.gov/Archives/edgar/data/1625791/000101376225003116/ea023556601ex4-1_kornit.htm" TargetMode="External"/><Relationship Id="rId7" Type="http://schemas.openxmlformats.org/officeDocument/2006/relationships/hyperlink" Target="https://www.sec.gov/Archives/edgar/data/1625791/000121390021041996/ea145694ex99-1_kornitdigital.htm" TargetMode="External"/><Relationship Id="rId8" Type="http://schemas.openxmlformats.org/officeDocument/2006/relationships/hyperlink" Target="https://www.sec.gov/Archives/edgar/data/1625791/000161577415000434/s100824_ex4-1.htm"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3570</Words>
  <Characters>19177</Characters>
  <CharactersWithSpaces>22836</CharactersWithSpaces>
  <Paragraphs>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