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194945</wp:posOffset>
            </wp:positionH>
            <wp:positionV relativeFrom="page">
              <wp:posOffset>144145</wp:posOffset>
            </wp:positionV>
            <wp:extent cx="715962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13970"/>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171450</wp:posOffset>
            </wp:positionV>
            <wp:extent cx="715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6985"/>
                    </a:xfrm>
                    <a:prstGeom prst="rect">
                      <a:avLst/>
                    </a:prstGeom>
                    <a:noFill/>
                  </pic:spPr>
                </pic:pic>
              </a:graphicData>
            </a:graphic>
          </wp:anchor>
        </w:drawing>
        <w:t>UNITED STATES</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FORM 6-K</w:t>
      </w:r>
    </w:p>
    <w:p>
      <w:pPr>
        <w:spacing w:after="0" w:line="18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8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PURSUANT TO RULE 13a-16 OR 15d-16 OF</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 xml:space="preserve">For the month of </w:t>
      </w:r>
      <w:r>
        <w:rPr>
          <w:rFonts w:ascii="Times New Roman" w:cs="Times New Roman" w:eastAsia="Times New Roman" w:hAnsi="Times New Roman"/>
          <w:sz w:val="14"/>
          <w:szCs w:val="14"/>
          <w:b w:val="1"/>
          <w:bCs w:val="1"/>
          <w:color w:val="auto"/>
        </w:rPr>
        <w:t>May 2025</w:t>
      </w:r>
    </w:p>
    <w:p>
      <w:pPr>
        <w:spacing w:after="0" w:line="18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001-36903</w:t>
      </w:r>
    </w:p>
    <w:p>
      <w:pPr>
        <w:spacing w:after="0" w:line="16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6"/>
          <w:szCs w:val="26"/>
          <w:b w:val="1"/>
          <w:bCs w:val="1"/>
          <w:color w:val="auto"/>
        </w:rPr>
        <w:t>KORNIT DIGITAL LTD.</w:t>
      </w:r>
    </w:p>
    <w:p>
      <w:pPr>
        <w:spacing w:after="0" w:line="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6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12 Ha’Amal Street</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Park Afek</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Rosh Ha’Ayin 4824096 Israel</w:t>
      </w:r>
    </w:p>
    <w:p>
      <w:pPr>
        <w:spacing w:after="0" w:line="1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color w:val="auto"/>
        </w:rPr>
        <w:t>(Address of Principal Executive Office)</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54" w:lineRule="exact"/>
        <w:rPr>
          <w:sz w:val="24"/>
          <w:szCs w:val="24"/>
          <w:color w:val="auto"/>
        </w:rPr>
      </w:pPr>
    </w:p>
    <w:p>
      <w:pPr>
        <w:ind w:left="4740"/>
        <w:spacing w:after="0" w:line="161" w:lineRule="exact"/>
        <w:tabs>
          <w:tab w:leader="none" w:pos="5740" w:val="left"/>
        </w:tabs>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71596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167640</wp:posOffset>
            </wp:positionV>
            <wp:extent cx="715962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524510</wp:posOffset>
            </wp:positionV>
            <wp:extent cx="715962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43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CONTENTS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Operations and Financial Condition- Quarter Ended March 31, 2025</w:t>
      </w:r>
    </w:p>
    <w:p>
      <w:pPr>
        <w:spacing w:after="0" w:line="187" w:lineRule="exact"/>
        <w:rPr>
          <w:sz w:val="20"/>
          <w:szCs w:val="20"/>
          <w:color w:val="auto"/>
        </w:rPr>
      </w:pPr>
    </w:p>
    <w:p>
      <w:pPr>
        <w:ind w:right="60" w:firstLine="511"/>
        <w:spacing w:after="0" w:line="302" w:lineRule="auto"/>
        <w:rPr>
          <w:sz w:val="20"/>
          <w:szCs w:val="20"/>
          <w:color w:val="auto"/>
        </w:rPr>
      </w:pPr>
      <w:r>
        <w:rPr>
          <w:rFonts w:ascii="Times New Roman" w:cs="Times New Roman" w:eastAsia="Times New Roman" w:hAnsi="Times New Roman"/>
          <w:sz w:val="14"/>
          <w:szCs w:val="14"/>
          <w:color w:val="auto"/>
        </w:rPr>
        <w:t>On May 14, 2025, Kornit Digital Ltd. (“</w:t>
      </w:r>
      <w:r>
        <w:rPr>
          <w:rFonts w:ascii="Times New Roman" w:cs="Times New Roman" w:eastAsia="Times New Roman" w:hAnsi="Times New Roman"/>
          <w:sz w:val="14"/>
          <w:szCs w:val="14"/>
          <w:b w:val="1"/>
          <w:bCs w:val="1"/>
          <w:color w:val="auto"/>
        </w:rPr>
        <w:t>Kornit</w:t>
      </w:r>
      <w:r>
        <w:rPr>
          <w:rFonts w:ascii="Times New Roman" w:cs="Times New Roman" w:eastAsia="Times New Roman" w:hAnsi="Times New Roman"/>
          <w:sz w:val="14"/>
          <w:szCs w:val="14"/>
          <w:color w:val="auto"/>
        </w:rPr>
        <w:t xml:space="preserve">”) issued a press release entitled “Kornit Digital Reports First Quarter 2025 Results,” in which Kornit reported its results of operations for the first quarter ended March 31, 2025. A copy of that press release is furnished as </w:t>
      </w:r>
      <w:r>
        <w:rPr>
          <w:rFonts w:ascii="Times New Roman" w:cs="Times New Roman" w:eastAsia="Times New Roman" w:hAnsi="Times New Roman"/>
          <w:sz w:val="14"/>
          <w:szCs w:val="14"/>
          <w:u w:val="single" w:color="auto"/>
          <w:color w:val="auto"/>
        </w:rPr>
        <w:t>Exhibit 99.1</w:t>
      </w:r>
      <w:r>
        <w:rPr>
          <w:rFonts w:ascii="Times New Roman" w:cs="Times New Roman" w:eastAsia="Times New Roman" w:hAnsi="Times New Roman"/>
          <w:sz w:val="14"/>
          <w:szCs w:val="14"/>
          <w:color w:val="auto"/>
        </w:rPr>
        <w:t xml:space="preserve"> hereto.</w:t>
      </w:r>
    </w:p>
    <w:p>
      <w:pPr>
        <w:spacing w:after="0" w:line="116" w:lineRule="exact"/>
        <w:rPr>
          <w:sz w:val="20"/>
          <w:szCs w:val="20"/>
          <w:color w:val="auto"/>
        </w:rPr>
      </w:pPr>
    </w:p>
    <w:p>
      <w:pPr>
        <w:jc w:val="both"/>
        <w:ind w:right="240" w:firstLine="511"/>
        <w:spacing w:after="0" w:line="278" w:lineRule="auto"/>
        <w:rPr>
          <w:sz w:val="20"/>
          <w:szCs w:val="20"/>
          <w:color w:val="auto"/>
        </w:rPr>
      </w:pPr>
      <w:r>
        <w:rPr>
          <w:rFonts w:ascii="Times New Roman" w:cs="Times New Roman" w:eastAsia="Times New Roman" w:hAnsi="Times New Roman"/>
          <w:sz w:val="14"/>
          <w:szCs w:val="14"/>
          <w:color w:val="auto"/>
        </w:rPr>
        <w:t xml:space="preserve">Kornit is holding a conference call on May 14, 2025 to discuss its results for the quarter ended March 31, 2025, and, in connection with that call,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4"/>
          <w:szCs w:val="14"/>
          <w:u w:val="single" w:color="auto"/>
          <w:color w:val="auto"/>
        </w:rPr>
        <w:t>Exhibit 99.2</w:t>
      </w:r>
      <w:r>
        <w:rPr>
          <w:rFonts w:ascii="Times New Roman" w:cs="Times New Roman" w:eastAsia="Times New Roman" w:hAnsi="Times New Roman"/>
          <w:sz w:val="14"/>
          <w:szCs w:val="14"/>
          <w:color w:val="auto"/>
        </w:rPr>
        <w:t xml:space="preserve"> to this Report of Foreign Private Issuer on Form 6-K (this “</w:t>
      </w:r>
      <w:r>
        <w:rPr>
          <w:rFonts w:ascii="Times New Roman" w:cs="Times New Roman" w:eastAsia="Times New Roman" w:hAnsi="Times New Roman"/>
          <w:sz w:val="14"/>
          <w:szCs w:val="14"/>
          <w:b w:val="1"/>
          <w:bCs w:val="1"/>
          <w:color w:val="auto"/>
        </w:rPr>
        <w:t>Form 6-K</w:t>
      </w:r>
      <w:r>
        <w:rPr>
          <w:rFonts w:ascii="Times New Roman" w:cs="Times New Roman" w:eastAsia="Times New Roman" w:hAnsi="Times New Roman"/>
          <w:sz w:val="14"/>
          <w:szCs w:val="14"/>
          <w:color w:val="auto"/>
        </w:rPr>
        <w:t>”) and is incorporated herein by reference.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c>
          <w:tcPr>
            <w:tcW w:w="5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47"/>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40" w:type="dxa"/>
            <w:vAlign w:val="bottom"/>
            <w:gridSpan w:val="3"/>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3"/>
        </w:trPr>
        <w:tc>
          <w:tcPr>
            <w:tcW w:w="10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99.1</w:t>
            </w:r>
          </w:p>
        </w:tc>
        <w:tc>
          <w:tcPr>
            <w:tcW w:w="12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auto"/>
            </w:tcBorders>
            <w:gridSpan w:val="3"/>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rPr>
              <w:t>Press release, dated May 14, 2025, titled “Kornit Digital Reports First Quarter 2025 Results”</w:t>
            </w:r>
          </w:p>
        </w:tc>
      </w:tr>
      <w:tr>
        <w:trPr>
          <w:trHeight w:val="173"/>
        </w:trPr>
        <w:tc>
          <w:tcPr>
            <w:tcW w:w="10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360" w:type="dxa"/>
            <w:vAlign w:val="bottom"/>
            <w:tcBorders>
              <w:top w:val="single" w:sz="8" w:color="0000EE"/>
            </w:tcBorders>
          </w:tcPr>
          <w:p>
            <w:pPr>
              <w:spacing w:after="0"/>
              <w:rPr>
                <w:sz w:val="15"/>
                <w:szCs w:val="15"/>
                <w:color w:val="auto"/>
              </w:rPr>
            </w:pPr>
          </w:p>
        </w:tc>
        <w:tc>
          <w:tcPr>
            <w:tcW w:w="2720" w:type="dxa"/>
            <w:vAlign w:val="bottom"/>
            <w:tcBorders>
              <w:top w:val="single" w:sz="8" w:color="CCEEFF"/>
            </w:tcBorders>
          </w:tcPr>
          <w:p>
            <w:pPr>
              <w:spacing w:after="0"/>
              <w:rPr>
                <w:sz w:val="15"/>
                <w:szCs w:val="15"/>
                <w:color w:val="auto"/>
              </w:rPr>
            </w:pPr>
          </w:p>
        </w:tc>
        <w:tc>
          <w:tcPr>
            <w:tcW w:w="2060" w:type="dxa"/>
            <w:vAlign w:val="bottom"/>
            <w:tcBorders>
              <w:top w:val="single" w:sz="8" w:color="CCEEFF"/>
            </w:tcBorders>
          </w:tcPr>
          <w:p>
            <w:pPr>
              <w:spacing w:after="0"/>
              <w:rPr>
                <w:sz w:val="15"/>
                <w:szCs w:val="15"/>
                <w:color w:val="auto"/>
              </w:rPr>
            </w:pPr>
          </w:p>
        </w:tc>
      </w:tr>
      <w:tr>
        <w:trPr>
          <w:trHeight w:val="141"/>
        </w:trPr>
        <w:tc>
          <w:tcPr>
            <w:tcW w:w="1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99.2</w:t>
            </w:r>
          </w:p>
        </w:tc>
        <w:tc>
          <w:tcPr>
            <w:tcW w:w="120" w:type="dxa"/>
            <w:vAlign w:val="bottom"/>
            <w:shd w:val="clear" w:color="auto" w:fill="CCEEFF"/>
          </w:tcPr>
          <w:p>
            <w:pPr>
              <w:spacing w:after="0"/>
              <w:rPr>
                <w:sz w:val="12"/>
                <w:szCs w:val="12"/>
                <w:color w:val="auto"/>
              </w:rPr>
            </w:pPr>
          </w:p>
        </w:tc>
        <w:tc>
          <w:tcPr>
            <w:tcW w:w="10140" w:type="dxa"/>
            <w:vAlign w:val="bottom"/>
            <w:gridSpan w:val="3"/>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rPr>
              <w:t>Slide presentation for conference call of Kornit held on May 14, 2025 discussing financial results for the first quarter ended March 31, 2025</w:t>
            </w:r>
          </w:p>
        </w:tc>
      </w:tr>
      <w:tr>
        <w:trPr>
          <w:trHeight w:val="32"/>
        </w:trPr>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360" w:type="dxa"/>
            <w:vAlign w:val="bottom"/>
            <w:shd w:val="clear" w:color="auto" w:fill="0000EE"/>
          </w:tcPr>
          <w:p>
            <w:pPr>
              <w:spacing w:after="0"/>
              <w:rPr>
                <w:sz w:val="2"/>
                <w:szCs w:val="2"/>
                <w:color w:val="auto"/>
              </w:rPr>
            </w:pPr>
          </w:p>
        </w:tc>
        <w:tc>
          <w:tcPr>
            <w:tcW w:w="2720" w:type="dxa"/>
            <w:vAlign w:val="bottom"/>
            <w:shd w:val="clear" w:color="auto" w:fill="0000EE"/>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Incorporation by Reference</w:t>
      </w:r>
    </w:p>
    <w:p>
      <w:pPr>
        <w:spacing w:after="0" w:line="189" w:lineRule="exact"/>
        <w:rPr>
          <w:sz w:val="20"/>
          <w:szCs w:val="20"/>
          <w:color w:val="auto"/>
        </w:rPr>
      </w:pPr>
    </w:p>
    <w:p>
      <w:pPr>
        <w:ind w:firstLine="511"/>
        <w:spacing w:after="0" w:line="278"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4"/>
            <w:szCs w:val="14"/>
            <w:u w:val="single" w:color="auto"/>
            <w:color w:val="0000EE"/>
          </w:rPr>
          <w:t>333-203970</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4">
        <w:r>
          <w:rPr>
            <w:rFonts w:ascii="Times New Roman" w:cs="Times New Roman" w:eastAsia="Times New Roman" w:hAnsi="Times New Roman"/>
            <w:sz w:val="14"/>
            <w:szCs w:val="14"/>
            <w:u w:val="single" w:color="auto"/>
            <w:color w:val="0000EE"/>
          </w:rPr>
          <w:t>333-214015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5">
        <w:r>
          <w:rPr>
            <w:rFonts w:ascii="Times New Roman" w:cs="Times New Roman" w:eastAsia="Times New Roman" w:hAnsi="Times New Roman"/>
            <w:sz w:val="14"/>
            <w:szCs w:val="14"/>
            <w:u w:val="single" w:color="auto"/>
            <w:color w:val="0000EE"/>
          </w:rPr>
          <w:t>333-217039</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6">
        <w:r>
          <w:rPr>
            <w:rFonts w:ascii="Times New Roman" w:cs="Times New Roman" w:eastAsia="Times New Roman" w:hAnsi="Times New Roman"/>
            <w:sz w:val="14"/>
            <w:szCs w:val="14"/>
            <w:u w:val="single" w:color="auto"/>
            <w:color w:val="0000EE"/>
          </w:rPr>
          <w:t>333-223794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7">
        <w:r>
          <w:rPr>
            <w:rFonts w:ascii="Times New Roman" w:cs="Times New Roman" w:eastAsia="Times New Roman" w:hAnsi="Times New Roman"/>
            <w:sz w:val="14"/>
            <w:szCs w:val="14"/>
            <w:u w:val="single" w:color="auto"/>
            <w:color w:val="0000EE"/>
          </w:rPr>
          <w:t>333-230567</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8">
        <w:r>
          <w:rPr>
            <w:rFonts w:ascii="Times New Roman" w:cs="Times New Roman" w:eastAsia="Times New Roman" w:hAnsi="Times New Roman"/>
            <w:sz w:val="14"/>
            <w:szCs w:val="14"/>
            <w:u w:val="single" w:color="auto"/>
            <w:color w:val="0000EE"/>
          </w:rPr>
          <w:t>333-237346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9">
        <w:r>
          <w:rPr>
            <w:rFonts w:ascii="Times New Roman" w:cs="Times New Roman" w:eastAsia="Times New Roman" w:hAnsi="Times New Roman"/>
            <w:sz w:val="14"/>
            <w:szCs w:val="14"/>
            <w:u w:val="single" w:color="auto"/>
            <w:color w:val="0000EE"/>
          </w:rPr>
          <w:t>333-254749</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0">
        <w:r>
          <w:rPr>
            <w:rFonts w:ascii="Times New Roman" w:cs="Times New Roman" w:eastAsia="Times New Roman" w:hAnsi="Times New Roman"/>
            <w:sz w:val="14"/>
            <w:szCs w:val="14"/>
            <w:u w:val="single" w:color="auto"/>
            <w:color w:val="0000EE"/>
          </w:rPr>
          <w:t xml:space="preserve">333-263975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1">
        <w:r>
          <w:rPr>
            <w:rFonts w:ascii="Times New Roman" w:cs="Times New Roman" w:eastAsia="Times New Roman" w:hAnsi="Times New Roman"/>
            <w:sz w:val="14"/>
            <w:szCs w:val="14"/>
            <w:u w:val="single" w:color="auto"/>
            <w:color w:val="0000EE"/>
          </w:rPr>
          <w:t>333-286158</w:t>
        </w:r>
      </w:hyperlink>
      <w:r>
        <w:rPr>
          <w:rFonts w:ascii="Times New Roman" w:cs="Times New Roman" w:eastAsia="Times New Roman" w:hAnsi="Times New Roman"/>
          <w:sz w:val="14"/>
          <w:szCs w:val="14"/>
          <w:color w:val="000000"/>
        </w:rPr>
        <w:t>).</w:t>
      </w:r>
    </w:p>
    <w:p>
      <w:pPr>
        <w:spacing w:after="0" w:line="306"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7900" w:type="dxa"/>
            <w:vAlign w:val="bottom"/>
            <w:gridSpan w:val="2"/>
          </w:tcPr>
          <w:p>
            <w:pPr>
              <w:ind w:left="3400"/>
              <w:spacing w:after="0"/>
              <w:rPr>
                <w:sz w:val="20"/>
                <w:szCs w:val="20"/>
                <w:color w:val="auto"/>
              </w:rPr>
            </w:pPr>
            <w:r>
              <w:rPr>
                <w:rFonts w:ascii="Times New Roman" w:cs="Times New Roman" w:eastAsia="Times New Roman" w:hAnsi="Times New Roman"/>
                <w:sz w:val="14"/>
                <w:szCs w:val="14"/>
                <w:color w:val="auto"/>
              </w:rPr>
              <w:t>KORNIT DIGITAL LTD.</w:t>
            </w:r>
          </w:p>
        </w:tc>
      </w:tr>
      <w:tr>
        <w:trPr>
          <w:trHeight w:val="34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 May 14, 2025</w:t>
            </w:r>
          </w:p>
        </w:tc>
        <w:tc>
          <w:tcPr>
            <w:tcW w:w="396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Lauri Hanover</w:t>
            </w:r>
          </w:p>
        </w:tc>
      </w:tr>
      <w:tr>
        <w:trPr>
          <w:trHeight w:val="158"/>
        </w:trPr>
        <w:tc>
          <w:tcPr>
            <w:tcW w:w="3380" w:type="dxa"/>
            <w:vAlign w:val="bottom"/>
          </w:tcPr>
          <w:p>
            <w:pPr>
              <w:spacing w:after="0"/>
              <w:rPr>
                <w:sz w:val="13"/>
                <w:szCs w:val="13"/>
                <w:color w:val="auto"/>
              </w:rPr>
            </w:pPr>
          </w:p>
        </w:tc>
        <w:tc>
          <w:tcPr>
            <w:tcW w:w="3960" w:type="dxa"/>
            <w:vAlign w:val="bottom"/>
          </w:tcPr>
          <w:p>
            <w:pPr>
              <w:ind w:left="3400"/>
              <w:spacing w:after="0" w:line="159"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Lauri Hanover</w:t>
            </w:r>
          </w:p>
        </w:tc>
      </w:tr>
      <w:tr>
        <w:trPr>
          <w:trHeight w:val="189"/>
        </w:trPr>
        <w:tc>
          <w:tcPr>
            <w:tcW w:w="3380" w:type="dxa"/>
            <w:vAlign w:val="bottom"/>
          </w:tcPr>
          <w:p>
            <w:pPr>
              <w:spacing w:after="0"/>
              <w:rPr>
                <w:sz w:val="16"/>
                <w:szCs w:val="16"/>
                <w:color w:val="auto"/>
              </w:rPr>
            </w:pPr>
          </w:p>
        </w:tc>
        <w:tc>
          <w:tcPr>
            <w:tcW w:w="396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520"/>
        </w:trPr>
        <w:tc>
          <w:tcPr>
            <w:tcW w:w="3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Contact: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Jared Maymon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 Head of Investor Relations &amp; Strategic Finance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989330" cy="556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989330" cy="55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Kornit Digital Reports First Quarter 2025 Results</w:t>
      </w:r>
    </w:p>
    <w:p>
      <w:pPr>
        <w:spacing w:after="0" w:line="187" w:lineRule="exact"/>
        <w:rPr>
          <w:sz w:val="20"/>
          <w:szCs w:val="20"/>
          <w:color w:val="auto"/>
        </w:rPr>
      </w:pPr>
    </w:p>
    <w:p>
      <w:pPr>
        <w:ind w:left="260" w:hanging="253"/>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quarter revenues of $46.5 million, in line with previous guidance</w:t>
      </w:r>
    </w:p>
    <w:p>
      <w:pPr>
        <w:spacing w:after="0" w:line="206"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quarter GAAP net loss of $5.1 million; non-GAAP net income of $0.6 million</w:t>
      </w:r>
    </w:p>
    <w:p>
      <w:pPr>
        <w:spacing w:after="0" w:line="206"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generate cash from operations, demonstrating disciplined execution</w:t>
      </w:r>
    </w:p>
    <w:p>
      <w:pPr>
        <w:spacing w:after="0" w:line="206"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annual recurring revenue from AIC contracts of $14.5 million, reflecting strong initial adoption of this new business model</w:t>
      </w:r>
    </w:p>
    <w:p>
      <w:pPr>
        <w:spacing w:after="0" w:line="183"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Rosh-Ha`Ayin, Israel – May 14, 2025 </w:t>
      </w:r>
      <w:r>
        <w:rPr>
          <w:rFonts w:ascii="Times New Roman" w:cs="Times New Roman" w:eastAsia="Times New Roman" w:hAnsi="Times New Roman"/>
          <w:sz w:val="14"/>
          <w:szCs w:val="14"/>
          <w:color w:val="auto"/>
        </w:rPr>
        <w:t>– Kornit Digital Ltd. (“Kornit” or the “Company”) (Nasdaq: KRNT), a global leader in sustainable, on-demand, digital fashion and textile production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technologies, today reported results for the first quarter ended March 31, 2025.</w:t>
      </w:r>
    </w:p>
    <w:p>
      <w:pPr>
        <w:spacing w:after="0" w:line="11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“We delivered to our commitments in Q1, even as we operated in an uncertain macro environment.” said Ronen Samuel, Kornit’s Chief Executive Officer. “The apparel industry is undergoing significant disruption, and there has never been a better moment for Kornit to lead. Apollo combined with our AIC model is delivering robust impressions growth and unlocking the mass production segment which represents an estimated SAM of 4.5 billion impressions.”</w:t>
      </w:r>
    </w:p>
    <w:p>
      <w:pPr>
        <w:spacing w:after="0" w:line="133"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Mr. Samuel concluded, “The opportunity ahead is enormous, and Kornit is advancing with clarity, conviction, and purpose. We are playing offense and leading this transformation of how fashion is created, consumed, and delivered.”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2025 Results of Operations</w:t>
      </w:r>
    </w:p>
    <w:p>
      <w:pPr>
        <w:spacing w:after="0" w:line="187" w:lineRule="exact"/>
        <w:rPr>
          <w:sz w:val="20"/>
          <w:szCs w:val="20"/>
          <w:color w:val="auto"/>
        </w:rPr>
      </w:pPr>
    </w:p>
    <w:p>
      <w:pPr>
        <w:ind w:left="260" w:hanging="253"/>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 for the first quarter of 2025 was $46.5 million compared with $43.8 million in the prior year period.</w:t>
      </w:r>
    </w:p>
    <w:p>
      <w:pPr>
        <w:spacing w:after="0" w:line="185" w:lineRule="exact"/>
        <w:rPr>
          <w:rFonts w:ascii="Times New Roman" w:cs="Times New Roman" w:eastAsia="Times New Roman" w:hAnsi="Times New Roman"/>
          <w:sz w:val="14"/>
          <w:szCs w:val="14"/>
          <w:color w:val="auto"/>
        </w:rPr>
      </w:pPr>
    </w:p>
    <w:p>
      <w:pPr>
        <w:ind w:left="260" w:right="20" w:hanging="253"/>
        <w:spacing w:after="0" w:line="299"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gross profit margin for the first quarter of 2025 was 42.6% compared with 32.3% in the prior year period. On a non-GAAP basis, gross profit margin was 45.2% compared with 37.5% in the prior year period.</w:t>
      </w:r>
    </w:p>
    <w:p>
      <w:pPr>
        <w:spacing w:after="0" w:line="118" w:lineRule="exact"/>
        <w:rPr>
          <w:rFonts w:ascii="Times New Roman" w:cs="Times New Roman" w:eastAsia="Times New Roman" w:hAnsi="Times New Roman"/>
          <w:sz w:val="14"/>
          <w:szCs w:val="14"/>
          <w:color w:val="auto"/>
        </w:rPr>
      </w:pPr>
    </w:p>
    <w:p>
      <w:pPr>
        <w:ind w:left="260" w:right="160" w:hanging="253"/>
        <w:spacing w:after="0" w:line="299"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operating expenses for the first quarter of 2025 were $31.9 million compared with $32.4 million in the prior year period. On a non-GAAP basis, operating expenses increased by 1% to $27.4 million compared with the prior year period.</w:t>
      </w:r>
    </w:p>
    <w:p>
      <w:pPr>
        <w:spacing w:after="0" w:line="118"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loss for the first quarter of 2025 was $5.1 million, or ($0.11) per basic share, compared with net loss of $13.2 million, or ($0.28) per basic share, for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5962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ind w:left="260" w:right="240" w:hanging="253"/>
        <w:spacing w:after="0" w:line="299" w:lineRule="auto"/>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for the first quarter of 2025 was $0.6 million, or $0.01 per diluted share, compared with non-GAAP net loss of $5.3 million, or ($0.11) per basic share, for the first quarter of 2024.</w:t>
      </w:r>
    </w:p>
    <w:p>
      <w:pPr>
        <w:spacing w:after="0" w:line="118" w:lineRule="exact"/>
        <w:rPr>
          <w:rFonts w:ascii="Times New Roman" w:cs="Times New Roman" w:eastAsia="Times New Roman" w:hAnsi="Times New Roman"/>
          <w:sz w:val="14"/>
          <w:szCs w:val="14"/>
          <w:color w:val="auto"/>
        </w:rPr>
      </w:pPr>
    </w:p>
    <w:p>
      <w:pPr>
        <w:ind w:left="260" w:right="20" w:hanging="253"/>
        <w:spacing w:after="0" w:line="299" w:lineRule="auto"/>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loss for the first quarter of 2025 was $3.9 million compared with adjusted EBITDA loss of $7.8 million for the first quarter of 2024. Adjusted EBITDA margin for the first quarter of 2025 was negative 8.4% compared with negative 17.9% for the first quarter of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 Quarter 2025 Guidance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second quarter of 2025, the Company expects revenues to be in the range of $49 million to $55 million and adjusted EBITDA margin between negative 4% and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Earnings Conference Call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will host a conference call today at 8:30 a.m. ET, or 3:30 p.m. Israel time, to discuss the results, followed by a question-and-answer session with the investor community.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 live webcast of the call </w:t>
      </w:r>
      <w:r>
        <w:rPr>
          <w:rFonts w:ascii="Times New Roman" w:cs="Times New Roman" w:eastAsia="Times New Roman" w:hAnsi="Times New Roman"/>
          <w:sz w:val="14"/>
          <w:szCs w:val="14"/>
          <w:color w:val="auto"/>
        </w:rPr>
        <w:t>can be accessed at ir.kornit.com. To access the call, participants may dial toll-free at 1-877-407-0792 or 1-201-689-8263. The international number is 1 809 406 247.</w:t>
      </w:r>
    </w:p>
    <w:p>
      <w:pPr>
        <w:spacing w:after="0" w:line="185"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To listen to a replay </w:t>
      </w:r>
      <w:r>
        <w:rPr>
          <w:rFonts w:ascii="Times New Roman" w:cs="Times New Roman" w:eastAsia="Times New Roman" w:hAnsi="Times New Roman"/>
          <w:sz w:val="14"/>
          <w:szCs w:val="14"/>
          <w:color w:val="auto"/>
        </w:rPr>
        <w:t>of the conference call, dial toll-free 1-844-512-2921 or 1-412-317-6671 and enter access ID 13753164. The telephonic replay will be available approximately three hours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after the completion of the live call until 11:59 pm ET on May 28, 2025. The call will also be available for replay via the webcast link on Kornit’s Investor Relations website.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Kornit Digital</w:t>
      </w:r>
    </w:p>
    <w:p>
      <w:pPr>
        <w:spacing w:after="0" w:line="18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2024, filed with the SEC on March 28, 2025. Any forward-looking statements in this press release are made as of the date hereof, whether as a result of new information, future events or otherwise, except as required by law.</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Non-GAAP Discussion Disclosure</w:t>
      </w:r>
    </w:p>
    <w:p>
      <w:pPr>
        <w:spacing w:after="0" w:line="18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133"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4"/>
          <w:szCs w:val="14"/>
          <w:color w:val="auto"/>
        </w:rPr>
        <w:t>The Company defines “Adjusted EBITDA” as non-GAAP operating income (loss), which reflects the adjustments described in the preceding paragraph, as further adjusted to exclude depreciation expense.</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tables included below present a reconciliation of our non-GAAP financial measures to the most directly comparable GAAP financial measures.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KORNIT DIGITAL LTD.</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AND ITS SUBSIDIARIES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(U.S.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35,003</w:t>
            </w: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Short-term bank deposit</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226,934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169,107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receivables, net</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61,411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65,459</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57,617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60,342</w:t>
            </w:r>
          </w:p>
        </w:tc>
        <w:tc>
          <w:tcPr>
            <w:tcW w:w="0" w:type="dxa"/>
            <w:vAlign w:val="bottom"/>
          </w:tcPr>
          <w:p>
            <w:pPr>
              <w:spacing w:after="0"/>
              <w:rPr>
                <w:sz w:val="1"/>
                <w:szCs w:val="1"/>
                <w:color w:val="auto"/>
              </w:rPr>
            </w:pPr>
          </w:p>
        </w:tc>
      </w:tr>
      <w:tr>
        <w:trPr>
          <w:trHeight w:val="186"/>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accounts receivable and prepaid expenses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27,079</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25,714</w:t>
            </w:r>
          </w:p>
        </w:tc>
        <w:tc>
          <w:tcPr>
            <w:tcW w:w="0" w:type="dxa"/>
            <w:vAlign w:val="bottom"/>
          </w:tcPr>
          <w:p>
            <w:pPr>
              <w:spacing w:after="0"/>
              <w:rPr>
                <w:sz w:val="1"/>
                <w:szCs w:val="1"/>
                <w:color w:val="auto"/>
              </w:rPr>
            </w:pPr>
          </w:p>
        </w:tc>
      </w:tr>
      <w:tr>
        <w:trPr>
          <w:trHeight w:val="175"/>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4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598,177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ASSETS:</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61,078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48,086</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 and other long-term assets</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10,855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10,542</w:t>
            </w: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Severance pay fund</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Property,plant and equipment, net</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63,122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59,222</w:t>
            </w: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18,738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19,054</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29,164</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29,164</w:t>
            </w:r>
          </w:p>
        </w:tc>
        <w:tc>
          <w:tcPr>
            <w:tcW w:w="0" w:type="dxa"/>
            <w:vAlign w:val="bottom"/>
          </w:tcPr>
          <w:p>
            <w:pPr>
              <w:spacing w:after="0"/>
              <w:rPr>
                <w:sz w:val="1"/>
                <w:szCs w:val="1"/>
                <w:color w:val="auto"/>
              </w:rPr>
            </w:pPr>
          </w:p>
        </w:tc>
      </w:tr>
      <w:tr>
        <w:trPr>
          <w:trHeight w:val="175"/>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assets</w:t>
            </w:r>
          </w:p>
        </w:tc>
        <w:tc>
          <w:tcPr>
            <w:tcW w:w="4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188,601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786,778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787,484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Trade payables</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Employees and payroll accruals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14,216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13,101</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revenues and advances from customers</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3,249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3,311</w:t>
            </w:r>
          </w:p>
        </w:tc>
        <w:tc>
          <w:tcPr>
            <w:tcW w:w="0" w:type="dxa"/>
            <w:vAlign w:val="bottom"/>
          </w:tcPr>
          <w:p>
            <w:pPr>
              <w:spacing w:after="0"/>
              <w:rPr>
                <w:sz w:val="1"/>
                <w:szCs w:val="1"/>
                <w:color w:val="auto"/>
              </w:rPr>
            </w:pPr>
          </w:p>
        </w:tc>
      </w:tr>
      <w:tr>
        <w:trPr>
          <w:trHeight w:val="204"/>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payables and accrued expenses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24,975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16,561</w:t>
            </w:r>
          </w:p>
        </w:tc>
        <w:tc>
          <w:tcPr>
            <w:tcW w:w="0" w:type="dxa"/>
            <w:vAlign w:val="bottom"/>
          </w:tcPr>
          <w:p>
            <w:pPr>
              <w:spacing w:after="0"/>
              <w:rPr>
                <w:sz w:val="1"/>
                <w:szCs w:val="1"/>
                <w:color w:val="auto"/>
              </w:rPr>
            </w:pPr>
          </w:p>
        </w:tc>
      </w:tr>
      <w:tr>
        <w:trPr>
          <w:trHeight w:val="156"/>
        </w:trPr>
        <w:tc>
          <w:tcPr>
            <w:tcW w:w="4360" w:type="dxa"/>
            <w:vAlign w:val="bottom"/>
            <w:tcBorders>
              <w:top w:val="single" w:sz="8" w:color="CCEEFF"/>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43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50,130</w:t>
            </w:r>
          </w:p>
        </w:tc>
        <w:tc>
          <w:tcPr>
            <w:tcW w:w="2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44,331</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severance pay</w:t>
            </w: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14,651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15,065</w:t>
            </w:r>
          </w:p>
        </w:tc>
        <w:tc>
          <w:tcPr>
            <w:tcW w:w="0" w:type="dxa"/>
            <w:vAlign w:val="bottom"/>
          </w:tcPr>
          <w:p>
            <w:pPr>
              <w:spacing w:after="0"/>
              <w:rPr>
                <w:sz w:val="1"/>
                <w:szCs w:val="1"/>
                <w:color w:val="auto"/>
              </w:rPr>
            </w:pPr>
          </w:p>
        </w:tc>
      </w:tr>
      <w:tr>
        <w:trPr>
          <w:trHeight w:val="204"/>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56"/>
        </w:trPr>
        <w:tc>
          <w:tcPr>
            <w:tcW w:w="4360" w:type="dxa"/>
            <w:vAlign w:val="bottom"/>
            <w:tcBorders>
              <w:top w:val="single" w:sz="8" w:color="CCEEFF"/>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long-term liabilities</w:t>
            </w:r>
          </w:p>
        </w:tc>
        <w:tc>
          <w:tcPr>
            <w:tcW w:w="43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15,826</w:t>
            </w:r>
          </w:p>
        </w:tc>
        <w:tc>
          <w:tcPr>
            <w:tcW w:w="2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16,254</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720,822</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726,899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spacing w:after="0"/>
              <w:rPr>
                <w:sz w:val="15"/>
                <w:szCs w:val="15"/>
                <w:color w:val="auto"/>
              </w:rPr>
            </w:pPr>
          </w:p>
        </w:tc>
        <w:tc>
          <w:tcPr>
            <w:tcW w:w="4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4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786,778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340" w:type="dxa"/>
            <w:vAlign w:val="bottom"/>
            <w:vMerge w:val="restart"/>
          </w:tcPr>
          <w:p>
            <w:pPr>
              <w:jc w:val="right"/>
              <w:ind w:right="29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3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0" w:right="3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Products</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revenues</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Products</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cost of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Research and development, net</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income, net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before taxes on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Taxes on income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loss per share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 average number of shares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used in computing basic net loss per share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Diluted loss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 average number of shares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used in computing diluted net loss per share</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Times New Roman" w:cs="Times New Roman" w:eastAsia="Times New Roman" w:hAnsi="Times New Roman"/>
          <w:sz w:val="14"/>
          <w:szCs w:val="14"/>
          <w:b w:val="1"/>
          <w:bCs w:val="1"/>
          <w:color w:val="auto"/>
        </w:rPr>
        <w:t>KORNIT DIGITAL LTD.</w:t>
      </w:r>
    </w:p>
    <w:p>
      <w:pPr>
        <w:spacing w:after="0" w:line="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AND ITS SUBSIDIARIES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dollars in thousands, except share and per share data)</w:t>
      </w:r>
    </w:p>
    <w:p>
      <w:pPr>
        <w:spacing w:after="0" w:line="168" w:lineRule="exact"/>
        <w:rPr>
          <w:sz w:val="20"/>
          <w:szCs w:val="20"/>
          <w:color w:val="auto"/>
        </w:rPr>
      </w:pPr>
    </w:p>
    <w:p>
      <w:pPr>
        <w:jc w:val="center"/>
        <w:ind w:left="-427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0" w:lineRule="exact"/>
        <w:rPr>
          <w:sz w:val="20"/>
          <w:szCs w:val="20"/>
          <w:color w:val="auto"/>
        </w:rPr>
      </w:pPr>
    </w:p>
    <w:p>
      <w:pPr>
        <w:jc w:val="center"/>
        <w:ind w:left="-4279"/>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4720" w:type="dxa"/>
        <w:tblCellMar>
          <w:top w:w="0" w:type="dxa"/>
          <w:left w:w="0" w:type="dxa"/>
          <w:bottom w:w="0" w:type="dxa"/>
          <w:right w:w="0" w:type="dxa"/>
        </w:tblCellMar>
      </w:tblPr>
      <w:tr>
        <w:trPr>
          <w:trHeight w:val="187"/>
        </w:trPr>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16"/>
        </w:trPr>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33,865</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29,013</w:t>
            </w:r>
          </w:p>
        </w:tc>
        <w:tc>
          <w:tcPr>
            <w:tcW w:w="20" w:type="dxa"/>
            <w:vAlign w:val="bottom"/>
          </w:tcPr>
          <w:p>
            <w:pPr>
              <w:spacing w:after="0"/>
              <w:rPr>
                <w:sz w:val="24"/>
                <w:szCs w:val="24"/>
                <w:color w:val="auto"/>
              </w:rPr>
            </w:pPr>
          </w:p>
        </w:tc>
      </w:tr>
      <w:tr>
        <w:trPr>
          <w:trHeight w:val="189"/>
        </w:trPr>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12,592</w:t>
            </w:r>
          </w:p>
        </w:tc>
        <w:tc>
          <w:tcPr>
            <w:tcW w:w="3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14,763</w:t>
            </w:r>
          </w:p>
        </w:tc>
        <w:tc>
          <w:tcPr>
            <w:tcW w:w="20" w:type="dxa"/>
            <w:vAlign w:val="bottom"/>
          </w:tcPr>
          <w:p>
            <w:pPr>
              <w:spacing w:after="0"/>
              <w:rPr>
                <w:sz w:val="16"/>
                <w:szCs w:val="16"/>
                <w:color w:val="auto"/>
              </w:rPr>
            </w:pPr>
          </w:p>
        </w:tc>
      </w:tr>
      <w:tr>
        <w:trPr>
          <w:trHeight w:val="189"/>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46,457</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43,776</w:t>
            </w:r>
          </w:p>
        </w:tc>
        <w:tc>
          <w:tcPr>
            <w:tcW w:w="20" w:type="dxa"/>
            <w:vAlign w:val="bottom"/>
          </w:tcPr>
          <w:p>
            <w:pPr>
              <w:spacing w:after="0"/>
              <w:rPr>
                <w:sz w:val="16"/>
                <w:szCs w:val="16"/>
                <w:color w:val="auto"/>
              </w:rPr>
            </w:pPr>
          </w:p>
        </w:tc>
      </w:tr>
      <w:tr>
        <w:trPr>
          <w:trHeight w:val="500"/>
        </w:trPr>
        <w:tc>
          <w:tcPr>
            <w:tcW w:w="240" w:type="dxa"/>
            <w:vAlign w:val="bottom"/>
          </w:tcPr>
          <w:p>
            <w:pPr>
              <w:spacing w:after="0"/>
              <w:rPr>
                <w:sz w:val="24"/>
                <w:szCs w:val="24"/>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15,613</w:t>
            </w: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15,691</w:t>
            </w:r>
          </w:p>
        </w:tc>
        <w:tc>
          <w:tcPr>
            <w:tcW w:w="20" w:type="dxa"/>
            <w:vAlign w:val="bottom"/>
          </w:tcPr>
          <w:p>
            <w:pPr>
              <w:spacing w:after="0"/>
              <w:rPr>
                <w:sz w:val="24"/>
                <w:szCs w:val="24"/>
                <w:color w:val="auto"/>
              </w:rPr>
            </w:pPr>
          </w:p>
        </w:tc>
      </w:tr>
      <w:tr>
        <w:trPr>
          <w:trHeight w:val="189"/>
        </w:trPr>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11,044</w:t>
            </w:r>
          </w:p>
        </w:tc>
        <w:tc>
          <w:tcPr>
            <w:tcW w:w="3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13,946</w:t>
            </w:r>
          </w:p>
        </w:tc>
        <w:tc>
          <w:tcPr>
            <w:tcW w:w="20" w:type="dxa"/>
            <w:vAlign w:val="bottom"/>
          </w:tcPr>
          <w:p>
            <w:pPr>
              <w:spacing w:after="0"/>
              <w:rPr>
                <w:sz w:val="16"/>
                <w:szCs w:val="16"/>
                <w:color w:val="auto"/>
              </w:rPr>
            </w:pPr>
          </w:p>
        </w:tc>
      </w:tr>
      <w:tr>
        <w:trPr>
          <w:trHeight w:val="189"/>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26,657</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29,637</w:t>
            </w:r>
          </w:p>
        </w:tc>
        <w:tc>
          <w:tcPr>
            <w:tcW w:w="20" w:type="dxa"/>
            <w:vAlign w:val="bottom"/>
          </w:tcPr>
          <w:p>
            <w:pPr>
              <w:spacing w:after="0"/>
              <w:rPr>
                <w:sz w:val="16"/>
                <w:szCs w:val="16"/>
                <w:color w:val="auto"/>
              </w:rPr>
            </w:pPr>
          </w:p>
        </w:tc>
      </w:tr>
      <w:tr>
        <w:trPr>
          <w:trHeight w:val="332"/>
        </w:trPr>
        <w:tc>
          <w:tcPr>
            <w:tcW w:w="240" w:type="dxa"/>
            <w:vAlign w:val="bottom"/>
          </w:tcPr>
          <w:p>
            <w:pPr>
              <w:spacing w:after="0"/>
              <w:rPr>
                <w:sz w:val="24"/>
                <w:szCs w:val="24"/>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19,800</w:t>
            </w: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14,139</w:t>
            </w:r>
          </w:p>
        </w:tc>
        <w:tc>
          <w:tcPr>
            <w:tcW w:w="20" w:type="dxa"/>
            <w:vAlign w:val="bottom"/>
          </w:tcPr>
          <w:p>
            <w:pPr>
              <w:spacing w:after="0"/>
              <w:rPr>
                <w:sz w:val="24"/>
                <w:szCs w:val="24"/>
                <w:color w:val="auto"/>
              </w:rPr>
            </w:pPr>
          </w:p>
        </w:tc>
      </w:tr>
      <w:tr>
        <w:trPr>
          <w:trHeight w:val="504"/>
        </w:trPr>
        <w:tc>
          <w:tcPr>
            <w:tcW w:w="240" w:type="dxa"/>
            <w:vAlign w:val="bottom"/>
          </w:tcPr>
          <w:p>
            <w:pPr>
              <w:spacing w:after="0"/>
              <w:rPr>
                <w:sz w:val="24"/>
                <w:szCs w:val="24"/>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9,278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2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14,949</w:t>
            </w:r>
          </w:p>
        </w:tc>
        <w:tc>
          <w:tcPr>
            <w:tcW w:w="3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13,796</w:t>
            </w:r>
          </w:p>
        </w:tc>
        <w:tc>
          <w:tcPr>
            <w:tcW w:w="20" w:type="dxa"/>
            <w:vAlign w:val="bottom"/>
          </w:tcPr>
          <w:p>
            <w:pPr>
              <w:spacing w:after="0"/>
              <w:rPr>
                <w:sz w:val="15"/>
                <w:szCs w:val="15"/>
                <w:color w:val="auto"/>
              </w:rPr>
            </w:pPr>
          </w:p>
        </w:tc>
      </w:tr>
      <w:tr>
        <w:trPr>
          <w:trHeight w:val="189"/>
        </w:trPr>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7,644</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31,871</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2"/>
        </w:trPr>
        <w:tc>
          <w:tcPr>
            <w:tcW w:w="240" w:type="dxa"/>
            <w:vAlign w:val="bottom"/>
          </w:tcPr>
          <w:p>
            <w:pPr>
              <w:spacing w:after="0"/>
              <w:rPr>
                <w:sz w:val="24"/>
                <w:szCs w:val="24"/>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(12,071)</w:t>
            </w:r>
          </w:p>
        </w:tc>
        <w:tc>
          <w:tcPr>
            <w:tcW w:w="3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(18,286)</w:t>
            </w:r>
          </w:p>
        </w:tc>
      </w:tr>
      <w:tr>
        <w:trPr>
          <w:trHeight w:val="358"/>
        </w:trPr>
        <w:tc>
          <w:tcPr>
            <w:tcW w:w="240" w:type="dxa"/>
            <w:vAlign w:val="bottom"/>
          </w:tcPr>
          <w:p>
            <w:pPr>
              <w:spacing w:after="0"/>
              <w:rPr>
                <w:sz w:val="24"/>
                <w:szCs w:val="24"/>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7,383</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(12,940)</w:t>
            </w:r>
          </w:p>
        </w:tc>
        <w:tc>
          <w:tcPr>
            <w:tcW w:w="40" w:type="dxa"/>
            <w:vAlign w:val="bottom"/>
            <w:gridSpan w:val="2"/>
          </w:tcPr>
          <w:p>
            <w:pPr>
              <w:spacing w:after="0"/>
              <w:rPr>
                <w:sz w:val="16"/>
                <w:szCs w:val="16"/>
                <w:color w:val="auto"/>
              </w:rPr>
            </w:pPr>
          </w:p>
        </w:tc>
      </w:tr>
      <w:tr>
        <w:trPr>
          <w:trHeight w:val="343"/>
        </w:trPr>
        <w:tc>
          <w:tcPr>
            <w:tcW w:w="240" w:type="dxa"/>
            <w:vAlign w:val="bottom"/>
          </w:tcPr>
          <w:p>
            <w:pPr>
              <w:spacing w:after="0"/>
              <w:rPr>
                <w:sz w:val="24"/>
                <w:szCs w:val="24"/>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tcPr>
          <w:p>
            <w:pPr>
              <w:spacing w:after="0"/>
              <w:rPr>
                <w:sz w:val="24"/>
                <w:szCs w:val="24"/>
                <w:color w:val="auto"/>
              </w:rPr>
            </w:pPr>
          </w:p>
        </w:tc>
      </w:tr>
      <w:tr>
        <w:trPr>
          <w:trHeight w:val="175"/>
        </w:trPr>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(13,199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1"/>
        </w:trPr>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(0.11)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45,801,003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47,611,456</w:t>
            </w:r>
          </w:p>
        </w:tc>
        <w:tc>
          <w:tcPr>
            <w:tcW w:w="20" w:type="dxa"/>
            <w:vAlign w:val="bottom"/>
          </w:tcPr>
          <w:p>
            <w:pPr>
              <w:spacing w:after="0"/>
              <w:rPr>
                <w:sz w:val="24"/>
                <w:szCs w:val="24"/>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1"/>
        </w:trPr>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(0.11)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240" w:type="dxa"/>
            <w:vAlign w:val="bottom"/>
          </w:tcPr>
          <w:p>
            <w:pPr>
              <w:spacing w:after="0"/>
              <w:rPr>
                <w:sz w:val="24"/>
                <w:szCs w:val="24"/>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45,801,003</w:t>
            </w: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47,611,456</w:t>
            </w:r>
          </w:p>
        </w:tc>
        <w:tc>
          <w:tcPr>
            <w:tcW w:w="2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-4039235</wp:posOffset>
            </wp:positionV>
            <wp:extent cx="7159625" cy="109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-3806190</wp:posOffset>
            </wp:positionV>
            <wp:extent cx="7159625" cy="116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59625" cy="11684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-3578860</wp:posOffset>
            </wp:positionV>
            <wp:extent cx="7159625" cy="109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-3359150</wp:posOffset>
            </wp:positionV>
            <wp:extent cx="7159625" cy="123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59625" cy="12382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-3118485</wp:posOffset>
            </wp:positionV>
            <wp:extent cx="7159625" cy="109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-2898775</wp:posOffset>
            </wp:positionV>
            <wp:extent cx="7159625" cy="109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-2679065</wp:posOffset>
            </wp:positionV>
            <wp:extent cx="7159625" cy="109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-2459355</wp:posOffset>
            </wp:positionV>
            <wp:extent cx="7159625" cy="123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59625" cy="12382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-2218690</wp:posOffset>
            </wp:positionV>
            <wp:extent cx="7159625" cy="109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-1998980</wp:posOffset>
            </wp:positionV>
            <wp:extent cx="7159625" cy="109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59625" cy="1098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-1765300</wp:posOffset>
            </wp:positionV>
            <wp:extent cx="7159625" cy="116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59625" cy="11684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-1538605</wp:posOffset>
            </wp:positionV>
            <wp:extent cx="7159625" cy="123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59625" cy="12382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-1283970</wp:posOffset>
            </wp:positionV>
            <wp:extent cx="7159625" cy="130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59625" cy="13081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-1022985</wp:posOffset>
            </wp:positionV>
            <wp:extent cx="7159625"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59625" cy="13081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-782955</wp:posOffset>
            </wp:positionV>
            <wp:extent cx="7159625" cy="130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59625" cy="13081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-521335</wp:posOffset>
            </wp:positionV>
            <wp:extent cx="7159625"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59625" cy="13081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-260350</wp:posOffset>
            </wp:positionV>
            <wp:extent cx="7159625" cy="109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3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17145</wp:posOffset>
            </wp:positionV>
            <wp:extent cx="715962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2">
            <w:col w:w="3260" w:space="720"/>
            <w:col w:w="7240"/>
          </w:cols>
          <w:pgMar w:left="300" w:top="750" w:right="37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KORNIT DIGITAL LTD.</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AND ITS SUBSIDIARIES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RECONCILIATION OF GAAP TO NON-GAAP CONSOLIDATED STATEMENTS OF OPERATIONS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(U.S. dollars in thousands, except share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5"/>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46,457</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43,776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cost of revenues</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26,657</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29,637</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Cost of product recorded for share-based compensation (1)</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(519)</w:t>
            </w:r>
          </w:p>
        </w:tc>
        <w:tc>
          <w:tcPr>
            <w:tcW w:w="320" w:type="dxa"/>
            <w:vAlign w:val="bottom"/>
          </w:tcPr>
          <w:p>
            <w:pPr>
              <w:spacing w:after="0"/>
              <w:rPr>
                <w:sz w:val="15"/>
                <w:szCs w:val="15"/>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service recorded for share-based compensation (1)</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(395)</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amortization on cost of product (2)</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(148)</w:t>
            </w:r>
          </w:p>
        </w:tc>
        <w:tc>
          <w:tcPr>
            <w:tcW w:w="320" w:type="dxa"/>
            <w:vAlign w:val="bottom"/>
          </w:tcPr>
          <w:p>
            <w:pPr>
              <w:spacing w:after="0"/>
              <w:rPr>
                <w:sz w:val="15"/>
                <w:szCs w:val="15"/>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amortization on cost of service (2)</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expenses (3)</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cost of revenues</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gross profit</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19,800</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adjustments</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1,222</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gross profit</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operating expenses</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31,871</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32,425</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(1)</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(4,406)</w:t>
            </w:r>
          </w:p>
        </w:tc>
        <w:tc>
          <w:tcPr>
            <w:tcW w:w="320" w:type="dxa"/>
            <w:vAlign w:val="bottom"/>
          </w:tcPr>
          <w:p>
            <w:pPr>
              <w:spacing w:after="0"/>
              <w:rPr>
                <w:sz w:val="15"/>
                <w:szCs w:val="15"/>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(4,527)</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amortization (2)</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expenses (3)</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operating expenses</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Financial income, net</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7,383</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losses associated with ASC 842</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6"/>
                <w:szCs w:val="16"/>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Financial income , net</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Taxes on income</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Non-cash deferred tax income</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Taxes on income</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loss</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(5,059)</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(13,199)</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(1)</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5,320</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amortization (2)</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382</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expenses (3)</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losses associated with ASC 842</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Non-cash deferred tax income</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net income (loss)</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GAAP diluted loss per share</w:t>
            </w:r>
          </w:p>
        </w:tc>
        <w:tc>
          <w:tcPr>
            <w:tcW w:w="4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07"/>
        </w:trPr>
        <w:tc>
          <w:tcPr>
            <w:tcW w:w="4920" w:type="dxa"/>
            <w:vAlign w:val="bottom"/>
            <w:tcBorders>
              <w:bottom w:val="single" w:sz="8" w:color="CCEEFF"/>
            </w:tcBorders>
            <w:vMerge w:val="continue"/>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tcBorders>
              <w:bottom w:val="single" w:sz="8" w:color="CCEEFF"/>
            </w:tcBorders>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Non-GAAP diluted income (loss) per share</w:t>
            </w:r>
          </w:p>
        </w:tc>
        <w:tc>
          <w:tcPr>
            <w:tcW w:w="37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number of shares</w:t>
            </w: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vMerge w:val="continue"/>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used in computing GAAP diluted net loss per share</w:t>
            </w:r>
          </w:p>
        </w:tc>
        <w:tc>
          <w:tcPr>
            <w:tcW w:w="37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45,801,003</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47,611,456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Shares used in computing Non-GAAP diluted net income (loss) per share</w:t>
            </w: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20" w:type="dxa"/>
            <w:vAlign w:val="bottom"/>
            <w:tcBorders>
              <w:bottom w:val="single" w:sz="8" w:color="CCEEFF"/>
            </w:tcBorders>
            <w:vMerge w:val="continue"/>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46,355,596</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47,611,456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9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(1) Share-based compensation</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product revenues</w:t>
            </w:r>
          </w:p>
        </w:tc>
        <w:tc>
          <w:tcPr>
            <w:tcW w:w="40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519</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73"/>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service revenues</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395</w:t>
            </w:r>
          </w:p>
        </w:tc>
        <w:tc>
          <w:tcPr>
            <w:tcW w:w="32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1,202</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1,537</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1,667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bottom w:val="single" w:sz="8" w:color="CCEEFF"/>
            </w:tcBorders>
          </w:tcPr>
          <w:p>
            <w:pPr>
              <w:spacing w:after="0"/>
              <w:rPr>
                <w:sz w:val="17"/>
                <w:szCs w:val="17"/>
                <w:color w:val="auto"/>
              </w:rPr>
            </w:pPr>
          </w:p>
        </w:tc>
        <w:tc>
          <w:tcPr>
            <w:tcW w:w="378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5,320</w:t>
            </w:r>
          </w:p>
        </w:tc>
        <w:tc>
          <w:tcPr>
            <w:tcW w:w="22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5,448</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 Intangible assets amortization</w:t>
            </w:r>
          </w:p>
        </w:tc>
        <w:tc>
          <w:tcPr>
            <w:tcW w:w="3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product revenues</w:t>
            </w:r>
          </w:p>
        </w:tc>
        <w:tc>
          <w:tcPr>
            <w:tcW w:w="40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148</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service revenues</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6"/>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 Restructuring expenses</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product revenues</w:t>
            </w:r>
          </w:p>
        </w:tc>
        <w:tc>
          <w:tcPr>
            <w:tcW w:w="40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service revenues</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86"/>
        </w:trPr>
        <w:tc>
          <w:tcPr>
            <w:tcW w:w="4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75"/>
        </w:trPr>
        <w:tc>
          <w:tcPr>
            <w:tcW w:w="49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80" w:type="dxa"/>
            <w:vAlign w:val="bottom"/>
            <w:vMerge w:val="restart"/>
          </w:tcPr>
          <w:p>
            <w:pPr>
              <w:jc w:val="right"/>
              <w:ind w:right="29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9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0" w:right="319" w:bottom="1440" w:gutter="0" w:footer="0" w:header="0"/>
        </w:sectPr>
      </w:pPr>
    </w:p>
    <w:bookmarkStart w:id="9" w:name="page10"/>
    <w:bookmarkEnd w:id="9"/>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KORNIT DIGITAL LTD.</w:t>
      </w:r>
    </w:p>
    <w:p>
      <w:pPr>
        <w:spacing w:after="0" w:line="30"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AND ITS SUBSIDIARIES</w:t>
      </w:r>
    </w:p>
    <w:p>
      <w:pPr>
        <w:spacing w:after="0" w:line="12"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2"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flows from operating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59625" cy="109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Fair value of warrants deducted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Amortization of premium and accretion of discount on marketable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Realized loss on sale and redemption of marketable securities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Trade receivables, net</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accounts receivables and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Inventory</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Operating leases right-of-use assets and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Deposits and other long term assets</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Employees and payroll accruals</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Deferred revenues and advances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Other payables and accrued expenses</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Accrued severance pay,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23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Other long - term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59625" cy="116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59625" cy="1168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09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09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investment in short-term bank deposits, net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sales and redemption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in marketable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59625" cy="123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59625" cy="109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 of 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59625" cy="109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related to shares withheld for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23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Repurchase of ordinary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59625" cy="116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59625" cy="1168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23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59625" cy="130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59625" cy="13081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09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of property and equipment on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09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transferred to be used as property and equipment and Equipment on lease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transferred to be used as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9625" cy="109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59625" cy="1098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Lease liabilities arising from obtaining right-of-use assets</w:t>
      </w:r>
    </w:p>
    <w:p>
      <w:pPr>
        <w:spacing w:after="0" w:line="3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962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573530"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573530" cy="13970"/>
                    </a:xfrm>
                    <a:prstGeom prst="rect">
                      <a:avLst/>
                    </a:prstGeom>
                    <a:noFill/>
                  </pic:spPr>
                </pic:pic>
              </a:graphicData>
            </a:graphic>
          </wp:anchor>
        </w:drawing>
      </w:r>
    </w:p>
    <w:p>
      <w:pPr>
        <w:spacing w:after="0" w:line="18" w:lineRule="exact"/>
        <w:rPr>
          <w:sz w:val="20"/>
          <w:szCs w:val="20"/>
          <w:color w:val="auto"/>
        </w:rPr>
      </w:pPr>
    </w:p>
    <w:p>
      <w:pPr>
        <w:ind w:left="42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57353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573530" cy="13970"/>
                    </a:xfrm>
                    <a:prstGeom prst="rect">
                      <a:avLst/>
                    </a:prstGeom>
                    <a:noFill/>
                  </pic:spPr>
                </pic:pic>
              </a:graphicData>
            </a:graphic>
          </wp:anchor>
        </w:drawing>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57353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573530" cy="13970"/>
                    </a:xfrm>
                    <a:prstGeom prst="rect">
                      <a:avLst/>
                    </a:prstGeom>
                    <a:noFill/>
                  </pic:spPr>
                </pic:pic>
              </a:graphicData>
            </a:graphic>
          </wp:anchor>
        </w:drawing>
      </w:r>
    </w:p>
    <w:p>
      <w:pPr>
        <w:spacing w:after="0" w:line="384" w:lineRule="exact"/>
        <w:rPr>
          <w:sz w:val="20"/>
          <w:szCs w:val="20"/>
          <w:color w:val="auto"/>
        </w:rPr>
      </w:pPr>
    </w:p>
    <w:p>
      <w:pPr>
        <w:spacing w:after="0"/>
        <w:tabs>
          <w:tab w:leader="none" w:pos="740" w:val="left"/>
          <w:tab w:leader="none" w:pos="1340" w:val="left"/>
          <w:tab w:leader="none" w:pos="20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(5,059)</w:t>
        <w:tab/>
        <w:t>$</w:t>
      </w:r>
      <w:r>
        <w:rPr>
          <w:sz w:val="20"/>
          <w:szCs w:val="20"/>
          <w:color w:val="auto"/>
        </w:rPr>
        <w:tab/>
      </w:r>
      <w:r>
        <w:rPr>
          <w:rFonts w:ascii="Times New Roman" w:cs="Times New Roman" w:eastAsia="Times New Roman" w:hAnsi="Times New Roman"/>
          <w:sz w:val="14"/>
          <w:szCs w:val="14"/>
          <w:color w:val="auto"/>
        </w:rPr>
        <w:t>(13,199)</w:t>
      </w:r>
    </w:p>
    <w:p>
      <w:pPr>
        <w:spacing w:after="0" w:line="185" w:lineRule="exact"/>
        <w:rPr>
          <w:sz w:val="20"/>
          <w:szCs w:val="20"/>
          <w:color w:val="auto"/>
        </w:rPr>
      </w:pPr>
    </w:p>
    <w:p>
      <w:pPr>
        <w:ind w:left="800"/>
        <w:spacing w:after="0"/>
        <w:tabs>
          <w:tab w:leader="none" w:pos="2120" w:val="left"/>
        </w:tabs>
        <w:rPr>
          <w:sz w:val="20"/>
          <w:szCs w:val="20"/>
          <w:color w:val="auto"/>
        </w:rPr>
      </w:pPr>
      <w:r>
        <w:rPr>
          <w:rFonts w:ascii="Times New Roman" w:cs="Times New Roman" w:eastAsia="Times New Roman" w:hAnsi="Times New Roman"/>
          <w:sz w:val="14"/>
          <w:szCs w:val="14"/>
          <w:color w:val="auto"/>
        </w:rPr>
        <w:t>2,846</w:t>
      </w:r>
      <w:r>
        <w:rPr>
          <w:sz w:val="20"/>
          <w:szCs w:val="20"/>
          <w:color w:val="auto"/>
        </w:rPr>
        <w:tab/>
      </w:r>
      <w:r>
        <w:rPr>
          <w:rFonts w:ascii="Times New Roman" w:cs="Times New Roman" w:eastAsia="Times New Roman" w:hAnsi="Times New Roman"/>
          <w:sz w:val="14"/>
          <w:szCs w:val="14"/>
          <w:color w:val="auto"/>
        </w:rPr>
        <w:t>3,324</w:t>
      </w:r>
    </w:p>
    <w:p>
      <w:pPr>
        <w:spacing w:after="0" w:line="28" w:lineRule="exact"/>
        <w:rPr>
          <w:sz w:val="20"/>
          <w:szCs w:val="20"/>
          <w:color w:val="auto"/>
        </w:rPr>
      </w:pPr>
    </w:p>
    <w:p>
      <w:pPr>
        <w:ind w:left="2140" w:hanging="1057"/>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3,586</w:t>
      </w:r>
    </w:p>
    <w:p>
      <w:pPr>
        <w:spacing w:after="0" w:line="12" w:lineRule="exact"/>
        <w:rPr>
          <w:sz w:val="20"/>
          <w:szCs w:val="20"/>
          <w:color w:val="auto"/>
        </w:rPr>
      </w:pPr>
    </w:p>
    <w:p>
      <w:pPr>
        <w:ind w:left="800"/>
        <w:spacing w:after="0"/>
        <w:tabs>
          <w:tab w:leader="none" w:pos="2120" w:val="left"/>
        </w:tabs>
        <w:rPr>
          <w:sz w:val="20"/>
          <w:szCs w:val="20"/>
          <w:color w:val="auto"/>
        </w:rPr>
      </w:pPr>
      <w:r>
        <w:rPr>
          <w:rFonts w:ascii="Times New Roman" w:cs="Times New Roman" w:eastAsia="Times New Roman" w:hAnsi="Times New Roman"/>
          <w:sz w:val="14"/>
          <w:szCs w:val="14"/>
          <w:color w:val="auto"/>
        </w:rPr>
        <w:t>5,320</w:t>
      </w:r>
      <w:r>
        <w:rPr>
          <w:sz w:val="20"/>
          <w:szCs w:val="20"/>
          <w:color w:val="auto"/>
        </w:rPr>
        <w:tab/>
      </w:r>
      <w:r>
        <w:rPr>
          <w:rFonts w:ascii="Times New Roman" w:cs="Times New Roman" w:eastAsia="Times New Roman" w:hAnsi="Times New Roman"/>
          <w:sz w:val="14"/>
          <w:szCs w:val="14"/>
          <w:color w:val="auto"/>
        </w:rPr>
        <w:t>5,448</w:t>
      </w:r>
    </w:p>
    <w:p>
      <w:pPr>
        <w:spacing w:after="0" w:line="12" w:lineRule="exact"/>
        <w:rPr>
          <w:sz w:val="20"/>
          <w:szCs w:val="20"/>
          <w:color w:val="auto"/>
        </w:rPr>
      </w:pPr>
    </w:p>
    <w:p>
      <w:pPr>
        <w:ind w:left="2360" w:hanging="1493"/>
        <w:spacing w:after="0"/>
        <w:tabs>
          <w:tab w:leader="none" w:pos="23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w:t>
      </w:r>
    </w:p>
    <w:p>
      <w:pPr>
        <w:spacing w:after="0" w:line="24" w:lineRule="exact"/>
        <w:rPr>
          <w:sz w:val="20"/>
          <w:szCs w:val="20"/>
          <w:color w:val="auto"/>
        </w:rPr>
      </w:pPr>
    </w:p>
    <w:p>
      <w:pPr>
        <w:ind w:left="2420" w:hanging="1481"/>
        <w:spacing w:after="0"/>
        <w:tabs>
          <w:tab w:leader="none" w:pos="2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4,048</w:t>
            </w:r>
          </w:p>
        </w:tc>
        <w:tc>
          <w:tcPr>
            <w:tcW w:w="3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12,905</w:t>
            </w:r>
          </w:p>
        </w:tc>
        <w:tc>
          <w:tcPr>
            <w:tcW w:w="40" w:type="dxa"/>
            <w:vAlign w:val="bottom"/>
          </w:tcPr>
          <w:p>
            <w:pPr>
              <w:spacing w:after="0"/>
              <w:rPr>
                <w:sz w:val="15"/>
                <w:szCs w:val="15"/>
                <w:color w:val="auto"/>
              </w:rPr>
            </w:pP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(1,365)</w:t>
            </w:r>
          </w:p>
        </w:tc>
        <w:tc>
          <w:tcPr>
            <w:tcW w:w="3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40" w:type="dxa"/>
            <w:vAlign w:val="bottom"/>
          </w:tcPr>
          <w:p>
            <w:pPr>
              <w:spacing w:after="0"/>
              <w:rPr>
                <w:sz w:val="15"/>
                <w:szCs w:val="15"/>
                <w:color w:val="auto"/>
              </w:rPr>
            </w:pP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2,320</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(160)</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(313)</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(5,310)</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(3,765)</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2,092</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(546)</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2,230</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(2,313)</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0"/>
        </w:trPr>
        <w:tc>
          <w:tcPr>
            <w:tcW w:w="380" w:type="dxa"/>
            <w:vAlign w:val="bottom"/>
          </w:tcPr>
          <w:p>
            <w:pPr>
              <w:spacing w:after="0"/>
              <w:rPr>
                <w:sz w:val="17"/>
                <w:szCs w:val="17"/>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75"/>
        </w:trPr>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5,764</w:t>
            </w:r>
          </w:p>
        </w:tc>
        <w:tc>
          <w:tcPr>
            <w:tcW w:w="2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678"/>
        </w:trPr>
        <w:tc>
          <w:tcPr>
            <w:tcW w:w="380" w:type="dxa"/>
            <w:vAlign w:val="bottom"/>
          </w:tcPr>
          <w:p>
            <w:pPr>
              <w:spacing w:after="0"/>
              <w:rPr>
                <w:sz w:val="24"/>
                <w:szCs w:val="24"/>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(3,771)</w:t>
            </w:r>
          </w:p>
        </w:tc>
        <w:tc>
          <w:tcPr>
            <w:tcW w:w="3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(21,000)</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(24,397)</w:t>
            </w: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2,800</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65,320</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0"/>
        </w:trPr>
        <w:tc>
          <w:tcPr>
            <w:tcW w:w="38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(25,815)</w:t>
            </w:r>
          </w:p>
        </w:tc>
        <w:tc>
          <w:tcPr>
            <w:tcW w:w="3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(18,017)</w:t>
            </w:r>
          </w:p>
        </w:tc>
      </w:tr>
      <w:tr>
        <w:trPr>
          <w:trHeight w:val="175"/>
        </w:trPr>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17,534</w:t>
            </w:r>
          </w:p>
        </w:tc>
        <w:tc>
          <w:tcPr>
            <w:tcW w:w="2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(28,906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678"/>
        </w:trPr>
        <w:tc>
          <w:tcPr>
            <w:tcW w:w="380" w:type="dxa"/>
            <w:vAlign w:val="bottom"/>
          </w:tcPr>
          <w:p>
            <w:pPr>
              <w:spacing w:after="0"/>
              <w:rPr>
                <w:sz w:val="24"/>
                <w:szCs w:val="2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529</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(977)</w:t>
            </w:r>
          </w:p>
        </w:tc>
        <w:tc>
          <w:tcPr>
            <w:tcW w:w="3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00"/>
        </w:trPr>
        <w:tc>
          <w:tcPr>
            <w:tcW w:w="38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(1,824)</w:t>
            </w:r>
          </w:p>
        </w:tc>
        <w:tc>
          <w:tcPr>
            <w:tcW w:w="3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(7,628)</w:t>
            </w:r>
          </w:p>
        </w:tc>
      </w:tr>
      <w:tr>
        <w:trPr>
          <w:trHeight w:val="175"/>
        </w:trPr>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42"/>
        </w:trPr>
        <w:tc>
          <w:tcPr>
            <w:tcW w:w="380" w:type="dxa"/>
            <w:vAlign w:val="bottom"/>
          </w:tcPr>
          <w:p>
            <w:pPr>
              <w:spacing w:after="0"/>
              <w:rPr>
                <w:sz w:val="24"/>
                <w:szCs w:val="2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21,026</w:t>
            </w:r>
          </w:p>
        </w:tc>
        <w:tc>
          <w:tcPr>
            <w:tcW w:w="3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(33,104)</w:t>
            </w:r>
          </w:p>
        </w:tc>
      </w:tr>
      <w:tr>
        <w:trPr>
          <w:trHeight w:val="189"/>
        </w:trPr>
        <w:tc>
          <w:tcPr>
            <w:tcW w:w="380" w:type="dxa"/>
            <w:vAlign w:val="bottom"/>
          </w:tcPr>
          <w:p>
            <w:pPr>
              <w:spacing w:after="0"/>
              <w:rPr>
                <w:sz w:val="16"/>
                <w:szCs w:val="16"/>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35,003</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40" w:type="dxa"/>
            <w:vAlign w:val="bottom"/>
          </w:tcPr>
          <w:p>
            <w:pPr>
              <w:spacing w:after="0"/>
              <w:rPr>
                <w:sz w:val="16"/>
                <w:szCs w:val="16"/>
                <w:color w:val="auto"/>
              </w:rPr>
            </w:pPr>
          </w:p>
        </w:tc>
      </w:tr>
      <w:tr>
        <w:trPr>
          <w:trHeight w:val="175"/>
        </w:trPr>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56,029</w:t>
            </w:r>
          </w:p>
        </w:tc>
        <w:tc>
          <w:tcPr>
            <w:tcW w:w="2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70"/>
        </w:trPr>
        <w:tc>
          <w:tcPr>
            <w:tcW w:w="380" w:type="dxa"/>
            <w:vAlign w:val="bottom"/>
          </w:tcPr>
          <w:p>
            <w:pPr>
              <w:spacing w:after="0"/>
              <w:rPr>
                <w:sz w:val="24"/>
                <w:szCs w:val="2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2,435</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405</w:t>
            </w:r>
          </w:p>
        </w:tc>
        <w:tc>
          <w:tcPr>
            <w:tcW w:w="3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40" w:type="dxa"/>
            <w:vAlign w:val="bottom"/>
          </w:tcPr>
          <w:p>
            <w:pPr>
              <w:spacing w:after="0"/>
              <w:rPr>
                <w:sz w:val="15"/>
                <w:szCs w:val="15"/>
                <w:color w:val="auto"/>
              </w:rPr>
            </w:pPr>
          </w:p>
        </w:tc>
      </w:tr>
      <w:tr>
        <w:trPr>
          <w:trHeight w:val="173"/>
        </w:trPr>
        <w:tc>
          <w:tcPr>
            <w:tcW w:w="380" w:type="dxa"/>
            <w:vAlign w:val="bottom"/>
          </w:tcPr>
          <w:p>
            <w:pPr>
              <w:spacing w:after="0"/>
              <w:rPr>
                <w:sz w:val="15"/>
                <w:szCs w:val="15"/>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4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522</w:t>
            </w:r>
          </w:p>
        </w:tc>
        <w:tc>
          <w:tcPr>
            <w:tcW w:w="3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(1,746)</w:t>
            </w:r>
          </w:p>
        </w:tc>
      </w:tr>
    </w:tbl>
    <w:p>
      <w:pPr>
        <w:sectPr>
          <w:pgSz w:w="11900" w:h="16838" w:orient="portrait"/>
          <w:cols w:equalWidth="0" w:num="2">
            <w:col w:w="7980" w:space="720"/>
            <w:col w:w="2520"/>
          </w:cols>
          <w:pgMar w:left="300" w:top="750"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KORNIT DIGITAL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ITS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GAAP NET INCOME TO ADJUSTED EBITDA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 dollars in thousands, except share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580" w:type="dxa"/>
            <w:vAlign w:val="bottom"/>
            <w:gridSpan w:val="6"/>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Revenues</w:t>
            </w:r>
          </w:p>
        </w:tc>
        <w:tc>
          <w:tcPr>
            <w:tcW w:w="5680" w:type="dxa"/>
            <w:vAlign w:val="bottom"/>
            <w:gridSpan w:val="2"/>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46,457</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43,776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loss</w:t>
            </w:r>
          </w:p>
        </w:tc>
        <w:tc>
          <w:tcPr>
            <w:tcW w:w="4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(5,059)</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(13,199)</w:t>
            </w:r>
          </w:p>
        </w:tc>
        <w:tc>
          <w:tcPr>
            <w:tcW w:w="0" w:type="dxa"/>
            <w:vAlign w:val="bottom"/>
          </w:tcPr>
          <w:p>
            <w:pPr>
              <w:spacing w:after="0"/>
              <w:rPr>
                <w:sz w:val="1"/>
                <w:szCs w:val="1"/>
                <w:color w:val="auto"/>
              </w:rPr>
            </w:pPr>
          </w:p>
        </w:tc>
      </w:tr>
      <w:tr>
        <w:trPr>
          <w:trHeight w:val="173"/>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on income</w:t>
            </w:r>
          </w:p>
        </w:tc>
        <w:tc>
          <w:tcPr>
            <w:tcW w:w="4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Financial income</w:t>
            </w:r>
          </w:p>
        </w:tc>
        <w:tc>
          <w:tcPr>
            <w:tcW w:w="4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(7,383)</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(5,346)</w:t>
            </w:r>
          </w:p>
        </w:tc>
        <w:tc>
          <w:tcPr>
            <w:tcW w:w="0" w:type="dxa"/>
            <w:vAlign w:val="bottom"/>
          </w:tcPr>
          <w:p>
            <w:pPr>
              <w:spacing w:after="0"/>
              <w:rPr>
                <w:sz w:val="1"/>
                <w:szCs w:val="1"/>
                <w:color w:val="auto"/>
              </w:rPr>
            </w:pPr>
          </w:p>
        </w:tc>
      </w:tr>
      <w:tr>
        <w:trPr>
          <w:trHeight w:val="173"/>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4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5,320</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amortization</w:t>
            </w:r>
          </w:p>
        </w:tc>
        <w:tc>
          <w:tcPr>
            <w:tcW w:w="4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382</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expenses</w:t>
            </w:r>
          </w:p>
        </w:tc>
        <w:tc>
          <w:tcPr>
            <w:tcW w:w="4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Operating loss</w:t>
            </w:r>
          </w:p>
        </w:tc>
        <w:tc>
          <w:tcPr>
            <w:tcW w:w="49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(6,369)</w:t>
            </w: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4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2,464</w:t>
            </w:r>
          </w:p>
        </w:tc>
        <w:tc>
          <w:tcPr>
            <w:tcW w:w="320" w:type="dxa"/>
            <w:vAlign w:val="bottom"/>
          </w:tcPr>
          <w:p>
            <w:pPr>
              <w:spacing w:after="0"/>
              <w:rPr>
                <w:sz w:val="16"/>
                <w:szCs w:val="16"/>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2,811</w:t>
            </w:r>
          </w:p>
        </w:tc>
        <w:tc>
          <w:tcPr>
            <w:tcW w:w="0" w:type="dxa"/>
            <w:vAlign w:val="bottom"/>
          </w:tcPr>
          <w:p>
            <w:pPr>
              <w:spacing w:after="0"/>
              <w:rPr>
                <w:sz w:val="1"/>
                <w:szCs w:val="1"/>
                <w:color w:val="auto"/>
              </w:rPr>
            </w:pPr>
          </w:p>
        </w:tc>
      </w:tr>
      <w:tr>
        <w:trPr>
          <w:trHeight w:val="175"/>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49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960" w:type="dxa"/>
            <w:vAlign w:val="bottom"/>
            <w:vMerge w:val="restart"/>
          </w:tcPr>
          <w:p>
            <w:pPr>
              <w:jc w:val="right"/>
              <w:ind w:right="2948"/>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37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0" w:right="319" w:bottom="1440" w:gutter="0" w:footer="0" w:header="0"/>
        </w:sectPr>
      </w:pPr>
    </w:p>
    <w:bookmarkStart w:id="11" w:name="page12"/>
    <w:bookmarkEnd w:id="11"/>
    <w:p>
      <w:pPr>
        <w:ind w:left="940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128270</wp:posOffset>
            </wp:positionV>
            <wp:extent cx="7209155" cy="4307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14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09155" cy="431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377190</wp:posOffset>
            </wp:positionV>
            <wp:extent cx="7209155" cy="4307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09155" cy="4307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304"/>
    </w:lvl>
  </w:abstractNum>
  <w:abstractNum w:abstractNumId="5">
    <w:nsid w:val="507ED7AB"/>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e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s://www.sec.gov/Archives/edgar/data/0001625791/000121390022016164/ea157447-s8_kornitdigital.htm" TargetMode="External"/><Relationship Id="rId21" Type="http://schemas.openxmlformats.org/officeDocument/2006/relationships/hyperlink" Target="http://www.sec.gov/Archives/edgar/data/1625791/000101376225003116/ea0235566-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2025-05-14T15:37:18Z</dcterms:created>
  <dcterms:modified xsi:type="dcterms:W3CDTF">2025-05-14T15:37:18Z</dcterms:modified>
</cp:coreProperties>
</file>