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keepNext w:val="true"/>
        <w:pageBreakBefore w:val="false"/>
        <w:widowControl/>
        <w:pBdr/>
        <w:spacing w:before="240" w:after="283"/>
        <w:jc w:val="right"/>
        <w:rPr>
          <w:rFonts w:ascii="Times New Roman PS Std;serif" w:hAnsi="Times New Roman PS Std;serif"/>
          <w:b/>
          <w:i w:val="false"/>
          <w:caps w:val="false"/>
          <w:smallCaps w:val="false"/>
          <w:sz w:val="20"/>
        </w:rPr>
      </w:pPr>
      <w:bookmarkStart w:id="0" w:name="f424b51121_kornitdigitalltd.htm"/>
      <w:bookmarkStart w:id="1" w:name="ksf424b51121_kornitdigitalltd"/>
      <w:bookmarkEnd w:id="0"/>
      <w:bookmarkEnd w:id="1"/>
      <w:r>
        <w:rPr>
          <w:rFonts w:ascii="Times New Roman PS Std;serif" w:hAnsi="Times New Roman PS Std;serif"/>
          <w:b/>
          <w:i w:val="false"/>
          <w:caps w:val="false"/>
          <w:smallCaps w:val="false"/>
          <w:sz w:val="20"/>
        </w:rPr>
        <w:t>Filed Pursuant to Rule 424(b)(5)</w:t>
        <w:br/>
        <w:t>Registration No. 333-248784</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color w:val="D2232A"/>
          <w:sz w:val="18"/>
        </w:rPr>
      </w:pPr>
      <w:r>
        <w:rPr>
          <w:rFonts w:ascii="Times New Roman PS Std;serif" w:hAnsi="Times New Roman PS Std;serif"/>
          <w:b/>
          <w:i w:val="false"/>
          <w:caps w:val="false"/>
          <w:smallCaps w:val="false"/>
          <w:color w:val="D2232A"/>
          <w:sz w:val="18"/>
        </w:rPr>
        <w:t>The information in this preliminary prospectus supplement is not complete and may be changed. This preliminary prospectus supplement is not an offer to sell these securities and is not soliciting an offer to buy these securities in any jurisdiction where the offer or sale is not permitted.</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NOVEMBER 16, 2021</w:t>
      </w:r>
    </w:p>
    <w:p>
      <w:pPr>
        <w:pStyle w:val="TextBody"/>
        <w:keepNext w:val="false"/>
        <w:pageBreakBefore w:val="false"/>
        <w:widowControl/>
        <w:pBdr/>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Preliminary Prospectus Supplement</w:t>
        <w:br/>
      </w:r>
      <w:r>
        <w:rPr>
          <w:rFonts w:ascii="Times New Roman PS Std;serif" w:hAnsi="Times New Roman PS Std;serif"/>
          <w:b w:val="false"/>
          <w:i/>
          <w:caps w:val="false"/>
          <w:smallCaps w:val="false"/>
          <w:sz w:val="20"/>
        </w:rPr>
        <w:t>(To prospectus dated September 14, 2020)</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8"/>
        </w:rPr>
        <w:t>2,205,701 Shares</w:t>
        <w:br/>
      </w:r>
      <w:r>
        <w:rPr>
          <w:rFonts w:ascii="Times New Roman PS Std;serif" w:hAnsi="Times New Roman PS Std;serif"/>
          <w:b/>
          <w:i w:val="false"/>
          <w:caps w:val="false"/>
          <w:smallCaps w:val="false"/>
          <w:sz w:val="36"/>
        </w:rPr>
        <w:t>Kornit Digital Ltd.</w:t>
        <w:br/>
      </w:r>
      <w:r>
        <w:rPr>
          <w:rFonts w:ascii="Times New Roman PS Std;serif" w:hAnsi="Times New Roman PS Std;serif"/>
          <w:b/>
          <w:i w:val="false"/>
          <w:caps w:val="false"/>
          <w:smallCaps w:val="false"/>
          <w:sz w:val="28"/>
        </w:rPr>
        <w:t>Ordinary Shares</w:t>
      </w:r>
    </w:p>
    <w:p>
      <w:pPr>
        <w:pStyle w:val="TextBody"/>
        <w:keepNext w:val="false"/>
        <w:pageBreakBefore w:val="false"/>
        <w:widowControl/>
        <w:pBdr/>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false"/>
        <w:pageBreakBefore w:val="false"/>
        <w:widowControl/>
        <w:pBdr/>
        <w:spacing w:before="28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are offering for sale 1,500,000 ordinary shares, par value NIS 0.01 per share. The selling shareholder identified in this prospectus supplement is offering an additional 705,701 ordinary shares. We will not receive any of the proceeds from the sale of shares being offered by the selling shareholder.</w:t>
      </w:r>
    </w:p>
    <w:p>
      <w:pPr>
        <w:pStyle w:val="TextBody"/>
        <w:keepNext w:val="false"/>
        <w:pageBreakBefore w:val="false"/>
        <w:widowControl/>
        <w:pBdr/>
        <w:spacing w:before="2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Our ordinary shares are listed on the Nasdaq Global Select Market under the symbol “KRNT.” On November 15, 2021, the last reported sales price of our ordinary shares was $162.55</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per share.</w:t>
      </w:r>
    </w:p>
    <w:p>
      <w:pPr>
        <w:pStyle w:val="TextBody"/>
        <w:keepNext w:val="false"/>
        <w:pageBreakBefore w:val="false"/>
        <w:widowControl/>
        <w:pBdr/>
        <w:spacing w:before="1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____________________</w:t>
      </w:r>
    </w:p>
    <w:tbl>
      <w:tblPr>
        <w:tblW w:w="7419" w:type="dxa"/>
        <w:jc w:val="left"/>
        <w:tblInd w:w="0" w:type="dxa"/>
        <w:tblCellMar>
          <w:top w:w="0" w:type="dxa"/>
          <w:left w:w="0" w:type="dxa"/>
          <w:bottom w:w="0" w:type="dxa"/>
          <w:right w:w="0" w:type="dxa"/>
        </w:tblCellMar>
      </w:tblPr>
      <w:tblGrid>
        <w:gridCol w:w="5356"/>
        <w:gridCol w:w="146"/>
        <w:gridCol w:w="673"/>
        <w:gridCol w:w="437"/>
        <w:gridCol w:w="146"/>
        <w:gridCol w:w="358"/>
        <w:gridCol w:w="303"/>
      </w:tblGrid>
      <w:tr>
        <w:trPr/>
        <w:tc>
          <w:tcPr>
            <w:tcW w:w="535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11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shd w:fill="auto" w:val="clear"/>
            <w:vAlign w:val="bottom"/>
          </w:tcPr>
          <w:p>
            <w:pPr>
              <w:pStyle w:val="TableContents"/>
              <w:spacing w:before="0" w:after="283"/>
              <w:rPr/>
            </w:pPr>
            <w:r>
              <w:rPr/>
              <w:t> </w:t>
            </w:r>
          </w:p>
        </w:tc>
        <w:tc>
          <w:tcPr>
            <w:tcW w:w="6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CCEEFF" w:val="clear"/>
            <w:vAlign w:val="bottom"/>
          </w:tcPr>
          <w:p>
            <w:pPr>
              <w:pStyle w:val="TableContents"/>
              <w:spacing w:before="0" w:after="283"/>
              <w:rPr/>
            </w:pPr>
            <w:r>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w:t>
            </w:r>
          </w:p>
        </w:tc>
        <w:tc>
          <w:tcPr>
            <w:tcW w:w="1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auto" w:val="clear"/>
            <w:vAlign w:val="bottom"/>
          </w:tcPr>
          <w:p>
            <w:pPr>
              <w:pStyle w:val="TableContents"/>
              <w:spacing w:before="0" w:after="283"/>
              <w:rPr/>
            </w:pPr>
            <w:r>
              <w:rPr/>
              <w:t> </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CCEEFF" w:val="clear"/>
            <w:vAlign w:val="bottom"/>
          </w:tcPr>
          <w:p>
            <w:pPr>
              <w:pStyle w:val="TableContents"/>
              <w:spacing w:before="0" w:after="283"/>
              <w:rPr/>
            </w:pPr>
            <w:r>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the selling shareholder</w:t>
            </w:r>
          </w:p>
        </w:tc>
        <w:tc>
          <w:tcPr>
            <w:tcW w:w="1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auto" w:val="clear"/>
            <w:vAlign w:val="bottom"/>
          </w:tcPr>
          <w:p>
            <w:pPr>
              <w:pStyle w:val="TableContents"/>
              <w:spacing w:before="0" w:after="283"/>
              <w:rPr/>
            </w:pPr>
            <w:r>
              <w:rPr/>
              <w:t> </w:t>
            </w:r>
          </w:p>
        </w:tc>
      </w:tr>
    </w:tbl>
    <w:p>
      <w:pPr>
        <w:pStyle w:val="TextBody"/>
        <w:keepNext w:val="false"/>
        <w:pageBreakBefore w:val="false"/>
        <w:widowControl/>
        <w:pBdr/>
        <w:spacing w:before="28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The underwriters may also exercise their option to purchase up to an additional 330,855 ordinary shares from us at the public offering price, less underwriting discounts and commissions, for 30 days after the date of this prospectus supplement.</w:t>
      </w:r>
    </w:p>
    <w:p>
      <w:pPr>
        <w:pStyle w:val="TextBody"/>
        <w:keepNext w:val="false"/>
        <w:pageBreakBefore w:val="false"/>
        <w:widowControl/>
        <w:pBdr/>
        <w:spacing w:before="2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2"/>
        </w:rPr>
        <w:t>Investing in our ordinary shares involves risks that are described in the “Risk Factors” section beginning on page S-4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2"/>
        </w:rPr>
        <w:t>of this prospectus supplement and in the documents incorporated by reference.</w:t>
      </w:r>
    </w:p>
    <w:p>
      <w:pPr>
        <w:pStyle w:val="TextBody"/>
        <w:keepNext w:val="false"/>
        <w:pageBreakBefore w:val="false"/>
        <w:widowControl/>
        <w:pBdr/>
        <w:spacing w:before="28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The underwriters expect to deliver the ordinary shares to purchasers on or about November            , 2021.</w:t>
      </w:r>
    </w:p>
    <w:p>
      <w:pPr>
        <w:pStyle w:val="TextBody"/>
        <w:keepNext w:val="false"/>
        <w:pageBreakBefore w:val="false"/>
        <w:widowControl/>
        <w:pBdr/>
        <w:spacing w:before="1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____________________</w:t>
      </w:r>
    </w:p>
    <w:tbl>
      <w:tblPr>
        <w:tblW w:w="10205" w:type="dxa"/>
        <w:jc w:val="left"/>
        <w:tblInd w:w="0" w:type="dxa"/>
        <w:tblCellMar>
          <w:top w:w="0" w:type="dxa"/>
          <w:left w:w="0" w:type="dxa"/>
          <w:bottom w:w="0" w:type="dxa"/>
          <w:right w:w="0" w:type="dxa"/>
        </w:tblCellMar>
      </w:tblPr>
      <w:tblGrid>
        <w:gridCol w:w="1636"/>
        <w:gridCol w:w="146"/>
        <w:gridCol w:w="1456"/>
        <w:gridCol w:w="146"/>
        <w:gridCol w:w="4261"/>
        <w:gridCol w:w="146"/>
        <w:gridCol w:w="2414"/>
      </w:tblGrid>
      <w:tr>
        <w:trPr/>
        <w:tc>
          <w:tcPr>
            <w:tcW w:w="16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Citigroup</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Barclays</w:t>
            </w:r>
          </w:p>
        </w:tc>
        <w:tc>
          <w:tcPr>
            <w:tcW w:w="146" w:type="dxa"/>
            <w:tcBorders/>
            <w:shd w:fill="auto" w:val="clear"/>
            <w:vAlign w:val="bottom"/>
          </w:tcPr>
          <w:p>
            <w:pPr>
              <w:pStyle w:val="TableContents"/>
              <w:spacing w:before="0" w:after="283"/>
              <w:rPr/>
            </w:pPr>
            <w:r>
              <w:rPr/>
              <w:t> </w:t>
            </w:r>
          </w:p>
        </w:tc>
        <w:tc>
          <w:tcPr>
            <w:tcW w:w="426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Goldman Sachs &amp; Co. LLC</w:t>
            </w:r>
          </w:p>
        </w:tc>
        <w:tc>
          <w:tcPr>
            <w:tcW w:w="146" w:type="dxa"/>
            <w:tcBorders/>
            <w:shd w:fill="auto" w:val="clear"/>
            <w:vAlign w:val="bottom"/>
          </w:tcPr>
          <w:p>
            <w:pPr>
              <w:pStyle w:val="TableContents"/>
              <w:spacing w:before="0" w:after="283"/>
              <w:rPr/>
            </w:pPr>
            <w:r>
              <w:rPr/>
              <w:t> </w:t>
            </w:r>
          </w:p>
        </w:tc>
        <w:tc>
          <w:tcPr>
            <w:tcW w:w="2414"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Morgan Stanley</w:t>
            </w:r>
          </w:p>
        </w:tc>
      </w:tr>
    </w:tbl>
    <w:tbl>
      <w:tblPr>
        <w:tblW w:w="7475" w:type="dxa"/>
        <w:jc w:val="left"/>
        <w:tblInd w:w="0" w:type="dxa"/>
        <w:tblCellMar>
          <w:top w:w="0" w:type="dxa"/>
          <w:left w:w="0" w:type="dxa"/>
          <w:bottom w:w="0" w:type="dxa"/>
          <w:right w:w="0" w:type="dxa"/>
        </w:tblCellMar>
      </w:tblPr>
      <w:tblGrid>
        <w:gridCol w:w="3971"/>
        <w:gridCol w:w="146"/>
        <w:gridCol w:w="976"/>
        <w:gridCol w:w="146"/>
        <w:gridCol w:w="2236"/>
      </w:tblGrid>
      <w:tr>
        <w:trPr/>
        <w:tc>
          <w:tcPr>
            <w:tcW w:w="3971" w:type="dxa"/>
            <w:tcBorders/>
            <w:shd w:fill="auto" w:val="clear"/>
            <w:vAlign w:val="bottom"/>
          </w:tcPr>
          <w:p>
            <w:pPr>
              <w:pStyle w:val="TableContents"/>
              <w:keepNext w:val="false"/>
              <w:widowControl/>
              <w:pBdr/>
              <w:spacing w:before="0" w:after="283"/>
              <w:ind w:left="0" w:right="340" w:hanging="0"/>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Needham &amp; Company</w:t>
            </w:r>
          </w:p>
        </w:tc>
        <w:tc>
          <w:tcPr>
            <w:tcW w:w="146"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Stifel</w:t>
            </w:r>
          </w:p>
        </w:tc>
        <w:tc>
          <w:tcPr>
            <w:tcW w:w="146" w:type="dxa"/>
            <w:tcBorders/>
            <w:shd w:fill="auto" w:val="clear"/>
            <w:vAlign w:val="bottom"/>
          </w:tcPr>
          <w:p>
            <w:pPr>
              <w:pStyle w:val="TableContents"/>
              <w:spacing w:before="0" w:after="283"/>
              <w:rPr/>
            </w:pPr>
            <w:r>
              <w:rPr/>
              <w:t> </w:t>
            </w:r>
          </w:p>
        </w:tc>
        <w:tc>
          <w:tcPr>
            <w:tcW w:w="22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William Blair</w:t>
            </w:r>
          </w:p>
        </w:tc>
      </w:tr>
    </w:tbl>
    <w:tbl>
      <w:tblPr>
        <w:tblW w:w="6745" w:type="dxa"/>
        <w:jc w:val="left"/>
        <w:tblInd w:w="0" w:type="dxa"/>
        <w:tblCellMar>
          <w:top w:w="0" w:type="dxa"/>
          <w:left w:w="0" w:type="dxa"/>
          <w:bottom w:w="0" w:type="dxa"/>
          <w:right w:w="0" w:type="dxa"/>
        </w:tblCellMar>
      </w:tblPr>
      <w:tblGrid>
        <w:gridCol w:w="1816"/>
        <w:gridCol w:w="146"/>
        <w:gridCol w:w="2356"/>
        <w:gridCol w:w="146"/>
        <w:gridCol w:w="2281"/>
      </w:tblGrid>
      <w:tr>
        <w:trPr/>
        <w:tc>
          <w:tcPr>
            <w:tcW w:w="1816" w:type="dxa"/>
            <w:tcBorders/>
            <w:shd w:fill="auto" w:val="clear"/>
            <w:vAlign w:val="bottom"/>
          </w:tcPr>
          <w:p>
            <w:pPr>
              <w:pStyle w:val="TableContents"/>
              <w:keepNext w:val="false"/>
              <w:widowControl/>
              <w:pBdr/>
              <w:spacing w:before="0" w:after="283"/>
              <w:ind w:left="400" w:right="0" w:hanging="0"/>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Berenberg</w:t>
            </w:r>
          </w:p>
        </w:tc>
        <w:tc>
          <w:tcPr>
            <w:tcW w:w="146" w:type="dxa"/>
            <w:tcBorders/>
            <w:shd w:fill="auto" w:val="clear"/>
            <w:vAlign w:val="bottom"/>
          </w:tcPr>
          <w:p>
            <w:pPr>
              <w:pStyle w:val="TableContents"/>
              <w:spacing w:before="0" w:after="283"/>
              <w:rPr/>
            </w:pPr>
            <w:r>
              <w:rPr/>
              <w:t> </w:t>
            </w:r>
          </w:p>
        </w:tc>
        <w:tc>
          <w:tcPr>
            <w:tcW w:w="2356" w:type="dxa"/>
            <w:tcBorders/>
            <w:shd w:fill="auto" w:val="clear"/>
            <w:vAlign w:val="bottom"/>
          </w:tcPr>
          <w:p>
            <w:pPr>
              <w:pStyle w:val="TableContents"/>
              <w:keepNext w:val="false"/>
              <w:widowControl/>
              <w:pBdr/>
              <w:spacing w:before="0" w:after="283"/>
              <w:ind w:left="600" w:right="0" w:hanging="0"/>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CJS Securities</w:t>
            </w:r>
          </w:p>
        </w:tc>
        <w:tc>
          <w:tcPr>
            <w:tcW w:w="146" w:type="dxa"/>
            <w:tcBorders/>
            <w:shd w:fill="auto" w:val="clear"/>
            <w:vAlign w:val="bottom"/>
          </w:tcPr>
          <w:p>
            <w:pPr>
              <w:pStyle w:val="TableContents"/>
              <w:spacing w:before="0" w:after="283"/>
              <w:rPr/>
            </w:pPr>
            <w:r>
              <w:rPr/>
              <w:t> </w:t>
            </w:r>
          </w:p>
        </w:tc>
        <w:tc>
          <w:tcPr>
            <w:tcW w:w="228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Craig-Hallum</w:t>
            </w:r>
          </w:p>
        </w:tc>
      </w:tr>
    </w:tbl>
    <w:p>
      <w:pPr>
        <w:pStyle w:val="TextBody"/>
        <w:keepNext w:val="fals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w:t>
      </w:r>
    </w:p>
    <w:p>
      <w:pPr>
        <w:pStyle w:val="TextBody"/>
        <w:keepNext w:val="true"/>
        <w:pageBreakBefore w:val="false"/>
        <w:widowControl/>
        <w:pBdr/>
        <w:spacing w:before="240" w:after="283"/>
        <w:jc w:val="center"/>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The date of this Prospectus Supplement is November            , 2021.</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6433" w:type="dxa"/>
        <w:jc w:val="left"/>
        <w:tblInd w:w="0" w:type="dxa"/>
        <w:tblCellMar>
          <w:top w:w="0" w:type="dxa"/>
          <w:left w:w="0" w:type="dxa"/>
          <w:bottom w:w="0" w:type="dxa"/>
          <w:right w:w="0" w:type="dxa"/>
        </w:tblCellMar>
      </w:tblPr>
      <w:tblGrid>
        <w:gridCol w:w="5626"/>
        <w:gridCol w:w="146"/>
        <w:gridCol w:w="661"/>
      </w:tblGrid>
      <w:tr>
        <w:trPr/>
        <w:tc>
          <w:tcPr>
            <w:tcW w:w="562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Prospectus supplement</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01">
              <w:r>
                <w:rPr>
                  <w:rStyle w:val="InternetLink"/>
                  <w:rFonts w:ascii="Times New Roman PS Std;serif" w:hAnsi="Times New Roman PS Std;serif"/>
                  <w:b w:val="false"/>
                  <w:i w:val="false"/>
                  <w:caps w:val="false"/>
                  <w:smallCaps w:val="false"/>
                  <w:sz w:val="20"/>
                </w:rPr>
                <w:t>About this Prospectus Supplement</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02">
              <w:r>
                <w:rPr>
                  <w:rStyle w:val="InternetLink"/>
                  <w:rFonts w:ascii="Times New Roman PS Std;serif" w:hAnsi="Times New Roman PS Std;serif"/>
                  <w:b w:val="false"/>
                  <w:i w:val="false"/>
                  <w:caps w:val="false"/>
                  <w:smallCaps w:val="false"/>
                  <w:sz w:val="20"/>
                </w:rPr>
                <w:t>Forward-Looking Statements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S-iii</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03">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S-4</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04">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S-6</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05">
              <w:r>
                <w:rPr>
                  <w:rStyle w:val="InternetLink"/>
                  <w:rFonts w:ascii="Times New Roman PS Std;serif" w:hAnsi="Times New Roman PS Std;serif"/>
                  <w:b w:val="false"/>
                  <w:i w:val="false"/>
                  <w:caps w:val="false"/>
                  <w:smallCaps w:val="false"/>
                  <w:sz w:val="20"/>
                </w:rPr>
                <w:t>Capitalization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S-7</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06">
              <w:r>
                <w:rPr>
                  <w:rStyle w:val="InternetLink"/>
                  <w:rFonts w:ascii="Times New Roman PS Std;serif" w:hAnsi="Times New Roman PS Std;serif"/>
                  <w:b w:val="false"/>
                  <w:i w:val="false"/>
                  <w:caps w:val="false"/>
                  <w:smallCaps w:val="false"/>
                  <w:sz w:val="20"/>
                </w:rPr>
                <w:t>Selling Shareholder</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S-8</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07">
              <w:r>
                <w:rPr>
                  <w:rStyle w:val="InternetLink"/>
                  <w:rFonts w:ascii="Times New Roman PS Std;serif" w:hAnsi="Times New Roman PS Std;serif"/>
                  <w:b w:val="false"/>
                  <w:i w:val="false"/>
                  <w:caps w:val="false"/>
                  <w:smallCaps w:val="false"/>
                  <w:sz w:val="20"/>
                </w:rPr>
                <w:t>U.S. and Israeli Tax Considerations For Our Shareholders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S-9</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08">
              <w:r>
                <w:rPr>
                  <w:rStyle w:val="InternetLink"/>
                  <w:rFonts w:ascii="Times New Roman PS Std;serif" w:hAnsi="Times New Roman PS Std;serif"/>
                  <w:b w:val="false"/>
                  <w:i w:val="false"/>
                  <w:caps w:val="false"/>
                  <w:smallCaps w:val="false"/>
                  <w:sz w:val="20"/>
                </w:rPr>
                <w:t>Underwriting</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S-17</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09">
              <w:r>
                <w:rPr>
                  <w:rStyle w:val="InternetLink"/>
                  <w:rFonts w:ascii="Times New Roman PS Std;serif" w:hAnsi="Times New Roman PS Std;serif"/>
                  <w:b w:val="false"/>
                  <w:i w:val="false"/>
                  <w:caps w:val="false"/>
                  <w:smallCaps w:val="false"/>
                  <w:sz w:val="20"/>
                </w:rPr>
                <w:t>Legal Matters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S-24</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10">
              <w:r>
                <w:rPr>
                  <w:rStyle w:val="InternetLink"/>
                  <w:rFonts w:ascii="Times New Roman PS Std;serif" w:hAnsi="Times New Roman PS Std;serif"/>
                  <w:b w:val="false"/>
                  <w:i w:val="false"/>
                  <w:caps w:val="false"/>
                  <w:smallCaps w:val="false"/>
                  <w:sz w:val="20"/>
                </w:rPr>
                <w:t>Experts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S-24</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S-25</w:t>
            </w:r>
          </w:p>
        </w:tc>
      </w:tr>
      <w:tr>
        <w:trPr/>
        <w:tc>
          <w:tcPr>
            <w:tcW w:w="5626" w:type="dxa"/>
            <w:tcBorders/>
            <w:shd w:fill="auto" w:val="clear"/>
            <w:vAlign w:val="bottom"/>
          </w:tcPr>
          <w:p>
            <w:pPr>
              <w:pStyle w:val="TableContents"/>
              <w:keepNext w:val="false"/>
              <w:widowControl/>
              <w:pBdr/>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S-26</w:t>
            </w:r>
          </w:p>
        </w:tc>
      </w:tr>
      <w:tr>
        <w:trPr/>
        <w:tc>
          <w:tcPr>
            <w:tcW w:w="5626" w:type="dxa"/>
            <w:tcBorders/>
            <w:shd w:fill="CCEEFF" w:val="clear"/>
            <w:vAlign w:val="bottom"/>
          </w:tcPr>
          <w:p>
            <w:pPr>
              <w:pStyle w:val="TableContents"/>
              <w:keepNext w:val="false"/>
              <w:widowControl/>
              <w:pBdr/>
              <w:spacing w:before="0" w:after="283"/>
              <w:ind w:left="200" w:right="0" w:hanging="200"/>
              <w:jc w:val="left"/>
              <w:rPr/>
            </w:pPr>
            <w:hyperlink w:anchor="T613">
              <w:r>
                <w:rPr>
                  <w:rStyle w:val="InternetLink"/>
                  <w:rFonts w:ascii="Times New Roman PS Std;serif" w:hAnsi="Times New Roman PS Std;serif"/>
                  <w:b w:val="false"/>
                  <w:i w:val="false"/>
                  <w:caps w:val="false"/>
                  <w:smallCaps w:val="false"/>
                  <w:sz w:val="20"/>
                </w:rPr>
                <w:t>Incorporation of Certain Documents By Reference</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S-27</w:t>
            </w:r>
          </w:p>
        </w:tc>
      </w:tr>
    </w:tbl>
    <w:tbl>
      <w:tblPr>
        <w:tblW w:w="5773" w:type="dxa"/>
        <w:jc w:val="left"/>
        <w:tblInd w:w="0" w:type="dxa"/>
        <w:tblCellMar>
          <w:top w:w="0" w:type="dxa"/>
          <w:left w:w="0" w:type="dxa"/>
          <w:bottom w:w="0" w:type="dxa"/>
          <w:right w:w="0" w:type="dxa"/>
        </w:tblCellMar>
      </w:tblPr>
      <w:tblGrid>
        <w:gridCol w:w="4966"/>
        <w:gridCol w:w="146"/>
        <w:gridCol w:w="661"/>
      </w:tblGrid>
      <w:tr>
        <w:trPr/>
        <w:tc>
          <w:tcPr>
            <w:tcW w:w="4966"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Prospectus</w:t>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1">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2">
              <w:r>
                <w:rPr>
                  <w:rStyle w:val="InternetLink"/>
                  <w:rFonts w:ascii="Times New Roman PS Std;serif" w:hAnsi="Times New Roman PS Std;serif"/>
                  <w:b w:val="false"/>
                  <w:i w:val="false"/>
                  <w:caps w:val="false"/>
                  <w:smallCaps w:val="false"/>
                  <w:sz w:val="20"/>
                </w:rPr>
                <w:t>Kornit Digital Ltd.</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3">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4">
              <w:r>
                <w:rPr>
                  <w:rStyle w:val="InternetLink"/>
                  <w:rFonts w:ascii="Times New Roman PS Std;serif" w:hAnsi="Times New Roman PS Std;serif"/>
                  <w:b w:val="false"/>
                  <w:i w:val="false"/>
                  <w:caps w:val="false"/>
                  <w:smallCaps w:val="false"/>
                  <w:sz w:val="20"/>
                </w:rPr>
                <w:t>Forward-Looking Statements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5">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6">
              <w:r>
                <w:rPr>
                  <w:rStyle w:val="InternetLink"/>
                  <w:rFonts w:ascii="Times New Roman PS Std;serif" w:hAnsi="Times New Roman PS Std;serif"/>
                  <w:b w:val="false"/>
                  <w:i w:val="false"/>
                  <w:caps w:val="false"/>
                  <w:smallCaps w:val="false"/>
                  <w:sz w:val="20"/>
                </w:rPr>
                <w:t>Description of Ordinary Shares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7">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8">
              <w:r>
                <w:rPr>
                  <w:rStyle w:val="InternetLink"/>
                  <w:rFonts w:ascii="Times New Roman PS Std;serif" w:hAnsi="Times New Roman PS Std;serif"/>
                  <w:b w:val="false"/>
                  <w:i w:val="false"/>
                  <w:caps w:val="false"/>
                  <w:smallCaps w:val="false"/>
                  <w:sz w:val="20"/>
                </w:rPr>
                <w:t>Legal Matters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9">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Incorporation of Certain Documents By Reference</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S-i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3" w:name="T601"/>
      <w:bookmarkEnd w:id="3"/>
      <w:r>
        <w:rPr>
          <w:rFonts w:ascii="Times New Roman PS Std;serif" w:hAnsi="Times New Roman PS Std;serif"/>
          <w:b/>
          <w:i w:val="false"/>
          <w:caps/>
          <w:sz w:val="20"/>
        </w:rPr>
        <w:t>About this Prospectus Supplement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rely only on the information contained or incorporated by reference in this prospectus supplement and the accompanying prospectus, or contained in any free writing prospectus prepared by us or on our behalf. We have not, and the underwriters have not, authorized anyone to provide you with different information. The distribution of this prospectus supplement and sale of these securities in certain jurisdictions may be restricted by law. We and the selling shareholder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5728-1968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mentioned or unless the context requires otherwise, all references in this prospectus supplement or prospectus to the “Company,” “we,” “us,” “our” and “Kornit” refer to Kornit Digital Ltd. and its subsidiaries.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4" w:name="T602"/>
      <w:bookmarkEnd w:id="4"/>
      <w:r>
        <w:rPr>
          <w:rFonts w:ascii="Times New Roman PS Std;serif" w:hAnsi="Times New Roman PS Std;serif"/>
          <w:b/>
          <w:i w:val="false"/>
          <w:caps/>
          <w:sz w:val="20"/>
        </w:rPr>
        <w:t>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including, without limitation, the impact of COVID-19 on our business. Forward-looking statements include all statements that are not historical facts and in some cases can be identified by terminology such as “believe,” “may,” “estimate,” “continue,” “anticipate,” “intend,” “should,” “plan,” “expect,” “predict,” “project,” “potential,” “will,” or the negative of these terms or other similar expressions that convey uncertainty of future events or outcomes.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predict the results of our operations or the effects of various events, including the COVID-19 pandemic,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S-iii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Prospectus Supplement Summary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Company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develop, design and market innovative, sustainable, on-demand, digital fashion and textile production technologies, with a focus on digital printing and cloud-based software workflow solutions for the global printed textile industry. We focus mainly in the fashion, apparel and home décor segments of the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vision is to create a better world where everybody can bond, design and express their identities, one impression at a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mission is to write the operating system for on-demand sustainable fashion with end-to-end solutions including digital printing systems, inks, consumables, and cloud-based software workflow solutions.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aim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focus on the rapidly growing high-throughput,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 friendly manner compared to traditional printing.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printing solutions are differentiated from other digital methods of production because they eliminate the need to pre-treat fabrics prior to printing, thereby offering our customers the ability to digitally print high quality images and designs on a variety of fabrics in a streamlined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cloud software workflow solution, branded KornitX, connects the digital front-end with the physical production environment. Our platform enables creators, designers, brands, marketplaces and other content creators to produce on-demand from design, to order, to product fulfilment. KornitX manages and routes orders through Kornit’s global fulfilment network. </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options with minimal to no inventory risk. We believe we are well positioned to continue taking advantage of this trend. We believe our current market opportunity is 21 billion impressions, based on an estimated annual industry-wide run rate of impressions for the year ended December 31, 2020, with the potential to reach an estimated 31 billion impressions by the end of 2026, and 39 billion square meters of printed fabric output industry-wide, based on estimated total volume for the year ended December 31, 2020, with the potential to reach an estimated 42 billion by the end of 2026.</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August 2021, we announced the acquisition of all associated assets of Somerville, Massachusetts-based Voxel8. Voxel8’s advanced additive manufacturing technology for textiles allows for digital fabrication of functional features with zonal control of material properties, in addition to utilizing high-performance elastomers adhering to inkjet technology.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September 2021, we released our 2020 Impact Report on Environmental, Social and Corporate Governance: Progress, Action and Future Goals (the “2020 Impact Report”) in which we set forth the sustainability goals which we are targeting for 2026 of reducing overproduction by 1.1 billion apparel items, reducing greenhouse gas emissions by 17.2 billion kilograms and saving 4.3 trillion liters of water.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were founded in 2002 in Israel and shipped our first system in 2005. As of September 30, 2021, had approximately 1,200 active customers globally and we had over 849 employees located primarily across four regions: Israel, America, Europe and Asia Pacific. In the year ended December 31, 2020, we generated revenues of $193.3 million, representing an increase of 7.5% over the prior fiscal year. In the nine months ended September 30, 2021, we generated revenues of $234.5 million, representing an increase of 93.7% over the nine months ended September 30, 2020. In the year ended December 31, 2020, we generated 68.7% of our revenues from the Americas region, 23.9% from the Europe, Middle East and Asia (“EMEA”) region, and 7.4% from the Asia Pacific region. In the nine months ended September 30, 2021, we generated 70.1% of our revenues from the Americas region, 22.6% from the EMEA region, and 7.3% from the Asia Pacific region.</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incorporated under the laws of the State of Israel and our principal executive offices are located at 12 Ha’Amal Street, Rosh Ha’Ayin 4809246, Israel, and our telephone number is +972-3-908-5800. Our website address is </w:t>
      </w:r>
      <w:r>
        <w:rPr>
          <w:rFonts w:ascii="Times New Roman PS Std;serif" w:hAnsi="Times New Roman PS Std;serif"/>
          <w:b w:val="false"/>
          <w:i/>
          <w:caps w:val="false"/>
          <w:smallCaps w:val="false"/>
          <w:sz w:val="20"/>
          <w:bdr w:val="single" w:sz="8" w:space="10" w:color="000000"/>
        </w:rPr>
        <w:t>www.kornit.com</w:t>
      </w:r>
      <w:r>
        <w:rPr>
          <w:rFonts w:ascii="Times New Roman PS Std;serif" w:hAnsi="Times New Roman PS Std;serif"/>
          <w:b w:val="false"/>
          <w:i w:val="false"/>
          <w:caps w:val="false"/>
          <w:smallCaps w:val="false"/>
          <w:sz w:val="20"/>
          <w:bdr w:val="single" w:sz="8" w:space="10" w:color="000000"/>
        </w:rPr>
        <w:t>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ind w:left="480" w:right="0" w:hanging="0"/>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Offering</w:t>
      </w:r>
    </w:p>
    <w:tbl>
      <w:tblPr>
        <w:tblW w:w="10205" w:type="dxa"/>
        <w:jc w:val="left"/>
        <w:tblInd w:w="0" w:type="dxa"/>
        <w:tblCellMar>
          <w:top w:w="0" w:type="dxa"/>
          <w:left w:w="0" w:type="dxa"/>
          <w:bottom w:w="0" w:type="dxa"/>
          <w:right w:w="0" w:type="dxa"/>
        </w:tblCellMar>
      </w:tblPr>
      <w:tblGrid>
        <w:gridCol w:w="1635"/>
        <w:gridCol w:w="146"/>
        <w:gridCol w:w="8424"/>
      </w:tblGrid>
      <w:tr>
        <w:trPr/>
        <w:tc>
          <w:tcPr>
            <w:tcW w:w="1635" w:type="dxa"/>
            <w:tcBorders/>
            <w:shd w:fill="auto" w:val="clear"/>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being offered by us</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 ordinary shares (or 1,830,855 ordinary shares if the underwriters exercise in full their option to purchase additional ordinary shares).</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being offered by the selling shareholder</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705,701 ordinary shares.</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immediately prior to this offering</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46,527,237 ordinary shares.</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outstanding upon completion of this offering</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3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48,732,938 ordinary shares (or 49,063,793 ordinary shares if the underwriters exercise in full their option to purchase additional ordinary shares).</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receive net proceeds from this offering of approximately $234.6 million, based upon an assumed offering price of $162.55 per ordinary share, the last reported sales price of our ordinary shares on the Nasdaq Global Select Market on November 15, 2021, or approximately $286.5 million if the underwriters exercise in full their option to purchase additional ordinary shares, after deducting underwriting discounts and commissions and estimated offering expenses payable by us. We intend to use the net proceeds from this offering for future potential acquisitions, including complementary businesses, technologies or assets, and for general corporate purposes, including working capital and capital expenditures. See “Use of Proceeds.”</w:t>
            </w:r>
          </w:p>
        </w:tc>
      </w:tr>
      <w:tr>
        <w:trPr/>
        <w:tc>
          <w:tcPr>
            <w:tcW w:w="1635" w:type="dxa"/>
            <w:tcBorders/>
            <w:shd w:fill="auto" w:val="clear"/>
          </w:tcPr>
          <w:p>
            <w:pPr>
              <w:pStyle w:val="TableContents"/>
              <w:spacing w:before="0" w:after="283"/>
              <w:rPr/>
            </w:pPr>
            <w:r>
              <w:rPr/>
              <w:t> </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shares by the selling shareholder.</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symbol</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KRNT”</w:t>
            </w:r>
          </w:p>
        </w:tc>
      </w:tr>
      <w:tr>
        <w:trPr/>
        <w:tc>
          <w:tcPr>
            <w:tcW w:w="1635" w:type="dxa"/>
            <w:tcBorders/>
            <w:shd w:fill="auto" w:val="clear"/>
          </w:tcPr>
          <w:p>
            <w:pPr>
              <w:pStyle w:val="TableContents"/>
              <w:keepNext w:val="false"/>
              <w:widowControl/>
              <w:pBdr/>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shd w:fill="auto" w:val="clear"/>
          </w:tcPr>
          <w:p>
            <w:pPr>
              <w:pStyle w:val="TableContents"/>
              <w:spacing w:before="0" w:after="283"/>
              <w:rPr/>
            </w:pPr>
            <w:r>
              <w:rPr/>
              <w:t> </w:t>
            </w:r>
          </w:p>
        </w:tc>
        <w:tc>
          <w:tcPr>
            <w:tcW w:w="8424" w:type="dxa"/>
            <w:tcBorders/>
            <w:shd w:fill="auto" w:val="clear"/>
          </w:tcPr>
          <w:p>
            <w:pPr>
              <w:pStyle w:val="TableContents"/>
              <w:keepNext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and incorporated by reference in this prospectus supplement and the accompanying prospectus for a discussion of factors you should carefully consider before deciding to invest in our ordinary shares.</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the number of ordinary shares outstanding before and after this offering is based on the number of ordinary shares outstanding as of September 30, 2021 and excludes as of that date: (1) 4,111,196 ordinary shares available for future awards under our equity incentive plans, (2) an additional 451,979 ordinary shares underlying outstanding options under our equity incentive plans, at a weighted average exercise price of $19.60 per share, and (3) 733,958 ordinary shares issuable pursuant to restricted share units and performance share units outstanding under our equity incentive plans. It also excludes (1) 769,713 ordinary shares issuable pursuant to warrants we issued to an affiliate of Amazon.com, Inc. (“Amazon”), all of which were vested and exercisable as of November 12, 2021 at an exercise price of $13.04 per share (the “Original Warrant”) and (2) ordinary shares issuable pursuant to warrants we issued to Amazon to acquire up to 3,401,028 of our ordinary shares at a purchase price of $59.26 per share (the “New Warrant”), 544,145 of which were vested and exercisable as of November 12, 2021. The selling shareholder is exercising the Original Warrant on a cashless (net) exercise basis in connection with this offering resulting in the issuance to it of 705,701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all information contained in this prospectus assumes:</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exercise of the option granted to the underwriters to purchase from us up to 330,855 additional ordinary shares; and</w:t>
      </w:r>
    </w:p>
    <w:p>
      <w:pPr>
        <w:pStyle w:val="TextBody"/>
        <w:keepNext w:val="false"/>
        <w:pageBreakBefore w:val="false"/>
        <w:widowControl/>
        <w:pBdr/>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exercise of the Original Warrant held by the selling shareholder on a cashless (net) basis using the 30-day trailing VWAP as of November 12, 2021, which will be updated to reflect the 30-day trailing VWAP as of the exercise date which is expected to be the date of pricing of this offering.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5" w:name="T603"/>
      <w:bookmarkEnd w:id="5"/>
      <w:r>
        <w:rPr>
          <w:rFonts w:ascii="Times New Roman PS Std;serif" w:hAnsi="Times New Roman PS Std;serif"/>
          <w:b/>
          <w:i w:val="false"/>
          <w:caps/>
          <w:sz w:val="20"/>
        </w:rPr>
        <w:t>Risk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and therein, before deciding to purchase our ordinary shares. In addition, you should carefully consider, among other things, the section entitled “Risk Factors” beginning on page 2 of our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 the year ended December 31, 2020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Our Ordinary Shares and the Offering</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Achieving our published goals with respect to the environmental impact of our operations and products could result in us incurring additional costs, and our failure to achieve these goals could adversely impact our reputation, employee retention, and willingness of customers to do business with 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advocacy groups, certain institutional investors, investment funds, lenders and other market participants, shareholders, and customers have focused increasingly on the environmental, social, and governance (ESG) or “sustainability” practices of companies. These parties have placed increased importance on the implications of the social cost of their investments. Our 2020 Impact Report set out long-term targets with respect to the environmental impact of our operations and products. These targets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If we do not achieve these targets, or if our ESG practices generally do not meet investor, lender, or other industry stakeholder expectations and standards, which continue to evolve, our reputation and access to capital may be negatively impacted and we could be the subject of government enforcement and private litigation. As a result, our share price and financial results may be adversely affected if we fail to achieve targets that we have set.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2020 Impact Report discussed our policies and practices on a variety of environmental, social and ethical matters, including corporate governance, climate change risks, environmental compliance, employee health and safety practices, human capital management, and workforce inclusion and diversity. It is possible that stakeholders may be dissatisfied with our ESG practices or the speed of their adoption. We could also incur additional costs and require additional resources to monitor, report, and comply with various ESG practices. This area is rapidly developing, and a failure or perceived failure by us to set appropriate goals and prioritize ESG practices could negatively impact our reputation, employee retention, and the willingness of our customers to do business with us.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Increasing temperatures as a result of climate change may adversely affect our business and impact our results of operations.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rely upon cooling processes, which utilize significant energy and electricity resources. Increasing temperatures as a result of climate change could potentially lead to significant increases in our usage of energy and electricity in our operations worldwide, which would cause our expenses to increase. We believe that this risk could materially adversely affect our business and impact our results of operations.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our ordinary shares could be negatively affected by this offering and future sales of our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the selling shareholder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or any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upon exercise of currently outstanding options, warrants or rights, and with respect to our directors and executive officers, ordinary shares sold pursuant to pre-existing plans established pursuant to Rule 10b5-1 under the Exchange Act),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Inc., Barclays Capital Inc., Goldman Sachs &amp; Co. LLC and Morgan Stanley &amp; Co. LLC, who may, in their sole discretion and at any time without notice, release all or any portion of the shares subject to those lock-up agreements. See “Underwriting.”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Amazon is entitled to certain registration rights with respect to shares underlying the Original Warrant and the New Warrant, once vested. All shares sold pursuant to an offering covered by a registration statement will be freely transferable except if purchased by an affiliate.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of September 30, 2021, 4,111,196 ordinary shares were available for future awards under our equity incentive plans, and an additional 451,979 ordinary shares were issuable pursuant to outstanding options granted under our equity incentive plans and 733,958 were issuable pursuant to restricted share units and performance share units under our equity incentive plans. We have filed registration statements on Form S-8 under the Securities Act registering ordinary shares that we may issue under our equity incentive plans. Shares included in such registration statements may be freely sold in the public market upon issuance, except for shares held by affiliates who have certain restrictions on their ability to sell.</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broad discretion to determine how to use the funds that we receive from this offering, and we may use them in ways that may not enhance our results of operations or the price of our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the net proceeds that we receive from this offering for future acquisitions, including complementary businesses, technologies or assets, and for general corporate purposes, including working capital and capital expenditures.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shares by the selling shareholder.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6" w:name="T604"/>
      <w:bookmarkEnd w:id="6"/>
      <w:r>
        <w:rPr>
          <w:rFonts w:ascii="Times New Roman PS Std;serif" w:hAnsi="Times New Roman PS Std;serif"/>
          <w:b/>
          <w:i w:val="false"/>
          <w:caps/>
          <w:sz w:val="20"/>
        </w:rPr>
        <w:t>Use of Proceeds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receive net proceeds from this offering of approximately $</w:t>
      </w:r>
      <w:r>
        <w:rPr>
          <w:rFonts w:ascii="Times New Roman;serif" w:hAnsi="Times New Roman;serif"/>
          <w:b w:val="false"/>
          <w:i w:val="false"/>
          <w:caps w:val="false"/>
          <w:smallCaps w:val="false"/>
          <w:sz w:val="20"/>
        </w:rPr>
        <w:t>234.6</w:t>
      </w:r>
      <w:r>
        <w:rPr>
          <w:rFonts w:ascii="Times New Roman PS Std;serif" w:hAnsi="Times New Roman PS Std;serif"/>
          <w:b w:val="false"/>
          <w:i w:val="false"/>
          <w:caps w:val="false"/>
          <w:smallCaps w:val="false"/>
          <w:sz w:val="20"/>
        </w:rPr>
        <w:t> million, based upon an assumed offering price of $162.55 per ordinary share, the last reported sales price of our ordinary shares on the Nasdaq Global Select Market on November 15, 2021, or approximately $</w:t>
      </w:r>
      <w:r>
        <w:rPr>
          <w:rFonts w:ascii="Times New Roman;serif" w:hAnsi="Times New Roman;serif"/>
          <w:b w:val="false"/>
          <w:i w:val="false"/>
          <w:caps w:val="false"/>
          <w:smallCaps w:val="false"/>
          <w:sz w:val="20"/>
        </w:rPr>
        <w:t>286.5</w:t>
      </w:r>
      <w:r>
        <w:rPr>
          <w:rFonts w:ascii="Times New Roman PS Std;serif" w:hAnsi="Times New Roman PS Std;serif"/>
          <w:b w:val="false"/>
          <w:i w:val="false"/>
          <w:caps w:val="false"/>
          <w:smallCaps w:val="false"/>
          <w:sz w:val="20"/>
        </w:rPr>
        <w:t> million if the underwriters exercise in full their option to purchase additional ordinary shares from us, after deducting underwriting discounts and commissions and estimated offering expenses payable by 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from this offering for future potential acquisitions, including complementary businesses, technologies or assets, and for general corporate purposes, including working capital and capital expenditures.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sale of shares by the selling shareholder.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7" w:name="T605"/>
      <w:bookmarkEnd w:id="7"/>
      <w:r>
        <w:rPr>
          <w:rFonts w:ascii="Times New Roman PS Std;serif" w:hAnsi="Times New Roman PS Std;serif"/>
          <w:b/>
          <w:i w:val="false"/>
          <w:caps/>
          <w:sz w:val="20"/>
        </w:rPr>
        <w:t>Capitalization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cash equivalents, available for sale marketable securities and total capitalization as of September 30, 2021:</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on an as adjusted basis to give effect to the issuance and sale of </w:t>
      </w:r>
      <w:r>
        <w:rPr>
          <w:rFonts w:ascii="Times New Roman;serif" w:hAnsi="Times New Roman;serif"/>
          <w:b w:val="false"/>
          <w:i w:val="false"/>
          <w:caps w:val="false"/>
          <w:smallCaps w:val="false"/>
          <w:sz w:val="20"/>
        </w:rPr>
        <w:t>1,500,000</w:t>
      </w:r>
      <w:r>
        <w:rPr>
          <w:rFonts w:ascii="Times New Roman PS Std;serif" w:hAnsi="Times New Roman PS Std;serif"/>
          <w:b w:val="false"/>
          <w:i w:val="false"/>
          <w:caps w:val="false"/>
          <w:smallCaps w:val="false"/>
          <w:sz w:val="20"/>
        </w:rPr>
        <w:t xml:space="preserve"> ordinary shares by us in this offering at an assumed public offering price of $162.55 per ordinary share, the last reported sales price of our ordinary shares on the Nasdaq Global Select Market on November 15, 2021, after deducting underwriting discounts and commissions and estimated offering expenses payable by 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no material change in our capitalization from debt or equity issuances, re-capitalizations or special dividends between September 30, 2021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2020 and the financial information for the nine months ended September 30, 2021 incorporated by reference from our Report of Foreign Private Issuer on Form 6-K furnished to the SEC on November 16, 2021. See “Where You Can Find More Information.”</w:t>
      </w:r>
    </w:p>
    <w:tbl>
      <w:tblPr>
        <w:tblW w:w="10205" w:type="dxa"/>
        <w:jc w:val="left"/>
        <w:tblInd w:w="0" w:type="dxa"/>
        <w:tblCellMar>
          <w:top w:w="0" w:type="dxa"/>
          <w:left w:w="0" w:type="dxa"/>
          <w:bottom w:w="0" w:type="dxa"/>
          <w:right w:w="0" w:type="dxa"/>
        </w:tblCellMar>
      </w:tblPr>
      <w:tblGrid>
        <w:gridCol w:w="7353"/>
        <w:gridCol w:w="146"/>
        <w:gridCol w:w="251"/>
        <w:gridCol w:w="986"/>
        <w:gridCol w:w="162"/>
        <w:gridCol w:w="254"/>
        <w:gridCol w:w="1053"/>
      </w:tblGrid>
      <w:tr>
        <w:trPr/>
        <w:tc>
          <w:tcPr>
            <w:tcW w:w="7353"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706"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September 30, 2021</w:t>
            </w:r>
          </w:p>
        </w:tc>
      </w:tr>
      <w:tr>
        <w:trPr/>
        <w:tc>
          <w:tcPr>
            <w:tcW w:w="735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23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62" w:type="dxa"/>
            <w:tcBorders/>
            <w:shd w:fill="auto" w:val="clear"/>
            <w:vAlign w:val="bottom"/>
          </w:tcPr>
          <w:p>
            <w:pPr>
              <w:pStyle w:val="TableContents"/>
              <w:spacing w:before="0" w:after="283"/>
              <w:rPr/>
            </w:pPr>
            <w:r>
              <w:rPr/>
              <w:t> </w:t>
            </w:r>
          </w:p>
        </w:tc>
        <w:tc>
          <w:tcPr>
            <w:tcW w:w="1307"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Adjusted</w:t>
            </w:r>
          </w:p>
        </w:tc>
      </w:tr>
      <w:tr>
        <w:trPr/>
        <w:tc>
          <w:tcPr>
            <w:tcW w:w="7353"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2706" w:type="dxa"/>
            <w:gridSpan w:val="5"/>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 thousands, except share data)</w:t>
            </w:r>
          </w:p>
        </w:tc>
      </w:tr>
      <w:tr>
        <w:trPr/>
        <w:tc>
          <w:tcPr>
            <w:tcW w:w="735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deposits and short and long-term marketable securities</w:t>
            </w:r>
          </w:p>
        </w:tc>
        <w:tc>
          <w:tcPr>
            <w:tcW w:w="146" w:type="dxa"/>
            <w:tcBorders/>
            <w:shd w:fill="CCEEFF" w:val="clear"/>
            <w:vAlign w:val="bottom"/>
          </w:tcPr>
          <w:p>
            <w:pPr>
              <w:pStyle w:val="TableContents"/>
              <w:spacing w:before="0" w:after="283"/>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457,507</w:t>
            </w:r>
          </w:p>
        </w:tc>
        <w:tc>
          <w:tcPr>
            <w:tcW w:w="162"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5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692,098</w:t>
            </w:r>
          </w:p>
        </w:tc>
      </w:tr>
      <w:tr>
        <w:trPr/>
        <w:tc>
          <w:tcPr>
            <w:tcW w:w="735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Ordinary shares, NIS 0.01 par value: 200,000,000 shares authorized, actual; </w:t>
            </w:r>
            <w:r>
              <w:rPr>
                <w:rFonts w:ascii="Times New Roman;serif" w:hAnsi="Times New Roman;serif"/>
                <w:b w:val="false"/>
                <w:i w:val="false"/>
                <w:caps w:val="false"/>
                <w:smallCaps w:val="false"/>
                <w:sz w:val="20"/>
              </w:rPr>
              <w:t xml:space="preserve">46,477,324 </w:t>
            </w:r>
            <w:r>
              <w:rPr>
                <w:rFonts w:ascii="Times New Roman PS Std;serif" w:hAnsi="Times New Roman PS Std;serif"/>
                <w:b w:val="false"/>
                <w:i w:val="false"/>
                <w:caps w:val="false"/>
                <w:smallCaps w:val="false"/>
                <w:sz w:val="20"/>
              </w:rPr>
              <w:t xml:space="preserve">shares issued and outstanding, actual, and </w:t>
            </w:r>
            <w:r>
              <w:rPr>
                <w:rFonts w:ascii="Times New Roman;serif" w:hAnsi="Times New Roman;serif"/>
                <w:b w:val="false"/>
                <w:i w:val="false"/>
                <w:caps w:val="false"/>
                <w:smallCaps w:val="false"/>
                <w:sz w:val="20"/>
              </w:rPr>
              <w:t>48,683,025</w:t>
            </w:r>
            <w:r>
              <w:rPr>
                <w:rFonts w:ascii="Times New Roman PS Std;serif" w:hAnsi="Times New Roman PS Std;serif"/>
                <w:b w:val="false"/>
                <w:i w:val="false"/>
                <w:caps w:val="false"/>
                <w:smallCaps w:val="false"/>
                <w:sz w:val="20"/>
              </w:rPr>
              <w:t xml:space="preserve"> shares issued and outstanding, as adjusted</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w:t>
            </w:r>
          </w:p>
        </w:tc>
      </w:tr>
      <w:tr>
        <w:trPr/>
        <w:tc>
          <w:tcPr>
            <w:tcW w:w="735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520,884</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5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755,469</w:t>
            </w:r>
          </w:p>
        </w:tc>
      </w:tr>
      <w:tr>
        <w:trPr/>
        <w:tc>
          <w:tcPr>
            <w:tcW w:w="7353"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w:t>
            </w:r>
          </w:p>
        </w:tc>
      </w:tr>
      <w:tr>
        <w:trPr/>
        <w:tc>
          <w:tcPr>
            <w:tcW w:w="7353"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42,528</w:t>
            </w:r>
          </w:p>
        </w:tc>
        <w:tc>
          <w:tcPr>
            <w:tcW w:w="162"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5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42,528</w:t>
            </w:r>
          </w:p>
        </w:tc>
      </w:tr>
      <w:tr>
        <w:trPr/>
        <w:tc>
          <w:tcPr>
            <w:tcW w:w="7353" w:type="dxa"/>
            <w:tcBorders/>
            <w:shd w:fill="auto"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shareholders’ equity</w:t>
            </w:r>
          </w:p>
        </w:tc>
        <w:tc>
          <w:tcPr>
            <w:tcW w:w="14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986"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565,135</w:t>
            </w:r>
          </w:p>
        </w:tc>
        <w:tc>
          <w:tcPr>
            <w:tcW w:w="162"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c>
          <w:tcPr>
            <w:tcW w:w="1053" w:type="dxa"/>
            <w:tcBorders/>
            <w:shd w:fill="auto"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799,727</w:t>
            </w:r>
          </w:p>
        </w:tc>
      </w:tr>
      <w:tr>
        <w:trPr/>
        <w:tc>
          <w:tcPr>
            <w:tcW w:w="7353" w:type="dxa"/>
            <w:tcBorders/>
            <w:shd w:fill="CCEEFF" w:val="clear"/>
            <w:vAlign w:val="bottom"/>
          </w:tcPr>
          <w:p>
            <w:pPr>
              <w:pStyle w:val="TableContents"/>
              <w:keepNext w:val="false"/>
              <w:widowControl/>
              <w:pBdr/>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capitalization</w:t>
            </w:r>
          </w:p>
        </w:tc>
        <w:tc>
          <w:tcPr>
            <w:tcW w:w="146" w:type="dxa"/>
            <w:tcBorders/>
            <w:shd w:fill="CCEEFF" w:val="clear"/>
            <w:vAlign w:val="bottom"/>
          </w:tcPr>
          <w:p>
            <w:pPr>
              <w:pStyle w:val="TableContents"/>
              <w:spacing w:before="0" w:after="283"/>
              <w:rPr/>
            </w:pPr>
            <w:r>
              <w:rPr/>
              <w:t> </w:t>
            </w:r>
          </w:p>
        </w:tc>
        <w:tc>
          <w:tcPr>
            <w:tcW w:w="251"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8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565,135</w:t>
            </w:r>
          </w:p>
        </w:tc>
        <w:tc>
          <w:tcPr>
            <w:tcW w:w="162" w:type="dxa"/>
            <w:tcBorders/>
            <w:shd w:fill="CCEEFF" w:val="clear"/>
            <w:vAlign w:val="bottom"/>
          </w:tcPr>
          <w:p>
            <w:pPr>
              <w:pStyle w:val="TableContents"/>
              <w:spacing w:before="0" w:after="283"/>
              <w:rPr/>
            </w:pPr>
            <w:r>
              <w:rPr/>
              <w:t> </w:t>
            </w:r>
          </w:p>
        </w:tc>
        <w:tc>
          <w:tcPr>
            <w:tcW w:w="254"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3"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799,727</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table excludes as of September 30, 2021: (1) 4,111,196 ordinary shares available for future awards under our equity incentive plans, (2) an additional 451,979 ordinary shares underlying outstanding options under our equity incentive plans, at a weighted average exercise price of $19.60 per share, and (3) 733,958 ordinary shares issuable pursuant to restricted share units and performance share units outstanding under our equity incentive plans. Between September 30, 2021 and November 15, 2021, we issued an additional 49,913 ordinary shares in connection with the exercise of options issued pursuant to our equity incentive plans. It also excludes (1) 769,713 ordinary shares issuable pursuant to the Original Warrant, all of which were vested and exercisable as of November 12, 2021 and (2) 3,401,028 ordinary shares issuable pursuant to the New Warrant, 544,145 of which were vested and exercisable as of November 12, 2021 at an exercise price of $59.26 per share. The selling shareholder is exercising the Original Warrant on a cashless (net) exercise basis in connection with this offering resulting in the issuance to it of 705,701 ordinary shares.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8" w:name="T606"/>
      <w:bookmarkEnd w:id="8"/>
      <w:r>
        <w:rPr>
          <w:rFonts w:ascii="Times New Roman PS Std;serif" w:hAnsi="Times New Roman PS Std;serif"/>
          <w:b/>
          <w:i w:val="false"/>
          <w:caps/>
          <w:sz w:val="20"/>
        </w:rPr>
        <w:t>Selling Shareholder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the selling shareholder of our ordinary shares as of November 15, 2021. On November 15, 2021, we had a total of 46,527,237 of our ordinary shares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to our knowledge, the selling shareholder has sole voting and investment power with respect to all ordinary shares shown as beneficially owned by 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our relationships with the selling shareholder and its affiliates, see “Major Shareholders and Related Party Transactions” in our Annual Report on Form 20-F for the year ended December 31, 2020 filed with the SEC on March 25, 2021.</w:t>
      </w:r>
    </w:p>
    <w:tbl>
      <w:tblPr>
        <w:tblW w:w="10205" w:type="dxa"/>
        <w:jc w:val="left"/>
        <w:tblInd w:w="0" w:type="dxa"/>
        <w:tblCellMar>
          <w:top w:w="0" w:type="dxa"/>
          <w:left w:w="0" w:type="dxa"/>
          <w:bottom w:w="0" w:type="dxa"/>
          <w:right w:w="0" w:type="dxa"/>
        </w:tblCellMar>
      </w:tblPr>
      <w:tblGrid>
        <w:gridCol w:w="4127"/>
        <w:gridCol w:w="146"/>
        <w:gridCol w:w="1133"/>
        <w:gridCol w:w="154"/>
        <w:gridCol w:w="528"/>
        <w:gridCol w:w="373"/>
        <w:gridCol w:w="146"/>
        <w:gridCol w:w="886"/>
        <w:gridCol w:w="367"/>
        <w:gridCol w:w="146"/>
        <w:gridCol w:w="1081"/>
        <w:gridCol w:w="169"/>
        <w:gridCol w:w="521"/>
        <w:gridCol w:w="428"/>
      </w:tblGrid>
      <w:tr>
        <w:trPr/>
        <w:tc>
          <w:tcPr>
            <w:tcW w:w="4127"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88"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Beneficially</w:t>
              <w:br/>
              <w:t>Owned</w:t>
              <w:br/>
              <w:t>Prior to Offering</w:t>
            </w:r>
          </w:p>
        </w:tc>
        <w:tc>
          <w:tcPr>
            <w:tcW w:w="146" w:type="dxa"/>
            <w:tcBorders/>
            <w:shd w:fill="auto" w:val="clear"/>
            <w:vAlign w:val="bottom"/>
          </w:tcPr>
          <w:p>
            <w:pPr>
              <w:pStyle w:val="TableContents"/>
              <w:spacing w:before="0" w:after="283"/>
              <w:rPr/>
            </w:pPr>
            <w:r>
              <w:rPr/>
              <w:t> </w:t>
            </w:r>
          </w:p>
        </w:tc>
        <w:tc>
          <w:tcPr>
            <w:tcW w:w="1253" w:type="dxa"/>
            <w:gridSpan w:val="2"/>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Offered</w:t>
            </w:r>
          </w:p>
        </w:tc>
        <w:tc>
          <w:tcPr>
            <w:tcW w:w="146" w:type="dxa"/>
            <w:vMerge w:val="restart"/>
            <w:tcBorders/>
            <w:shd w:fill="auto" w:val="clear"/>
            <w:vAlign w:val="bottom"/>
          </w:tcPr>
          <w:p>
            <w:pPr>
              <w:pStyle w:val="TableContents"/>
              <w:spacing w:before="0" w:after="283"/>
              <w:rPr/>
            </w:pPr>
            <w:r>
              <w:rPr/>
              <w:t> </w:t>
            </w:r>
          </w:p>
        </w:tc>
        <w:tc>
          <w:tcPr>
            <w:tcW w:w="2199"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w:t>
              <w:br/>
              <w:t>After Offering</w:t>
            </w:r>
          </w:p>
        </w:tc>
      </w:tr>
      <w:tr>
        <w:trPr/>
        <w:tc>
          <w:tcPr>
            <w:tcW w:w="4127"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54"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shd w:fill="auto" w:val="clear"/>
            <w:vAlign w:val="bottom"/>
          </w:tcPr>
          <w:p>
            <w:pPr>
              <w:pStyle w:val="TableContents"/>
              <w:spacing w:before="0" w:after="283"/>
              <w:rPr/>
            </w:pPr>
            <w:r>
              <w:rPr/>
              <w:t> </w:t>
            </w:r>
          </w:p>
        </w:tc>
        <w:tc>
          <w:tcPr>
            <w:tcW w:w="1253" w:type="dxa"/>
            <w:gridSpan w:val="2"/>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108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69"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4127"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Amazon.com NV Investment Holdings LLC(1)</w:t>
            </w:r>
          </w:p>
        </w:tc>
        <w:tc>
          <w:tcPr>
            <w:tcW w:w="14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1,313,858</w:t>
            </w:r>
          </w:p>
        </w:tc>
        <w:tc>
          <w:tcPr>
            <w:tcW w:w="154" w:type="dxa"/>
            <w:tcBorders/>
            <w:shd w:fill="CCEEFF" w:val="clear"/>
            <w:vAlign w:val="bottom"/>
          </w:tcPr>
          <w:p>
            <w:pPr>
              <w:pStyle w:val="TableContents"/>
              <w:spacing w:before="0" w:after="283"/>
              <w:rPr/>
            </w:pPr>
            <w:r>
              <w:rPr/>
              <w:t> </w:t>
            </w:r>
          </w:p>
        </w:tc>
        <w:tc>
          <w:tcPr>
            <w:tcW w:w="528"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3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705,701</w:t>
            </w:r>
          </w:p>
        </w:tc>
        <w:tc>
          <w:tcPr>
            <w:tcW w:w="367" w:type="dxa"/>
            <w:tcBorders/>
            <w:shd w:fill="CCEEFF" w:val="clear"/>
            <w:vAlign w:val="bottom"/>
          </w:tcPr>
          <w:p>
            <w:pPr>
              <w:pStyle w:val="TableContents"/>
              <w:keepNext w:val="false"/>
              <w:widowControl/>
              <w:pBdr/>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544,145</w:t>
            </w:r>
          </w:p>
        </w:tc>
        <w:tc>
          <w:tcPr>
            <w:tcW w:w="169" w:type="dxa"/>
            <w:tcBorders/>
            <w:shd w:fill="CCEEFF" w:val="clear"/>
            <w:vAlign w:val="bottom"/>
          </w:tcPr>
          <w:p>
            <w:pPr>
              <w:pStyle w:val="TableContents"/>
              <w:spacing w:before="0" w:after="283"/>
              <w:rPr/>
            </w:pPr>
            <w:r>
              <w:rPr/>
              <w:t> </w:t>
            </w:r>
          </w:p>
        </w:tc>
        <w:tc>
          <w:tcPr>
            <w:tcW w:w="521"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2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selling shareholder is a wholly owned subsidiary of Amazon.com, Inc., whose address is 440 Terry Avenue North, Seattle, WA 98109.</w:t>
      </w:r>
    </w:p>
    <w:p>
      <w:pPr>
        <w:pStyle w:val="TextBody"/>
        <w:keepNext w:val="false"/>
        <w:pageBreakBefore w:val="false"/>
        <w:widowControl/>
        <w:pBdr/>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selling shareholder is exercising the Original Warrant on a cashless (net) exercise basis in connection with this offering resulting in the issuance to, and sale in this offering by, it of 705,701 ordinary shares.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9" w:name="T607"/>
      <w:bookmarkEnd w:id="9"/>
      <w:r>
        <w:rPr>
          <w:rFonts w:ascii="Times New Roman PS Std;serif" w:hAnsi="Times New Roman PS Std;serif"/>
          <w:b/>
          <w:i w:val="false"/>
          <w:caps/>
          <w:sz w:val="20"/>
        </w:rPr>
        <w:t>U.S. and Israeli Tax Considerations For Our Shareholders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Israeli Tax Consequences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Taxation of Non-Israeli Shareholders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Capital Gains Taxes Applicable to Non-Israeli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Resident Shareholders.    </w:t>
      </w:r>
      <w:r>
        <w:rPr>
          <w:rFonts w:ascii="Times New Roman PS Std;serif" w:hAnsi="Times New Roman PS Std;serif"/>
          <w:b w:val="false"/>
          <w:i w:val="false"/>
          <w:caps w:val="false"/>
          <w:smallCaps w:val="false"/>
          <w:sz w:val="20"/>
        </w:rPr>
        <w:t>Generally, a non-Israeli resident (whether an individual or a corporation) who derives capital gains from the sale of shares of an Israeli resident company that are not listed for trading on the Tel-Aviv Stock Exchange on the date of sale should be exempt from Israeli capital gains tax unless, among others, (i) the shares were held through a permanent establishment that the non-Israeli resident shareholder maintains in Israel, or (ii) most of the assets held, directly or indirectly, by the Israeli company — on the date of acquisition of the shares and during two years before their sale — stem from one or several of: real estate rights or real estate association rights, a right to use real estate or any asset connected to real estate in Israel, a right to exploit natural resources in Israel or a right to income from real estate located in Israel. If not exempt, a non-Israeli resident shareholder would generally be subject to tax on capital gain at the ordinary corporate tax rate (23% in 2021), if generated by a company, or at the rate of 25%, if generated by an individual, or 30%, if generated by an individual who is a “substantial shareholder” (as defined under the Israeli Income Tax Ordinance [New Version], 5721-1961), at the time of sale or at any time during the preceding 12-month period (or if the shareholder claims a deduction for interest and linkage differences expenses in connection with the purchase and holding of such shares). A “substantial shareholder” is generally defined as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2021) and a marginal tax rate of up to 47% for an individual in 2021 (excluding excess tax as discussed below)) unless contrary provisions in a relevant tax treaty apply. However, non-Israeli resident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inter alia, to a person whose gains from selling or otherwise disposing of the shares are deemed to be business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a sale of shares of an Israeli resident company by a non-Israeli resident may be exempt from Israeli capital gains tax under the provisions of an applicable tax treaty between Israel and the shareholder’s country of residence.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 tax. Such exemption will not apply, inter alia, if (a) the capital gains arising from such sale, exchange or disposition can be allocated to a permanent establishment that the shareholder maintained in Israel, (b) the shareholder holds, directly or indirectly, shares representing 10% or more of the voting capital of the company during any part of the 12-month period preceding such sale, exchange or disposition, subject to certain conditions, (c) such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resident is an individual and was present in Israel for a period or periods aggregating to 183 days or more during the relevant taxable year, (d) the capital gains arising from such sale, exchange or disposition is attributed to real estate located in Israel, or (e) the capital gains arising from such sale, exchange or disposition are attributed to royalties. In each case, the sale, exchange or disposition of our ordinary shares would be subject to Israeli capital gains tax, to the extent applicable; however, under the United States-Israel Tax Treaty, the taxpayer may be permitted to claim a credit for such Israeli taxes against the U.S. federal income tax imposed with respect to such sale, exchange or disposition, subject to the limitations under U.S. law applicable to foreign tax credits.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instances where our shareholders may be liable for Israeli capital gains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residents, and, in the absence of such declarations or exemptions, may require the purchaser of the shares to withhold taxes at source.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Taxation of Non-Israeli</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Resident Shareholders on Receipt of Dividends.    </w:t>
      </w:r>
      <w:r>
        <w:rPr>
          <w:rFonts w:ascii="Times New Roman PS Std;serif" w:hAnsi="Times New Roman PS Std;serif"/>
          <w:b w:val="false"/>
          <w:i w:val="false"/>
          <w:caps w:val="false"/>
          <w:smallCaps w:val="false"/>
          <w:sz w:val="20"/>
        </w:rPr>
        <w:t>Non-Israeli residents (whether 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Israel Tax Authority allowing for a reduced withholding tax rate or a tax exemption is obtained in advance). With respect to a person who is a “substantial shareholder” (as described above) at the time of receiving the dividend or at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Israel Tax Authority allowing for a reduced withholding tax rate is obtained in advance). However, a distribution of dividends to non-Israeli residents is generally subject to withholding tax at source at a rate of 15% if the dividend is distributed from income attributed to an “Approved Enterprise” or a “Benefited Enterprise” (and 20% if the dividend is distributed from income attributed to a “Preferred Enterprise” or a “Preferred Technological Enterprise” or a “Special Preferred Technological Enterprise”) (as such terms are defined in the Law for the Encouragement of Capital Investments, 5719-1959), subject to the receipt in advance of a valid certificate from the Israel Tax Authority allowing for a reduced tax rate, such 15% or 20% rates, or such lower rate as may be provided under an applicable tax treaty.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under the United States-Israel Tax Treaty, the maximum rate of tax withheld at source in Israel on dividends paid to a holder of our ordinary shares who is a U.S. resident (for purposes of the United States-Israel Tax Treaty) is 25%. However, for dividends not attributed to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dividend is attributable partly to income derived from an Approved Enterprise, Benefited Enterprise or Preferred Enterprise, and partly to other sources of income, the withholding tax rate will be a blended rate reflecting the relative portions of the two types of income. U.S. residents (for purposes of the United States-Israel Tax Treaty)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who are subject to Israeli withholding tax on a dividend may be entitled to a credit or deduction for United States federal income tax purposes up to the amount of the taxes withheld, subject to detailed rules contained in U.S. tax legislation.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we will designate the profits that we may distribute in a way that will reduce shareholders’ tax liability.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Excess Tax</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Individuals who are subject to tax in Israel (whether any such individual is an Israeli resident or non-Israeli resident) are also subject to an additional tax at a rate of 3% on their annual income exceeding NIS 647,640 for 2021 (which amount is linked to the annual change in the Israeli consumer price index), including, but not limited to, dividends, interest and capital gain.</w:t>
      </w:r>
    </w:p>
    <w:p>
      <w:pPr>
        <w:pStyle w:val="TextBody"/>
        <w:keepNext w:val="true"/>
        <w:pageBreakBefore w:val="false"/>
        <w:widowControl/>
        <w:pBdr/>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Estate and Gift Tax</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Israeli tax law presently does not impose estate or gift taxes.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 Considerations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insurance companies;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 regulated investment companies or grantor trusts;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brokers, dealers or traders in securities, commodities or currencies;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 or organizations, including an “individual retirement account” or “Roth IRA” as defined in Section 408 or 408A of the Code, respectively;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certain former citizens or residents of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receive our shares as compensation for the performance of services;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will hold our shares as part of a “hedging,” “integrated” or “conversion” transaction or as a position in a “straddle” for U.S. federal income tax purposes;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(including entities classified as partnerships for U.S. federal income tax purposes) or other pass-through entities, or persons that will hold our shares through such an entity;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S-corporations;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shares in connection with a trade or business conducted outside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elect to mark their securities to market;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Holders whose “functional currency” is not the U.S. Dollar;</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own or acquire directly, indirectly or through attribution 10.0% or more of the voting power or value of our shares;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accrual method taxpayers subject to special tax accounting rules as a result of their use of financial statements under Section 451(b) of the Code.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description, a “U.S. Holder” is a beneficial owner of our ordinary shares that, for U.S. federal income tax purposes, is: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holder that is a citizen or resident of the United States;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or other entity treated as a corporation for U.S. federal income tax purposes, created or organized in or under the laws of the United States or any state thereof, including the District of Columbia;</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taxation regardless of its source;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consult your tax advisor with respect to the United States federal, state, local and foreign tax consequences of owning and disposing of our ordinary shares.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constitute “qualified dividend income” for U.S. federal income tax purposes. Dividends received with respect to our ordinary shares will constitute qualified dividend income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constitute qualified dividend income provided that we are not classified as a PFIC in the last year prior to the year in which such dividend is paid and the year in which such dividend is paid.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 exchange, redemption or other taxable disposition of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If you are a non-corporate U.S. Holder, long-term capital gain from the sale, exchange or other taxable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Passive foreign investment company considerations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our company, will be classified as a PFIC for federal income tax purposes in any taxable year in which, after applying certain look-through rules with respect to the income and assets of subsidiaries, either: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75% of its gross income is “passive income”;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historic and certain estimates of our gross income, gross assets, and market capitalization (which may fluctuate from time to time) and the nature of our business, we do not believe that we were a PFIC for the taxable year ending December 31, 2020 and we do not expect that we will be classified as a PFIC for the taxable year ending December 31, 2021. However, because PFIC status is based on our income, assets and activities for the entire taxable year, it is not possible to determine whether we will be characterized as a PFIC for the 2021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 and we do not intend to make a determination of our or any of our future subsidiaries’ PFIC status in the future.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 period, whichever is shorter, would be subject to taxation in the manner described above. In addition, dividend distributions made to you will not qualify for the preferential rates of taxation applicable to qualified dividend income discussed above under “Distributions.”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 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Holders should consult their tax advisors regarding the potential application of the PFIC rules to their investment in our ordinary shares.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Backup withholding tax and information reporting requirements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asset reporting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0" w:name="T608"/>
      <w:bookmarkEnd w:id="10"/>
      <w:r>
        <w:rPr>
          <w:rFonts w:ascii="Times New Roman PS Std;serif" w:hAnsi="Times New Roman PS Std;serif"/>
          <w:b/>
          <w:i w:val="false"/>
          <w:caps/>
          <w:sz w:val="20"/>
        </w:rPr>
        <w:t>Underwriting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Citigroup Global Markets Inc., Barclays Capital Inc., Goldman Sachs &amp; Co. LLC and Morgan Stanley &amp; Co. LLC are acting as representatives of the underwriters of this offering. Under the terms of an underwriting agreement, dated November            , 2021, each of the underwriters named below has severally agreed to purchase from us and the selling shareholder the respective number of ordinary shares shown opposite its name below:</w:t>
      </w:r>
    </w:p>
    <w:tbl>
      <w:tblPr>
        <w:tblW w:w="6283" w:type="dxa"/>
        <w:jc w:val="left"/>
        <w:tblInd w:w="0" w:type="dxa"/>
        <w:tblCellMar>
          <w:top w:w="0" w:type="dxa"/>
          <w:left w:w="0" w:type="dxa"/>
          <w:bottom w:w="0" w:type="dxa"/>
          <w:right w:w="0" w:type="dxa"/>
        </w:tblCellMar>
      </w:tblPr>
      <w:tblGrid>
        <w:gridCol w:w="4141"/>
        <w:gridCol w:w="146"/>
        <w:gridCol w:w="1996"/>
      </w:tblGrid>
      <w:tr>
        <w:trPr/>
        <w:tc>
          <w:tcPr>
            <w:tcW w:w="4141"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Underwriters</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Shares</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Citigroup Global Markets Inc.</w:t>
            </w:r>
          </w:p>
        </w:tc>
        <w:tc>
          <w:tcPr>
            <w:tcW w:w="146" w:type="dxa"/>
            <w:tcBorders/>
            <w:shd w:fill="CCEEFF" w:val="clear"/>
            <w:vAlign w:val="bottom"/>
          </w:tcPr>
          <w:p>
            <w:pPr>
              <w:pStyle w:val="TableContents"/>
              <w:spacing w:before="0" w:after="283"/>
              <w:rPr/>
            </w:pPr>
            <w:r>
              <w:rPr/>
              <w:t> </w:t>
            </w:r>
          </w:p>
        </w:tc>
        <w:tc>
          <w:tcPr>
            <w:tcW w:w="1996" w:type="dxa"/>
            <w:tcBorders/>
            <w:shd w:fill="CCEEFF" w:val="clear"/>
            <w:vAlign w:val="bottom"/>
          </w:tcPr>
          <w:p>
            <w:pPr>
              <w:pStyle w:val="TableContents"/>
              <w:spacing w:before="0" w:after="283"/>
              <w:rPr/>
            </w:pPr>
            <w:r>
              <w:rPr/>
              <w:t> </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Barclays Capital Inc.</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Goldman Sachs &amp; Co. LLC</w:t>
            </w:r>
          </w:p>
        </w:tc>
        <w:tc>
          <w:tcPr>
            <w:tcW w:w="146" w:type="dxa"/>
            <w:tcBorders/>
            <w:shd w:fill="CCEEFF" w:val="clear"/>
            <w:vAlign w:val="bottom"/>
          </w:tcPr>
          <w:p>
            <w:pPr>
              <w:pStyle w:val="TableContents"/>
              <w:spacing w:before="0" w:after="283"/>
              <w:rPr/>
            </w:pPr>
            <w:r>
              <w:rPr/>
              <w:t> </w:t>
            </w:r>
          </w:p>
        </w:tc>
        <w:tc>
          <w:tcPr>
            <w:tcW w:w="1996" w:type="dxa"/>
            <w:tcBorders/>
            <w:shd w:fill="CCEEFF" w:val="clear"/>
            <w:vAlign w:val="bottom"/>
          </w:tcPr>
          <w:p>
            <w:pPr>
              <w:pStyle w:val="TableContents"/>
              <w:spacing w:before="0" w:after="283"/>
              <w:rPr/>
            </w:pPr>
            <w:r>
              <w:rPr/>
              <w:t> </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Morgan Stanley &amp; Co. LLC</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Needham &amp; Company, LLC</w:t>
            </w:r>
          </w:p>
        </w:tc>
        <w:tc>
          <w:tcPr>
            <w:tcW w:w="146" w:type="dxa"/>
            <w:tcBorders/>
            <w:shd w:fill="CCEEFF" w:val="clear"/>
            <w:vAlign w:val="bottom"/>
          </w:tcPr>
          <w:p>
            <w:pPr>
              <w:pStyle w:val="TableContents"/>
              <w:spacing w:before="0" w:after="283"/>
              <w:rPr/>
            </w:pPr>
            <w:r>
              <w:rPr/>
              <w:t> </w:t>
            </w:r>
          </w:p>
        </w:tc>
        <w:tc>
          <w:tcPr>
            <w:tcW w:w="1996" w:type="dxa"/>
            <w:tcBorders/>
            <w:shd w:fill="CCEEFF" w:val="clear"/>
            <w:vAlign w:val="bottom"/>
          </w:tcPr>
          <w:p>
            <w:pPr>
              <w:pStyle w:val="TableContents"/>
              <w:spacing w:before="0" w:after="283"/>
              <w:rPr/>
            </w:pPr>
            <w:r>
              <w:rPr/>
              <w:t> </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Stifel, Nicolaus &amp; Company, Incorporated</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Blair &amp; Company, L.L.C.</w:t>
            </w:r>
          </w:p>
        </w:tc>
        <w:tc>
          <w:tcPr>
            <w:tcW w:w="146" w:type="dxa"/>
            <w:tcBorders/>
            <w:shd w:fill="CCEEFF" w:val="clear"/>
            <w:vAlign w:val="bottom"/>
          </w:tcPr>
          <w:p>
            <w:pPr>
              <w:pStyle w:val="TableContents"/>
              <w:spacing w:before="0" w:after="283"/>
              <w:rPr/>
            </w:pPr>
            <w:r>
              <w:rPr/>
              <w:t> </w:t>
            </w:r>
          </w:p>
        </w:tc>
        <w:tc>
          <w:tcPr>
            <w:tcW w:w="1996" w:type="dxa"/>
            <w:tcBorders/>
            <w:shd w:fill="CCEEFF" w:val="clear"/>
            <w:vAlign w:val="bottom"/>
          </w:tcPr>
          <w:p>
            <w:pPr>
              <w:pStyle w:val="TableContents"/>
              <w:spacing w:before="0" w:after="283"/>
              <w:rPr/>
            </w:pPr>
            <w:r>
              <w:rPr/>
              <w:t> </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Berenberg Capital Markets LLC</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spacing w:before="0" w:after="283"/>
              <w:rPr/>
            </w:pPr>
            <w:r>
              <w:rPr/>
              <w:t> </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CJS Securities, Inc.</w:t>
            </w:r>
          </w:p>
        </w:tc>
        <w:tc>
          <w:tcPr>
            <w:tcW w:w="146" w:type="dxa"/>
            <w:tcBorders/>
            <w:shd w:fill="CCEEFF" w:val="clear"/>
            <w:vAlign w:val="bottom"/>
          </w:tcPr>
          <w:p>
            <w:pPr>
              <w:pStyle w:val="TableContents"/>
              <w:spacing w:before="0" w:after="283"/>
              <w:rPr/>
            </w:pPr>
            <w:r>
              <w:rPr/>
              <w:t> </w:t>
            </w:r>
          </w:p>
        </w:tc>
        <w:tc>
          <w:tcPr>
            <w:tcW w:w="1996" w:type="dxa"/>
            <w:tcBorders/>
            <w:shd w:fill="CCEEFF" w:val="clear"/>
            <w:vAlign w:val="bottom"/>
          </w:tcPr>
          <w:p>
            <w:pPr>
              <w:pStyle w:val="TableContents"/>
              <w:spacing w:before="0" w:after="283"/>
              <w:rPr/>
            </w:pPr>
            <w:r>
              <w:rPr/>
              <w:t> </w:t>
            </w:r>
          </w:p>
        </w:tc>
      </w:tr>
      <w:tr>
        <w:trPr/>
        <w:tc>
          <w:tcPr>
            <w:tcW w:w="4141"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Craig-Hallum Capital Group LLC</w:t>
            </w:r>
          </w:p>
        </w:tc>
        <w:tc>
          <w:tcPr>
            <w:tcW w:w="146" w:type="dxa"/>
            <w:tcBorders/>
            <w:shd w:fill="auto" w:val="clear"/>
            <w:vAlign w:val="bottom"/>
          </w:tcPr>
          <w:p>
            <w:pPr>
              <w:pStyle w:val="TableContents"/>
              <w:spacing w:before="0" w:after="283"/>
              <w:rPr/>
            </w:pPr>
            <w:r>
              <w:rPr/>
              <w:t> </w:t>
            </w:r>
          </w:p>
        </w:tc>
        <w:tc>
          <w:tcPr>
            <w:tcW w:w="1996" w:type="dxa"/>
            <w:tcBorders/>
            <w:shd w:fill="auto"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 </w:t>
            </w:r>
          </w:p>
        </w:tc>
      </w:tr>
      <w:tr>
        <w:trPr/>
        <w:tc>
          <w:tcPr>
            <w:tcW w:w="4141"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spacing w:before="0" w:after="283"/>
              <w:rPr/>
            </w:pPr>
            <w:r>
              <w:rPr/>
              <w:t> </w:t>
            </w:r>
          </w:p>
        </w:tc>
        <w:tc>
          <w:tcPr>
            <w:tcW w:w="1996" w:type="dxa"/>
            <w:tcBorders>
              <w:bottom w:val="double" w:sz="2" w:space="0" w:color="000000"/>
            </w:tcBorders>
            <w:shd w:fill="CCEEFF" w:val="clear"/>
            <w:tcMar>
              <w:bottom w:w="28" w:type="dxa"/>
            </w:tcMar>
            <w:vAlign w:val="bottom"/>
          </w:tcPr>
          <w:p>
            <w:pPr>
              <w:pStyle w:val="TableContents"/>
              <w:keepNext w:val="false"/>
              <w:widowControl/>
              <w:pBdr/>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2,205,701</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have advised us that they propose initially to offer the ordinary shares to the public at the public offering price set forth on the cover page of this prospectus and to dealers at that price less a concession not in excess of $            per share. After the initial offering, the public offering price, concession or any other term of this offering may be changed.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public offering price, underwriting discounts and commissions and proceeds to us and to the selling shareholder, before expenses.</w:t>
      </w:r>
    </w:p>
    <w:tbl>
      <w:tblPr>
        <w:tblW w:w="7419" w:type="dxa"/>
        <w:jc w:val="left"/>
        <w:tblInd w:w="0" w:type="dxa"/>
        <w:tblCellMar>
          <w:top w:w="0" w:type="dxa"/>
          <w:left w:w="0" w:type="dxa"/>
          <w:bottom w:w="0" w:type="dxa"/>
          <w:right w:w="0" w:type="dxa"/>
        </w:tblCellMar>
      </w:tblPr>
      <w:tblGrid>
        <w:gridCol w:w="5356"/>
        <w:gridCol w:w="146"/>
        <w:gridCol w:w="673"/>
        <w:gridCol w:w="437"/>
        <w:gridCol w:w="146"/>
        <w:gridCol w:w="358"/>
        <w:gridCol w:w="303"/>
      </w:tblGrid>
      <w:tr>
        <w:trPr/>
        <w:tc>
          <w:tcPr>
            <w:tcW w:w="535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1110"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shd w:fill="auto" w:val="clear"/>
            <w:vAlign w:val="bottom"/>
          </w:tcPr>
          <w:p>
            <w:pPr>
              <w:pStyle w:val="TableContents"/>
              <w:spacing w:before="0" w:after="283"/>
              <w:rPr/>
            </w:pPr>
            <w:r>
              <w:rPr/>
              <w:t> </w:t>
            </w:r>
          </w:p>
        </w:tc>
        <w:tc>
          <w:tcPr>
            <w:tcW w:w="66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Price to the public</w:t>
            </w:r>
          </w:p>
        </w:tc>
        <w:tc>
          <w:tcPr>
            <w:tcW w:w="1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CCEEFF" w:val="clear"/>
            <w:vAlign w:val="bottom"/>
          </w:tcPr>
          <w:p>
            <w:pPr>
              <w:pStyle w:val="TableContents"/>
              <w:spacing w:before="0" w:after="283"/>
              <w:rPr/>
            </w:pPr>
            <w:r>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w:t>
            </w:r>
          </w:p>
        </w:tc>
        <w:tc>
          <w:tcPr>
            <w:tcW w:w="1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auto" w:val="clear"/>
            <w:vAlign w:val="bottom"/>
          </w:tcPr>
          <w:p>
            <w:pPr>
              <w:pStyle w:val="TableContents"/>
              <w:spacing w:before="0" w:after="283"/>
              <w:rPr/>
            </w:pPr>
            <w:r>
              <w:rPr/>
              <w:t> </w:t>
            </w:r>
          </w:p>
        </w:tc>
      </w:tr>
      <w:tr>
        <w:trPr/>
        <w:tc>
          <w:tcPr>
            <w:tcW w:w="5356"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spacing w:before="0" w:after="283"/>
              <w:rPr/>
            </w:pPr>
            <w:r>
              <w:rPr/>
              <w:t> </w:t>
            </w:r>
          </w:p>
        </w:tc>
        <w:tc>
          <w:tcPr>
            <w:tcW w:w="673"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358" w:type="dxa"/>
            <w:tcBorders/>
            <w:shd w:fill="CCEEFF"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CCEEFF" w:val="clear"/>
            <w:vAlign w:val="bottom"/>
          </w:tcPr>
          <w:p>
            <w:pPr>
              <w:pStyle w:val="TableContents"/>
              <w:spacing w:before="0" w:after="283"/>
              <w:rPr/>
            </w:pPr>
            <w:r>
              <w:rPr/>
              <w:t> </w:t>
            </w:r>
          </w:p>
        </w:tc>
      </w:tr>
      <w:tr>
        <w:trPr/>
        <w:tc>
          <w:tcPr>
            <w:tcW w:w="5356" w:type="dxa"/>
            <w:tcBorders/>
            <w:shd w:fill="auto"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the selling shareholder</w:t>
            </w:r>
          </w:p>
        </w:tc>
        <w:tc>
          <w:tcPr>
            <w:tcW w:w="146"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37"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keepNext w:val="false"/>
              <w:widowControl/>
              <w:pBdr/>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03" w:type="dxa"/>
            <w:tcBorders/>
            <w:shd w:fill="auto" w:val="clear"/>
            <w:vAlign w:val="bottom"/>
          </w:tcPr>
          <w:p>
            <w:pPr>
              <w:pStyle w:val="TableContents"/>
              <w:spacing w:before="0" w:after="283"/>
              <w:rPr/>
            </w:pPr>
            <w:r>
              <w:rPr/>
              <w:t> </w:t>
            </w:r>
          </w:p>
        </w:tc>
      </w:tr>
    </w:tbl>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underwriting agreement provides that the underwriters’ obligation to purchase ordinary shares depends on the satisfaction of the conditions contained in the underwriting agreement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obligation to purchase all of the ordinary shares offered hereby, if any of the shares are purchased;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representations and warranties made by us and the selling shareholder to the underwriters are true;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no material change in our business or the financial markets;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delivery of customary closing documents to the underwriters.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our expenses for the offering, excluding underwriting discounts and commissions, will be approximately $700,000.</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 to Purchase Additional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the underwriters an option exercisable for 30 days after the date of this prospectus supplement to purchase, from time to time, in whole or in part, up to an aggregate of 330,855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all of our directors and executive officers and the selling shareholder have agreed that, for a period of 90 days after the date of this prospectus supplement subject to certain limited exceptions, including those described below, we and they will not directly or indirectly, without the prior written consent of each of Citigroup Global Markets Inc., Barclays Capital Inc., Goldman Sachs &amp; Co. LLC and Morgan Stanley &amp; Co. LLC,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and with respect to our directors and executive officers, ordinary shares sold pursuant to pre-existing plans established pursuant to Rule 10b5-1 under the Exchange Act),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Citigroup Global Markets Inc., Barclays Capital Inc., Goldman Sachs &amp; Co. LLC and Morgan Stanley &amp; Co. LLC,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Barclays Capital Inc., Goldman Sachs &amp; Co. LLC and Morgan Stanley &amp; Co. LLC will consider, among other factors, the holder’s reasons for requesting the release, the number of ordinary shares and other securities for which the release is being requested and market conditions at the time.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Indemnification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the selling shareholder have agreed to indemnify the underwriters against certain liabilities, including liabilities under the Securities Act, and to contribute to payments that the underwriters may be required to make for these liabilities.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Stabilization, Short Positions and Penalty Bids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Stabilizing transactions permit bids to purchase the underlying security so long as the stabilizing bids do not exceed a specified maximum.</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 short position involves a sale by the underwriters of shares in excess of the number of shares the underwriters are obligated to purchase in the offering, which creates the syndicate short position. This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Syndicate covering transactions involve purchases of the ordinary shares in the open market after the distribution has been completed in order to cover syndicate short positions.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Market Making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Distribution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 on the Nasdaq Global Select Market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(including the offered shares) are listed on the Nasdaq Global Select Market under the symbol “KRNT.”</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Stamp Taxes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S-19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keepNext w:val="true"/>
        <w:pageBreakBefore w:val="false"/>
        <w:widowControl/>
        <w:pBdr/>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 Outside the United States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Canada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European Economic Area and the United Kingdom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the FCA Handbook Conduct of Business Sourcebook (“COBS”) and Regulation (EU) No. 600/2014 as it forms part of domestic law by virtue of the EUWA (“UK MiFIR”), respectively;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or the FCA Handbook Product Intervention and Product Governance Sourcebook (the “UK MiFIR Product Governance Rules”) is responsible for undertaking its own target market assessment in respect of the securities (by either adopting or refining the manufacturer’s target market assessment) and determining appropriate distribution channels. None of we, the selling stockholders or any of the underwriters make or makes any representations or warranties as to a distributor’s compliance with MiFID II or the UK MiFIR Product Governance Rules.</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European Economic Area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each member state of the European Economic Area (each, a “Relevant State”), an offer to the public of any securities which are the subject of the offering contemplated by this prospectus supplement may not be made in that Relevant State, except that an offer to the public in that Relevant State of any securities may be made at any time under the following exemptions under Article 2(e) of Regulation (EU) 2017/1129 (as amended, the “Prospectus Regulation”):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any legal entity which is a “qualified investor” as defined in the Prospectus Regulation;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fewer than 150 natural or legal persons (other than qualified investors as defined in the Prospectus Regulation), as permitted under the Prospectus Regulation, subject to obtaining the prior consent of the underwriters or the underwriters nominated by us for any such offer;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any other circumstances falling within Article 1(4) of the Prospectus Regulation,</w:t>
      </w:r>
    </w:p>
    <w:p>
      <w:pPr>
        <w:pStyle w:val="TextBody"/>
        <w:keepNext w:val="false"/>
        <w:pageBreakBefore w:val="false"/>
        <w:widowControl/>
        <w:pBdr/>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provided that no such offer of ordinary shares shall require us, the selling stockholders or any of the underwriters to publish a prospectus pursuant to Article 3 of the Prospectus Regulation or supplement a prospectus pursuant to Article 23 of the Prospectus Regulation and each person who initially acquires any ordinary shares or to whom any offer is made will be deemed to have represented, acknowledged and agreed to and with each of the underwriters that it is a “qualified investor” within the meaning of Article 2(e) of the Prospectus Regulation.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of ordinary shares to the public” in relation to the ordinary shares in any Relevant State means the communication in any form and by any means of sufficient information on the terms of the offer and the ordinary shares to be offered, so as to enable an investor to decide to purchase or subscribe the ordinary shares and the expression “Prospectus Regulation” means Regulation (EU) 2017/1129.</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United Kingdom</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is only being distributed to, and is only directed at, persons in the United Kingdom that are (i) investment professionals, as such term is defined in Article 19(5) of the Financial Services and Markets Act 2000 (Financial Promotion) Order 2005, as amended (the “Financial Promotion Order”), (ii) are persons falling within Article 49(2)(a) to (d) of the Financial Promotion Order, or (iii) are persons to whom an invitation or inducement to engage in investment activity (within the meaning of Section 21 of the Financial Services and Markets Act 2000 in connection with the issue or sale of any ordinary shares may otherwise be lawfully communicated or caused to be communicated (all such persons together being referred to as “relevant persons”).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Israel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document does not constitute a prospectus under the Israeli Securities Law, 5728-1968, or the Israeli Securities Law, and has not been filed with or approved by the Israel Securities Authority. In Israel, this document is being distributed only to, and is directed only at, and any offer of the securities offered hereby is directed only at, (i) a limited number of persons in accordance with the Israeli Securities Law and/or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shall be required to submit written confirmation that they fall within the scope of the Addendum, are aware of the meaning of same and agree to it.</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Hong Kong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Singapore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pStyle w:val="TextBody"/>
        <w:keepNext w:val="true"/>
        <w:pageBreakBefore w:val="false"/>
        <w:widowControl/>
        <w:pBdr/>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Japan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1" w:name="T609"/>
      <w:bookmarkEnd w:id="11"/>
      <w:r>
        <w:rPr>
          <w:rFonts w:ascii="Times New Roman PS Std;serif" w:hAnsi="Times New Roman PS Std;serif"/>
          <w:b/>
          <w:i w:val="false"/>
          <w:caps/>
          <w:sz w:val="20"/>
        </w:rPr>
        <w:t>Legal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ordinary shares being offered by this prospectus supplement and other legal matters concerning this offering relating to Israeli law will be passed upon for us by Meitar Law Offices, Ramat Gan, Israel. Certain legal matters in connection with this offering relating to U.S. law will be passed upon for us by White &amp; Case LLP, New York, New York. Certain legal matters in connection with this offering will be passed upon for the underwriters by Gornitzky &amp; Co., Tel Aviv, Israel, with respect to Israeli law, and by Skadden, Arps, Slate, Meagher &amp; Flom LLP, New York, New York, with respect to U.S. law.</w:t>
      </w:r>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2" w:name="T610"/>
      <w:bookmarkEnd w:id="12"/>
      <w:r>
        <w:rPr>
          <w:rFonts w:ascii="Times New Roman PS Std;serif" w:hAnsi="Times New Roman PS Std;serif"/>
          <w:b/>
          <w:i w:val="false"/>
          <w:caps/>
          <w:sz w:val="20"/>
        </w:rPr>
        <w:t>Experts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Kornit Digital Ltd. incorporated by reference in this prospectus supplement by reference to Kornit Digital Ltd.’s Annual Report on Form 20-F for the year ended December 31, 2020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3" w:name="T611"/>
      <w:bookmarkEnd w:id="13"/>
      <w:r>
        <w:rPr>
          <w:rFonts w:ascii="Times New Roman PS Std;serif" w:hAnsi="Times New Roman PS Std;serif"/>
          <w:b/>
          <w:i w:val="false"/>
          <w:caps/>
          <w:sz w:val="20"/>
        </w:rPr>
        <w:t>Enforceability of Civil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irrevocably appointed Kornit Digital North America Inc. as our agent to receive service of process in any action against us in any United States federal or state court arising out of the offering under this prospectus supplement or any purchase or sale of securities in connection with any such offering. Subject to specified time limitations, legal procedures and certain exceptions, Israeli courts may enforce a United States judgment in a civil matter which is non-appealable, including a judgment based upon the civil liability provisions of the Securities Act or the Exchange Act and including a monetary or compensatory judgment in a non-civil matter, provided that,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obtained after due process before a court of competent jurisdiction, according to the laws of the state in which the judgment is given and the rules of private international law prevailing in Israel;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executory in the state in which it was given;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prevailing law of the foreign state in which the judgment is rendered allows for the enforcement of judgments of Israeli courts;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adequate service of process has been effected and the defendant has had a reasonable opportunity to be heard and to present his or her evidence;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not contrary to public policy of Israel, and the enforcement of the civil liabilities set forth in the judgment is not likely to impair the security or sovereignty of Israel;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was not obtained by fraud and does not conflict with any other valid judgment in the same matter between the same parties;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action between the same parties in the same matter was not pending in any Israeli court at the time at which the lawsuit was instituted in the foreign court;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enforceable according to the laws of Israel and according to the law of the foreign state in which the relief was granted.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4" w:name="T612"/>
      <w:bookmarkEnd w:id="14"/>
      <w:r>
        <w:rPr>
          <w:rFonts w:ascii="Times New Roman PS Std;serif" w:hAnsi="Times New Roman PS Std;serif"/>
          <w:b/>
          <w:i w:val="false"/>
          <w:caps/>
          <w:sz w:val="20"/>
        </w:rPr>
        <w:t>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 website that contains reports, proxy and information statements and other information about issuers, such as us, who file electronically with the SEC. The address of that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website at </w:t>
      </w:r>
      <w:r>
        <w:rPr>
          <w:rFonts w:ascii="Times New Roman PS Std;serif" w:hAnsi="Times New Roman PS Std;serif"/>
          <w:b w:val="false"/>
          <w:i/>
          <w:caps w:val="false"/>
          <w:smallCaps w:val="false"/>
          <w:sz w:val="20"/>
        </w:rPr>
        <w:t xml:space="preserve">www.kornit.com. </w:t>
      </w:r>
      <w:r>
        <w:rPr>
          <w:rFonts w:ascii="Times New Roman PS Std;serif" w:hAnsi="Times New Roman PS Std;serif"/>
          <w:b w:val="false"/>
          <w:i w:val="false"/>
          <w:caps w:val="false"/>
          <w:smallCaps w:val="false"/>
          <w:sz w:val="20"/>
        </w:rPr>
        <w:t>Information contained on, or that can be accessed through, our website does not constitute a part of this prospectus supplement or the accompanying prospectus. We have included our website address in this prospectus supplement solely as an inactive textual reference.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sz w:val="20"/>
        </w:rPr>
      </w:pPr>
      <w:bookmarkStart w:id="15" w:name="T613"/>
      <w:bookmarkEnd w:id="15"/>
      <w:r>
        <w:rPr>
          <w:rFonts w:ascii="Times New Roman PS Std;serif" w:hAnsi="Times New Roman PS Std;serif"/>
          <w:b/>
          <w:i w:val="false"/>
          <w:caps/>
          <w:sz w:val="20"/>
        </w:rPr>
        <w:t>Incorporation of Certain Documents By Reference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annual report on Form 20-F for the fiscal year ended December 31, 2020, filed with the SEC on March 25, 2021 (the “2020 Form 20-F”);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solely with respect to the portions specified therein, our reports of foreign private issuer on Form 6-K furnished to the SEC on:</w:t>
      </w:r>
    </w:p>
    <w:p>
      <w:pPr>
        <w:pStyle w:val="TextBody"/>
        <w:keepNext w:val="false"/>
        <w:pageBreakBefore w:val="false"/>
        <w:widowControl/>
        <w:pBdr/>
        <w:spacing w:before="160" w:after="283"/>
        <w:ind w:left="1440" w:right="0" w:hanging="480"/>
        <w:jc w:val="both"/>
        <w:rPr/>
      </w:pPr>
      <w:r>
        <w:rPr>
          <w:caps w:val="false"/>
          <w:smallCaps w:val="false"/>
        </w:rPr>
        <w:t>•        </w:t>
      </w:r>
      <w:hyperlink r:id="rId2">
        <w:r>
          <w:rPr>
            <w:rStyle w:val="InternetLink"/>
            <w:rFonts w:ascii="Times New Roman PS Std;serif" w:hAnsi="Times New Roman PS Std;serif"/>
            <w:b w:val="false"/>
            <w:i w:val="false"/>
            <w:caps w:val="false"/>
            <w:smallCaps w:val="false"/>
            <w:color w:val="215E9E"/>
            <w:sz w:val="20"/>
            <w:u w:val="single"/>
          </w:rPr>
          <w:t>April 26,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3">
        <w:r>
          <w:rPr>
            <w:rStyle w:val="InternetLink"/>
            <w:rFonts w:ascii="Times New Roman PS Std;serif" w:hAnsi="Times New Roman PS Std;serif"/>
            <w:b w:val="false"/>
            <w:i w:val="false"/>
            <w:caps w:val="false"/>
            <w:smallCaps w:val="false"/>
            <w:color w:val="215E9E"/>
            <w:sz w:val="20"/>
            <w:u w:val="single"/>
          </w:rPr>
          <w:t>May 11, 2021</w:t>
        </w:r>
      </w:hyperlink>
      <w:r>
        <w:rPr>
          <w:rFonts w:ascii="Times New Roman PS Std;serif" w:hAnsi="Times New Roman PS Std;serif"/>
          <w:b w:val="false"/>
          <w:i w:val="false"/>
          <w:caps w:val="false"/>
          <w:smallCaps w:val="false"/>
          <w:sz w:val="20"/>
        </w:rPr>
        <w:t>, as amended (solely with respect to (i) the portions specified therein, (ii) the paragraph under the caption “Non-GAAP Discussion Disclosure” and (iii) the table under “Reconciliation of GAAP to Non-GAAP Consolidated Statements Of Operations”);</w:t>
      </w:r>
    </w:p>
    <w:p>
      <w:pPr>
        <w:pStyle w:val="TextBody"/>
        <w:keepNext w:val="false"/>
        <w:pageBreakBefore w:val="false"/>
        <w:widowControl/>
        <w:pBdr/>
        <w:spacing w:before="160" w:after="283"/>
        <w:ind w:left="1440" w:right="0" w:hanging="480"/>
        <w:jc w:val="both"/>
        <w:rPr/>
      </w:pPr>
      <w:r>
        <w:rPr>
          <w:caps w:val="false"/>
          <w:smallCaps w:val="false"/>
        </w:rPr>
        <w:t>•        </w:t>
      </w:r>
      <w:hyperlink r:id="rId4">
        <w:r>
          <w:rPr>
            <w:rStyle w:val="InternetLink"/>
            <w:rFonts w:ascii="Times New Roman PS Std;serif" w:hAnsi="Times New Roman PS Std;serif"/>
            <w:b w:val="false"/>
            <w:i w:val="false"/>
            <w:caps w:val="false"/>
            <w:smallCaps w:val="false"/>
            <w:color w:val="215E9E"/>
            <w:sz w:val="20"/>
            <w:u w:val="single"/>
          </w:rPr>
          <w:t>July 7,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5">
        <w:r>
          <w:rPr>
            <w:rStyle w:val="InternetLink"/>
            <w:rFonts w:ascii="Times New Roman PS Std;serif" w:hAnsi="Times New Roman PS Std;serif"/>
            <w:b w:val="false"/>
            <w:i w:val="false"/>
            <w:caps w:val="false"/>
            <w:smallCaps w:val="false"/>
            <w:color w:val="215E9E"/>
            <w:sz w:val="20"/>
            <w:u w:val="single"/>
          </w:rPr>
          <w:t>August 10, 2021</w:t>
        </w:r>
      </w:hyperlink>
      <w:r>
        <w:rPr>
          <w:rFonts w:ascii="Times New Roman PS Std;serif" w:hAnsi="Times New Roman PS Std;serif"/>
          <w:b w:val="false"/>
          <w:i w:val="false"/>
          <w:caps w:val="false"/>
          <w:smallCaps w:val="false"/>
          <w:sz w:val="20"/>
        </w:rPr>
        <w:t xml:space="preserve"> (solely with respect to (i) the portions specified therein, (ii) the paragraph under the caption “Non-GAAP Discussion Disclosure” and (iii) the table under “Reconciliation of GAAP to Non-GAAP Consolidated Statements Of Operations”);</w:t>
      </w:r>
    </w:p>
    <w:p>
      <w:pPr>
        <w:pStyle w:val="TextBody"/>
        <w:keepNext w:val="false"/>
        <w:pageBreakBefore w:val="false"/>
        <w:widowControl/>
        <w:pBdr/>
        <w:spacing w:before="160" w:after="283"/>
        <w:ind w:left="1440" w:right="0" w:hanging="480"/>
        <w:jc w:val="both"/>
        <w:rPr/>
      </w:pPr>
      <w:r>
        <w:rPr>
          <w:caps w:val="false"/>
          <w:smallCaps w:val="false"/>
        </w:rPr>
        <w:t>•        </w:t>
      </w:r>
      <w:hyperlink r:id="rId6">
        <w:r>
          <w:rPr>
            <w:rStyle w:val="InternetLink"/>
            <w:rFonts w:ascii="Times New Roman PS Std;serif" w:hAnsi="Times New Roman PS Std;serif"/>
            <w:b w:val="false"/>
            <w:i w:val="false"/>
            <w:caps w:val="false"/>
            <w:smallCaps w:val="false"/>
            <w:color w:val="215E9E"/>
            <w:sz w:val="20"/>
            <w:u w:val="single"/>
          </w:rPr>
          <w:t>August 10,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7">
        <w:r>
          <w:rPr>
            <w:rStyle w:val="InternetLink"/>
            <w:rFonts w:ascii="Times New Roman PS Std;serif" w:hAnsi="Times New Roman PS Std;serif"/>
            <w:b w:val="false"/>
            <w:i w:val="false"/>
            <w:caps w:val="false"/>
            <w:smallCaps w:val="false"/>
            <w:color w:val="215E9E"/>
            <w:sz w:val="20"/>
            <w:u w:val="single"/>
          </w:rPr>
          <w:t>August 12,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8">
        <w:r>
          <w:rPr>
            <w:rStyle w:val="InternetLink"/>
            <w:rFonts w:ascii="Times New Roman PS Std;serif" w:hAnsi="Times New Roman PS Std;serif"/>
            <w:b w:val="false"/>
            <w:i w:val="false"/>
            <w:caps w:val="false"/>
            <w:smallCaps w:val="false"/>
            <w:color w:val="215E9E"/>
            <w:sz w:val="20"/>
            <w:u w:val="single"/>
          </w:rPr>
          <w:t>October 20,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9">
        <w:r>
          <w:rPr>
            <w:rStyle w:val="InternetLink"/>
            <w:rFonts w:ascii="Times New Roman PS Std;serif" w:hAnsi="Times New Roman PS Std;serif"/>
            <w:b w:val="false"/>
            <w:i w:val="false"/>
            <w:caps w:val="false"/>
            <w:smallCaps w:val="false"/>
            <w:color w:val="215E9E"/>
            <w:sz w:val="20"/>
            <w:u w:val="single"/>
          </w:rPr>
          <w:t>October 21,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10">
        <w:r>
          <w:rPr>
            <w:rStyle w:val="InternetLink"/>
            <w:rFonts w:ascii="Times New Roman PS Std;serif" w:hAnsi="Times New Roman PS Std;serif"/>
            <w:b w:val="false"/>
            <w:i w:val="false"/>
            <w:caps w:val="false"/>
            <w:smallCaps w:val="false"/>
            <w:color w:val="215E9E"/>
            <w:sz w:val="20"/>
            <w:u w:val="single"/>
          </w:rPr>
          <w:t>November 1, 2021</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11">
        <w:r>
          <w:rPr>
            <w:rStyle w:val="InternetLink"/>
            <w:rFonts w:ascii="Times New Roman PS Std;serif" w:hAnsi="Times New Roman PS Std;serif"/>
            <w:b w:val="false"/>
            <w:i w:val="false"/>
            <w:caps w:val="false"/>
            <w:smallCaps w:val="false"/>
            <w:color w:val="215E9E"/>
            <w:sz w:val="20"/>
            <w:u w:val="single"/>
          </w:rPr>
          <w:t>November 10, 2021</w:t>
        </w:r>
      </w:hyperlink>
      <w:r>
        <w:rPr>
          <w:rFonts w:ascii="Times New Roman PS Std;serif" w:hAnsi="Times New Roman PS Std;serif"/>
          <w:b w:val="false"/>
          <w:i w:val="false"/>
          <w:caps w:val="false"/>
          <w:smallCaps w:val="false"/>
          <w:sz w:val="20"/>
        </w:rPr>
        <w:t xml:space="preserve"> (solely with respect to (i) the portions specified therein, (ii) the paragraph under the caption “Non-GAAP Discussion Disclosure” and (iii) the table under “Reconciliation of GAAP to Non-GAAP Consolidated Statements Of Operations”); and</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November 16, 2021 (solely with respect to the portions specified therein).</w:t>
      </w:r>
    </w:p>
    <w:p>
      <w:pPr>
        <w:pStyle w:val="TextBody"/>
        <w:keepNext w:val="false"/>
        <w:pageBreakBefore w:val="false"/>
        <w:widowControl/>
        <w:pBdr/>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ordinary shares contained under the heading “Item 1. Description of Registrant’s Securities to be Registered” in our registration statement on </w:t>
      </w:r>
      <w:hyperlink r:id="rId12">
        <w:r>
          <w:rPr>
            <w:rStyle w:val="InternetLink"/>
            <w:rFonts w:ascii="Times New Roman PS Std;serif" w:hAnsi="Times New Roman PS Std;serif"/>
            <w:b w:val="false"/>
            <w:i w:val="false"/>
            <w:caps w:val="false"/>
            <w:smallCaps w:val="false"/>
            <w:color w:val="215E9E"/>
            <w:sz w:val="20"/>
            <w:u w:val="single"/>
          </w:rPr>
          <w:t>Form 8-A</w:t>
        </w:r>
      </w:hyperlink>
      <w:r>
        <w:rPr>
          <w:rFonts w:ascii="Times New Roman PS Std;serif" w:hAnsi="Times New Roman PS Std;serif"/>
          <w:b w:val="false"/>
          <w:i w:val="false"/>
          <w:caps w:val="false"/>
          <w:smallCaps w:val="false"/>
          <w:sz w:val="20"/>
        </w:rPr>
        <w:t xml:space="preserve">, as filed with the SEC on March 31, 2015, as updated by </w:t>
      </w:r>
      <w:hyperlink r:id="rId13">
        <w:r>
          <w:rPr>
            <w:rStyle w:val="InternetLink"/>
            <w:rFonts w:ascii="Times New Roman PS Std;serif" w:hAnsi="Times New Roman PS Std;serif"/>
            <w:b w:val="false"/>
            <w:i w:val="false"/>
            <w:caps w:val="false"/>
            <w:smallCaps w:val="false"/>
            <w:color w:val="215E9E"/>
            <w:sz w:val="20"/>
            <w:u w:val="single"/>
          </w:rPr>
          <w:t>Exhibit 2.2</w:t>
        </w:r>
      </w:hyperlink>
      <w:r>
        <w:rPr>
          <w:rFonts w:ascii="Times New Roman PS Std;serif" w:hAnsi="Times New Roman PS Std;serif"/>
          <w:b w:val="false"/>
          <w:i w:val="false"/>
          <w:caps w:val="false"/>
          <w:smallCaps w:val="false"/>
          <w:sz w:val="20"/>
        </w:rPr>
        <w:t xml:space="preserve"> to the 2020 Form 20-F (“Description of Ordinary Shares of Kornit Digital Ltd.”), including any subsequent amendment or any report filed for the purpose of further updating such description.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Kornit Digital Ltd.</w:t>
        <w:br/>
        <w:t>Attention: Chief Financial Officer</w:t>
        <w:br/>
        <w:t>12 Ha’Amal Street, Afek Park</w:t>
        <w:br/>
        <w:t>Rosh Ha’Ayin 4809246, Israel</w:t>
        <w:br/>
        <w:t>Tel: +972-3-908-5800</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S-28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PROSPECTUS</w:t>
      </w:r>
    </w:p>
    <w:p>
      <w:pPr>
        <w:pStyle w:val="TextBody"/>
        <w:keepNext w:val="false"/>
        <w:pageBreakBefore w:val="false"/>
        <w:widowControl/>
        <w:pBdr/>
        <w:spacing w:before="240" w:after="283"/>
        <w:jc w:val="center"/>
        <w:rPr>
          <w:caps w:val="false"/>
          <w:smallCaps w:val="false"/>
        </w:rPr>
      </w:pPr>
      <w:r>
        <w:rPr>
          <w:caps w:val="false"/>
          <w:smallCaps w:val="false"/>
        </w:rPr>
        <w:drawing>
          <wp:inline distT="0" distB="0" distL="0" distR="0">
            <wp:extent cx="179070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1790700" cy="1104900"/>
                    </a:xfrm>
                    <a:prstGeom prst="rect">
                      <a:avLst/>
                    </a:prstGeom>
                  </pic:spPr>
                </pic:pic>
              </a:graphicData>
            </a:graphic>
          </wp:inline>
        </w:drawing>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2,932,176 Ordinary Shares Offered by the Selling Shareholder</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Ordinary Shares Offered by the Company</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may offer ordinary shares from time to time in one or more issuances. In addition, the selling shareholder named in this prospectus may offer and sell up to 2,932,176 of our ordinary shares. We will not receive any of the proceeds from the sale of ordinary shares by the selling shareholder.</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We are registering the sale of ordinary shares proposed to be sold by the selling shareholder pursuant to registration rights that we have granted to such shareholder. These ordinary shares underlie a warrant that we have issued to the selling shareholder. The selling shareholder may offer and sell ordinary shares in public or private transactions, or both. These sales may occur at fixed prices, at market prices prevailing at the time of sale, at prices related to prevailing market prices, or at negotiated prices. See “Plan of Distribution.”</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This prospectus describes the general manner in which the shares will be offered. Each time we or, if required under the Securities Act of 1933, as amended, the selling shareholder, sells securities pursuant to this prospectus, we will provide a supplement to this prospectus that contains specific information about the offering.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Our ordinary shares are traded on the Nasdaq Global Select Market under the symbol “KRNT.” The closing price of our ordinary shares, as reported on the Nasdaq Global Select Market on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11, 2020 was $60.26.</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spacing w:before="2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2"/>
        </w:rPr>
        <w:t>Investing in our ordinary shares involves certain risks. Please carefully consider the “Risk Factors” in Item 3 of our most recent annual report on Form 20-F</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2"/>
        </w:rPr>
        <w:t>incorporated by reference in this prospectus and in any applicable supplement to this prospectus, for a discussion of the factors you should consider carefully before deciding to purchase these ordinary shares.</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spacing w:before="240" w:after="283"/>
        <w:ind w:left="0" w:right="0" w:firstLine="480"/>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pStyle w:val="TextBody"/>
        <w:keepNext w:val="false"/>
        <w:pageBreakBefore w:val="false"/>
        <w:widowControl/>
        <w:pBdr/>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w:t>
      </w:r>
    </w:p>
    <w:p>
      <w:pPr>
        <w:pStyle w:val="TextBody"/>
        <w:keepNext w:val="false"/>
        <w:pageBreakBefore w:val="false"/>
        <w:widowControl/>
        <w:pBdr/>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The date of this prospectus is September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14, 2020</w:t>
      </w:r>
      <w:r>
        <w:br w:type="page"/>
      </w:r>
    </w:p>
    <w:p>
      <w:pPr>
        <w:pStyle w:val="TextBody"/>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TABLE OF CONTENTS</w:t>
      </w:r>
    </w:p>
    <w:tbl>
      <w:tblPr>
        <w:tblW w:w="5773" w:type="dxa"/>
        <w:jc w:val="left"/>
        <w:tblInd w:w="0" w:type="dxa"/>
        <w:tblCellMar>
          <w:top w:w="0" w:type="dxa"/>
          <w:left w:w="0" w:type="dxa"/>
          <w:bottom w:w="0" w:type="dxa"/>
          <w:right w:w="0" w:type="dxa"/>
        </w:tblCellMar>
      </w:tblPr>
      <w:tblGrid>
        <w:gridCol w:w="4966"/>
        <w:gridCol w:w="146"/>
        <w:gridCol w:w="661"/>
      </w:tblGrid>
      <w:tr>
        <w:trPr/>
        <w:tc>
          <w:tcPr>
            <w:tcW w:w="4966"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1">
              <w:r>
                <w:rPr>
                  <w:rStyle w:val="InternetLink"/>
                  <w:rFonts w:ascii="Times New Roman PS Std;serif" w:hAnsi="Times New Roman PS Std;serif"/>
                  <w:b w:val="false"/>
                  <w:i w:val="false"/>
                  <w:caps w:val="false"/>
                  <w:smallCaps w:val="false"/>
                  <w:sz w:val="20"/>
                </w:rPr>
                <w:t>About this Prospectus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2">
              <w:r>
                <w:rPr>
                  <w:rStyle w:val="InternetLink"/>
                  <w:rFonts w:ascii="Times New Roman PS Std;serif" w:hAnsi="Times New Roman PS Std;serif"/>
                  <w:b w:val="false"/>
                  <w:i w:val="false"/>
                  <w:caps w:val="false"/>
                  <w:smallCaps w:val="false"/>
                  <w:sz w:val="20"/>
                </w:rPr>
                <w:t>Kornit Digital Ltd.</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3">
              <w:r>
                <w:rPr>
                  <w:rStyle w:val="InternetLink"/>
                  <w:rFonts w:ascii="Times New Roman PS Std;serif" w:hAnsi="Times New Roman PS Std;serif"/>
                  <w:b w:val="false"/>
                  <w:i w:val="false"/>
                  <w:caps w:val="false"/>
                  <w:smallCaps w:val="false"/>
                  <w:sz w:val="20"/>
                </w:rPr>
                <w:t>Risk Factors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4">
              <w:r>
                <w:rPr>
                  <w:rStyle w:val="InternetLink"/>
                  <w:rFonts w:ascii="Times New Roman PS Std;serif" w:hAnsi="Times New Roman PS Std;serif"/>
                  <w:b w:val="false"/>
                  <w:i w:val="false"/>
                  <w:caps w:val="false"/>
                  <w:smallCaps w:val="false"/>
                  <w:sz w:val="20"/>
                </w:rPr>
                <w:t>Forward-Looking Statements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5">
              <w:r>
                <w:rPr>
                  <w:rStyle w:val="InternetLink"/>
                  <w:rFonts w:ascii="Times New Roman PS Std;serif" w:hAnsi="Times New Roman PS Std;serif"/>
                  <w:b w:val="false"/>
                  <w:i w:val="false"/>
                  <w:caps w:val="false"/>
                  <w:smallCaps w:val="false"/>
                  <w:sz w:val="20"/>
                </w:rPr>
                <w:t>Use of Proceeds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6">
              <w:r>
                <w:rPr>
                  <w:rStyle w:val="InternetLink"/>
                  <w:rFonts w:ascii="Times New Roman PS Std;serif" w:hAnsi="Times New Roman PS Std;serif"/>
                  <w:b w:val="false"/>
                  <w:i w:val="false"/>
                  <w:caps w:val="false"/>
                  <w:smallCaps w:val="false"/>
                  <w:sz w:val="20"/>
                </w:rPr>
                <w:t>Description of Ordinary Shares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7">
              <w:r>
                <w:rPr>
                  <w:rStyle w:val="InternetLink"/>
                  <w:rFonts w:ascii="Times New Roman PS Std;serif" w:hAnsi="Times New Roman PS Std;serif"/>
                  <w:b w:val="false"/>
                  <w:i w:val="false"/>
                  <w:caps w:val="false"/>
                  <w:smallCaps w:val="false"/>
                  <w:sz w:val="20"/>
                </w:rPr>
                <w:t>Plan of Distribution</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08">
              <w:r>
                <w:rPr>
                  <w:rStyle w:val="InternetLink"/>
                  <w:rFonts w:ascii="Times New Roman PS Std;serif" w:hAnsi="Times New Roman PS Std;serif"/>
                  <w:b w:val="false"/>
                  <w:i w:val="false"/>
                  <w:caps w:val="false"/>
                  <w:smallCaps w:val="false"/>
                  <w:sz w:val="20"/>
                </w:rPr>
                <w:t>Legal Matters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09">
              <w:r>
                <w:rPr>
                  <w:rStyle w:val="InternetLink"/>
                  <w:rFonts w:ascii="Times New Roman PS Std;serif" w:hAnsi="Times New Roman PS Std;serif"/>
                  <w:b w:val="false"/>
                  <w:i w:val="false"/>
                  <w:caps w:val="false"/>
                  <w:smallCaps w:val="false"/>
                  <w:sz w:val="20"/>
                </w:rPr>
                <w:t>Experts</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Where You Can Find More Information</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4966" w:type="dxa"/>
            <w:tcBorders/>
            <w:shd w:fill="CCEEFF" w:val="clear"/>
            <w:vAlign w:val="bottom"/>
          </w:tcPr>
          <w:p>
            <w:pPr>
              <w:pStyle w:val="TableContents"/>
              <w:keepNext w:val="false"/>
              <w:widowControl/>
              <w:pBdr/>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Incorporation of Certain Documents By Reference</w:t>
              </w:r>
            </w:hyperlink>
          </w:p>
        </w:tc>
        <w:tc>
          <w:tcPr>
            <w:tcW w:w="146"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4966" w:type="dxa"/>
            <w:tcBorders/>
            <w:shd w:fill="auto" w:val="clear"/>
            <w:vAlign w:val="bottom"/>
          </w:tcPr>
          <w:p>
            <w:pPr>
              <w:pStyle w:val="TableContents"/>
              <w:keepNext w:val="false"/>
              <w:widowControl/>
              <w:pBdr/>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Enforceability of Civil Liabilities</w:t>
              </w:r>
            </w:hyperlink>
          </w:p>
        </w:tc>
        <w:tc>
          <w:tcPr>
            <w:tcW w:w="146"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bl>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br w:type="page"/>
      </w:r>
      <w:r>
        <w:rPr>
          <w:rFonts w:ascii="TimesNewRomanPSStd-Regular" w:hAnsi="TimesNewRomanPSStd-Regular"/>
          <w:b w:val="false"/>
          <w:i w:val="false"/>
          <w:caps w:val="false"/>
          <w:smallCaps w:val="false"/>
          <w:color w:val="000000"/>
          <w:sz w:val="20"/>
        </w:rPr>
        <w:t>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6" w:name="T01"/>
      <w:bookmarkEnd w:id="16"/>
      <w:r>
        <w:rPr>
          <w:rFonts w:ascii="Times New Roman PS Std;serif" w:hAnsi="Times New Roman PS Std;serif"/>
          <w:b/>
          <w:i w:val="false"/>
          <w:caps w:val="false"/>
          <w:smallCaps w:val="false"/>
          <w:sz w:val="20"/>
        </w:rPr>
        <w:t>ABOUT THIS PROSPECTUS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7" w:name="T02"/>
      <w:bookmarkEnd w:id="17"/>
      <w:r>
        <w:rPr>
          <w:rFonts w:ascii="Times New Roman PS Std;serif" w:hAnsi="Times New Roman PS Std;serif"/>
          <w:b/>
          <w:i w:val="false"/>
          <w:caps w:val="false"/>
          <w:smallCaps w:val="false"/>
          <w:sz w:val="20"/>
        </w:rPr>
        <w:t>KORNIT DIGITAL LTD.</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develop, manufacture and market innovative digital printing solutions for the global printed textile industry, with a major focus on the fashion, apparel and home décor segments of the industry.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vision is to create a world where everybody can bond, design and express their identities, one impression at a time.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Times New Roman PS Std;serif" w:hAnsi="Times New Roman PS Std;serif"/>
          <w:b w:val="false"/>
          <w:i/>
          <w:caps w:val="false"/>
          <w:smallCaps w:val="false"/>
          <w:sz w:val="20"/>
        </w:rPr>
        <w:t>www.kornit.com</w:t>
      </w:r>
      <w:r>
        <w:rPr>
          <w:rFonts w:ascii="Times New Roman PS Std;serif" w:hAnsi="Times New Roman PS Std;serif"/>
          <w:b w:val="false"/>
          <w:i w:val="false"/>
          <w:caps w:val="false"/>
          <w:smallCaps w:val="false"/>
          <w:sz w:val="20"/>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8" w:name="T03"/>
      <w:bookmarkEnd w:id="18"/>
      <w:r>
        <w:rPr>
          <w:rFonts w:ascii="Times New Roman PS Std;serif" w:hAnsi="Times New Roman PS Std;serif"/>
          <w:b/>
          <w:i w:val="false"/>
          <w:caps w:val="false"/>
          <w:smallCaps w:val="false"/>
          <w:sz w:val="20"/>
        </w:rPr>
        <w:t>RISK FACTORS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2019 and in any other filings we make with the Securities and Exchange Commission (the “SEC”) subsequent to the date of this prospectus which are incorporated herein by reference, and in any supplement to this prospectus, before making your investment decision.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19" w:name="T04"/>
      <w:bookmarkEnd w:id="19"/>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0" w:name="T05"/>
      <w:bookmarkEnd w:id="20"/>
      <w:r>
        <w:rPr>
          <w:rFonts w:ascii="Times New Roman PS Std;serif" w:hAnsi="Times New Roman PS Std;serif"/>
          <w:b/>
          <w:i w:val="false"/>
          <w:caps w:val="false"/>
          <w:smallCaps w:val="false"/>
          <w:sz w:val="20"/>
        </w:rPr>
        <w:t>USE OF PROCEEDS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applicable prospectus supplement, we intend to use the net proceeds from the sale of securities offered by us pursuant to this prospectus for general corporate and working capital purposes.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not receive any proceeds from the sale of ordinary shares by the selling shareholder. </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SHAREHOLDER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the selling shareholder of our ordinary shares as of September 11, 2020. On September 11, we had a total of 41,197,714 of our ordinary shares outstanding.</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to our knowledge, the selling shareholder has sole voting and investment power with respect to all ordinary shares shown as beneficially owned by it.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information regarding our relationships with the selling shareholder and its affiliates, see “Major Shareholders and Related Party Transactions” in our Annual Report on Form 20-F for the year ended December 31, 2019 filed with the SEC on March 23, 2020.</w:t>
      </w:r>
    </w:p>
    <w:tbl>
      <w:tblPr>
        <w:tblW w:w="10205" w:type="dxa"/>
        <w:jc w:val="left"/>
        <w:tblInd w:w="0" w:type="dxa"/>
        <w:tblCellMar>
          <w:top w:w="0" w:type="dxa"/>
          <w:left w:w="0" w:type="dxa"/>
          <w:bottom w:w="0" w:type="dxa"/>
          <w:right w:w="0" w:type="dxa"/>
        </w:tblCellMar>
      </w:tblPr>
      <w:tblGrid>
        <w:gridCol w:w="4245"/>
        <w:gridCol w:w="146"/>
        <w:gridCol w:w="1102"/>
        <w:gridCol w:w="150"/>
        <w:gridCol w:w="583"/>
        <w:gridCol w:w="318"/>
        <w:gridCol w:w="146"/>
        <w:gridCol w:w="1232"/>
        <w:gridCol w:w="146"/>
        <w:gridCol w:w="982"/>
        <w:gridCol w:w="153"/>
        <w:gridCol w:w="1002"/>
      </w:tblGrid>
      <w:tr>
        <w:trPr/>
        <w:tc>
          <w:tcPr>
            <w:tcW w:w="4245"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pPr>
            <w:r>
              <w:rPr/>
              <w:t> </w:t>
            </w:r>
          </w:p>
        </w:tc>
        <w:tc>
          <w:tcPr>
            <w:tcW w:w="2153" w:type="dxa"/>
            <w:gridSpan w:val="4"/>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w:t>
              <w:br/>
              <w:t>Prior to Offering</w:t>
            </w:r>
          </w:p>
        </w:tc>
        <w:tc>
          <w:tcPr>
            <w:tcW w:w="146" w:type="dxa"/>
            <w:tcBorders/>
            <w:shd w:fill="auto" w:val="clear"/>
            <w:vAlign w:val="bottom"/>
          </w:tcPr>
          <w:p>
            <w:pPr>
              <w:pStyle w:val="TableContents"/>
              <w:spacing w:before="0" w:after="283"/>
              <w:rPr/>
            </w:pPr>
            <w:r>
              <w:rPr/>
              <w:t> </w:t>
            </w:r>
          </w:p>
        </w:tc>
        <w:tc>
          <w:tcPr>
            <w:tcW w:w="1232" w:type="dxa"/>
            <w:vMerge w:val="restart"/>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w:t>
              <w:br/>
              <w:t>Offered</w:t>
            </w:r>
          </w:p>
        </w:tc>
        <w:tc>
          <w:tcPr>
            <w:tcW w:w="146" w:type="dxa"/>
            <w:vMerge w:val="restart"/>
            <w:tcBorders/>
            <w:shd w:fill="auto" w:val="clear"/>
            <w:vAlign w:val="bottom"/>
          </w:tcPr>
          <w:p>
            <w:pPr>
              <w:pStyle w:val="TableContents"/>
              <w:spacing w:before="0" w:after="283"/>
              <w:rPr/>
            </w:pPr>
            <w:r>
              <w:rPr/>
              <w:t> </w:t>
            </w:r>
          </w:p>
        </w:tc>
        <w:tc>
          <w:tcPr>
            <w:tcW w:w="2137" w:type="dxa"/>
            <w:gridSpan w:val="3"/>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Beneficially </w:t>
              <w:br/>
              <w:t xml:space="preserve">Owned </w:t>
              <w:br/>
              <w:t>After Offering</w:t>
            </w:r>
          </w:p>
        </w:tc>
      </w:tr>
      <w:tr>
        <w:trPr/>
        <w:tc>
          <w:tcPr>
            <w:tcW w:w="4245" w:type="dxa"/>
            <w:tcBorders/>
            <w:shd w:fill="auto" w:val="clear"/>
            <w:vAlign w:val="bottom"/>
          </w:tcPr>
          <w:p>
            <w:pPr>
              <w:pStyle w:val="TableContents"/>
              <w:keepNext w:val="false"/>
              <w:widowControl/>
              <w:pBdr/>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50" w:type="dxa"/>
            <w:tcBorders/>
            <w:shd w:fill="auto" w:val="clear"/>
            <w:vAlign w:val="bottom"/>
          </w:tcPr>
          <w:p>
            <w:pPr>
              <w:pStyle w:val="TableContents"/>
              <w:spacing w:before="0" w:after="283"/>
              <w:rPr/>
            </w:pPr>
            <w:r>
              <w:rPr/>
              <w:t> </w:t>
            </w:r>
          </w:p>
        </w:tc>
        <w:tc>
          <w:tcPr>
            <w:tcW w:w="901" w:type="dxa"/>
            <w:gridSpan w:val="2"/>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shd w:fill="auto" w:val="clear"/>
            <w:vAlign w:val="bottom"/>
          </w:tcPr>
          <w:p>
            <w:pPr>
              <w:pStyle w:val="TableContents"/>
              <w:spacing w:before="0" w:after="283"/>
              <w:rPr/>
            </w:pPr>
            <w:r>
              <w:rPr/>
              <w:t> </w:t>
            </w:r>
          </w:p>
        </w:tc>
        <w:tc>
          <w:tcPr>
            <w:tcW w:w="1232" w:type="dxa"/>
            <w:vMerge w:val="continue"/>
            <w:tcBorders/>
            <w:shd w:fill="auto" w:val="clear"/>
            <w:vAlign w:val="bottom"/>
          </w:tcPr>
          <w:p>
            <w:pPr>
              <w:pStyle w:val="Normal"/>
              <w:rPr/>
            </w:pPr>
            <w:r>
              <w:rPr/>
            </w:r>
          </w:p>
        </w:tc>
        <w:tc>
          <w:tcPr>
            <w:tcW w:w="146" w:type="dxa"/>
            <w:vMerge w:val="continue"/>
            <w:tcBorders/>
            <w:shd w:fill="auto" w:val="clear"/>
            <w:vAlign w:val="bottom"/>
          </w:tcPr>
          <w:p>
            <w:pPr>
              <w:pStyle w:val="Normal"/>
              <w:rPr/>
            </w:pPr>
            <w:r>
              <w:rPr/>
            </w:r>
          </w:p>
        </w:tc>
        <w:tc>
          <w:tcPr>
            <w:tcW w:w="98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53"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keepNext w:val="false"/>
              <w:widowControl/>
              <w:pBdr/>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4245" w:type="dxa"/>
            <w:tcBorders/>
            <w:shd w:fill="CCEEFF" w:val="clear"/>
            <w:vAlign w:val="bottom"/>
          </w:tcPr>
          <w:p>
            <w:pPr>
              <w:pStyle w:val="TableContents"/>
              <w:keepNext w:val="false"/>
              <w:widowControl/>
              <w:pBdr/>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Amazon.com NV Investment Holdings LLC(1)</w:t>
            </w:r>
          </w:p>
        </w:tc>
        <w:tc>
          <w:tcPr>
            <w:tcW w:w="146"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2,052,507</w:t>
            </w:r>
          </w:p>
        </w:tc>
        <w:tc>
          <w:tcPr>
            <w:tcW w:w="150" w:type="dxa"/>
            <w:tcBorders/>
            <w:shd w:fill="CCEEFF" w:val="clear"/>
            <w:vAlign w:val="bottom"/>
          </w:tcPr>
          <w:p>
            <w:pPr>
              <w:pStyle w:val="TableContents"/>
              <w:spacing w:before="0" w:after="283"/>
              <w:rPr/>
            </w:pPr>
            <w:r>
              <w:rPr/>
              <w:t> </w:t>
            </w:r>
          </w:p>
        </w:tc>
        <w:tc>
          <w:tcPr>
            <w:tcW w:w="583" w:type="dxa"/>
            <w:tcBorders/>
            <w:shd w:fill="CCEEFF" w:val="clear"/>
            <w:vAlign w:val="bottom"/>
          </w:tcPr>
          <w:p>
            <w:pPr>
              <w:pStyle w:val="TableContents"/>
              <w:keepNext w:val="false"/>
              <w:widowControl/>
              <w:pBdr/>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w:t>
            </w:r>
          </w:p>
        </w:tc>
        <w:tc>
          <w:tcPr>
            <w:tcW w:w="318" w:type="dxa"/>
            <w:tcBorders/>
            <w:shd w:fill="CCEEFF" w:val="clear"/>
            <w:vAlign w:val="bottom"/>
          </w:tcPr>
          <w:p>
            <w:pPr>
              <w:pStyle w:val="TableContents"/>
              <w:keepNext w:val="false"/>
              <w:widowControl/>
              <w:pBdr/>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keepNext w:val="false"/>
              <w:widowControl/>
              <w:pBdr/>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2,932,176</w:t>
            </w:r>
          </w:p>
        </w:tc>
        <w:tc>
          <w:tcPr>
            <w:tcW w:w="146"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c>
          <w:tcPr>
            <w:tcW w:w="153"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keepNext w:val="false"/>
              <w:widowControl/>
              <w:pBdr/>
              <w:spacing w:before="0" w:after="283"/>
              <w:ind w:left="0" w:right="0" w:hanging="0"/>
              <w:jc w:val="right"/>
              <w:rPr>
                <w:caps w:val="false"/>
                <w:smallCaps w:val="false"/>
              </w:rPr>
            </w:pPr>
            <w:r>
              <w:rPr>
                <w:caps w:val="false"/>
                <w:smallCaps w:val="false"/>
              </w:rPr>
              <w:t>—</w:t>
            </w:r>
          </w:p>
        </w:tc>
      </w:tr>
    </w:tbl>
    <w:p>
      <w:pPr>
        <w:pStyle w:val="TextBody"/>
        <w:pBdr/>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selling shareholder is a wholly owned subsidiary of Amazon.com, Inc., whose address is 440 Terry Avenue North, Seattle, WA 98109. Shares beneficially owned consist of vested shares underlying a warrant granted to the selling shareholder assuming full exercise of the warrant for cash.</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1" w:name="T06"/>
      <w:bookmarkEnd w:id="21"/>
      <w:r>
        <w:rPr>
          <w:rFonts w:ascii="Times New Roman PS Std;serif" w:hAnsi="Times New Roman PS Std;serif"/>
          <w:b/>
          <w:i w:val="false"/>
          <w:caps w:val="false"/>
          <w:smallCaps w:val="false"/>
          <w:sz w:val="20"/>
        </w:rPr>
        <w:t>DESCRIPTION OF ORDINARY SHARES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our ordinary shares can be found under the heading “Item 1. Description of Registrant’s Securities to be Registered” in our registration statement on Form 8-A as filed with the SEC on March 31, 2015, as updated by Exhibit 2.2 to our annual report on Form 20-F for the year ended December 31, 2019, which description is incorporated by reference herein.</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2" w:name="T07"/>
      <w:bookmarkEnd w:id="22"/>
      <w:r>
        <w:rPr>
          <w:rFonts w:ascii="Times New Roman PS Std;serif" w:hAnsi="Times New Roman PS Std;serif"/>
          <w:b/>
          <w:i w:val="false"/>
          <w:caps w:val="false"/>
          <w:smallCaps w:val="false"/>
          <w:sz w:val="20"/>
        </w:rPr>
        <w:t>PLAN OF DISTRIBUTION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selling shareholder may sell the securities in one or more of the following ways (or in any combination) from time to time: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underwriters or dealers;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a limited number of purchasers or to a single purchaser;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any other method permitted by applicable law and described in the applicable prospectus supplement.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distribution of our securities or the selling shareholder’s ordinary shares may be carried out, from time to time, in one or more transactions, including: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transactions and transactions on the Nasdaq Global Select Market or any other organized market where the securities may be traded;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own account pursuant to a prospectus supplement;</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a broker-dealer solicits purchasers;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“at the market” to or through a market maker or into an existing trading market, on an exchange or otherwise; or</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in other ways not involving market makers or established trading markets, including direct sales to purchasers.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prospectus supplement or supplements (and any related free writing prospectus that we or the selling shareholders may authorize to be provided to you) will describe the terms of the offering of the securities, including, to the extent applicable: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name or names of any underwriters, dealers or agents;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method of distribution;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 offering price or purchase price and the proceeds to us from that sale;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details regarding over-allotment options under which underwriters may purchase additional securities from us, if any;</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expenses of the offering;</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discounts to be allowed or paid to the underwriters, dealers or agents;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other items constituting underwriting compensation and the discounts to be allowed or paid to dealers, if any;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information regarding the distribution of the securities that we believe to be material.</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may offer and sell the securities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or the selling shareholder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dealers and agents who participate in the distribution of securities and their controlling persons may be entitled, under agreements that may be entered into with us or the selling shareholder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the selling shareholder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3" w:name="T08"/>
      <w:bookmarkEnd w:id="23"/>
      <w:r>
        <w:rPr>
          <w:rFonts w:ascii="Times New Roman PS Std;serif" w:hAnsi="Times New Roman PS Std;serif"/>
          <w:b/>
          <w:i w:val="false"/>
          <w:caps w:val="false"/>
          <w:smallCaps w:val="false"/>
          <w:sz w:val="20"/>
        </w:rPr>
        <w:t>LEGAL MATTERS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legal matters with respect to Israeli law and with respect to the validity of the offered securities under Israeli law will be passed upon for us by Meitar Law Offices, Ramat Gan, Israel.</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4" w:name="T09"/>
      <w:bookmarkEnd w:id="24"/>
      <w:r>
        <w:rPr>
          <w:rFonts w:ascii="Times New Roman PS Std;serif" w:hAnsi="Times New Roman PS Std;serif"/>
          <w:b/>
          <w:i w:val="false"/>
          <w:caps w:val="false"/>
          <w:smallCaps w:val="false"/>
          <w:sz w:val="20"/>
        </w:rPr>
        <w:t>EXPERTS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Kornit Digital Ltd. incorporated by reference in this prospectus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5" w:name="T10"/>
      <w:bookmarkEnd w:id="25"/>
      <w:r>
        <w:rPr>
          <w:rFonts w:ascii="Times New Roman PS Std;serif" w:hAnsi="Times New Roman PS Std;serif"/>
          <w:b/>
          <w:i w:val="false"/>
          <w:caps w:val="false"/>
          <w:smallCaps w:val="false"/>
          <w:sz w:val="20"/>
        </w:rPr>
        <w:t>WHERE YOU CAN FIND MORE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maintains a website that contains reports, proxy and information statements and other information about issuers, such as us, who file electronically with the SEC. The address of that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website at </w:t>
      </w:r>
      <w:r>
        <w:rPr>
          <w:rFonts w:ascii="Times New Roman PS Std;serif" w:hAnsi="Times New Roman PS Std;serif"/>
          <w:b w:val="false"/>
          <w:i/>
          <w:caps w:val="false"/>
          <w:smallCaps w:val="false"/>
          <w:sz w:val="20"/>
        </w:rPr>
        <w:t xml:space="preserve">www.kornit.com. </w:t>
      </w:r>
      <w:r>
        <w:rPr>
          <w:rFonts w:ascii="Times New Roman PS Std;serif" w:hAnsi="Times New Roman PS Std;serif"/>
          <w:b w:val="false"/>
          <w:i w:val="false"/>
          <w:caps w:val="false"/>
          <w:smallCaps w:val="false"/>
          <w:sz w:val="20"/>
        </w:rPr>
        <w:t>Information contained on, or that can be accessed through, our website does not constitute a part of this prospectus. We have included our website address in this prospectus solely as an inactive textual reference.</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6" w:name="T11"/>
      <w:bookmarkEnd w:id="26"/>
      <w:r>
        <w:rPr>
          <w:rFonts w:ascii="Times New Roman PS Std;serif" w:hAnsi="Times New Roman PS Std;serif"/>
          <w:b/>
          <w:i w:val="false"/>
          <w:caps w:val="false"/>
          <w:smallCaps w:val="false"/>
          <w:sz w:val="20"/>
        </w:rPr>
        <w:t>INCORPORATION OF CERTAIN DOCUMENTS BY REFERENCE</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pStyle w:val="TextBody"/>
        <w:keepNext w:val="false"/>
        <w:pageBreakBefore w:val="false"/>
        <w:widowControl/>
        <w:pBdr/>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our annual report on </w:t>
      </w:r>
      <w:hyperlink r:id="rId15">
        <w:r>
          <w:rPr>
            <w:rStyle w:val="InternetLink"/>
            <w:rFonts w:ascii="Times New Roman PS Std;serif" w:hAnsi="Times New Roman PS Std;serif"/>
            <w:b w:val="false"/>
            <w:i w:val="false"/>
            <w:caps w:val="false"/>
            <w:smallCaps w:val="false"/>
            <w:sz w:val="20"/>
          </w:rPr>
          <w:t>Form 20-F</w:t>
        </w:r>
      </w:hyperlink>
      <w:r>
        <w:rPr>
          <w:rFonts w:ascii="Times New Roman PS Std;serif" w:hAnsi="Times New Roman PS Std;serif"/>
          <w:b w:val="false"/>
          <w:i w:val="false"/>
          <w:caps w:val="false"/>
          <w:smallCaps w:val="false"/>
          <w:sz w:val="20"/>
        </w:rPr>
        <w:t xml:space="preserve"> for the fiscal year ended December 31, 2019, filed with the SEC on March 23, 2020 (the “2019 Form 20-F”);</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reports of foreign private issuer on Form 6-K furnished to the SEC on:</w:t>
      </w:r>
    </w:p>
    <w:p>
      <w:pPr>
        <w:pStyle w:val="TextBody"/>
        <w:keepNext w:val="false"/>
        <w:pageBreakBefore w:val="false"/>
        <w:widowControl/>
        <w:pBdr/>
        <w:spacing w:before="160" w:after="283"/>
        <w:ind w:left="1440" w:right="0" w:hanging="480"/>
        <w:jc w:val="both"/>
        <w:rPr/>
      </w:pPr>
      <w:r>
        <w:rPr>
          <w:caps w:val="false"/>
          <w:smallCaps w:val="false"/>
        </w:rPr>
        <w:t>•        </w:t>
      </w:r>
      <w:hyperlink r:id="rId16">
        <w:r>
          <w:rPr>
            <w:rStyle w:val="InternetLink"/>
            <w:rFonts w:ascii="Times New Roman PS Std;serif" w:hAnsi="Times New Roman PS Std;serif"/>
            <w:b w:val="false"/>
            <w:i w:val="false"/>
            <w:caps w:val="false"/>
            <w:smallCaps w:val="false"/>
            <w:sz w:val="20"/>
          </w:rPr>
          <w:t>May 19, 2020</w:t>
        </w:r>
      </w:hyperlink>
      <w:r>
        <w:rPr>
          <w:rFonts w:ascii="Times New Roman PS Std;serif" w:hAnsi="Times New Roman PS Std;serif"/>
          <w:b w:val="false"/>
          <w:i w:val="false"/>
          <w:caps w:val="false"/>
          <w:smallCaps w:val="false"/>
          <w:sz w:val="20"/>
        </w:rPr>
        <w:t xml:space="preserve"> (solely with respect to (i) the portions specified therein, (ii) the paragraph under the caption “Non-GAAP Discussion Disclosure” and (iii) the table under “Reconciliation of GAAP to Non-GAAP Consolidated Statements Of Operations”);</w:t>
      </w:r>
    </w:p>
    <w:p>
      <w:pPr>
        <w:pStyle w:val="TextBody"/>
        <w:keepNext w:val="false"/>
        <w:pageBreakBefore w:val="false"/>
        <w:widowControl/>
        <w:pBdr/>
        <w:spacing w:before="160" w:after="283"/>
        <w:ind w:left="1440" w:right="0" w:hanging="480"/>
        <w:jc w:val="both"/>
        <w:rPr/>
      </w:pPr>
      <w:r>
        <w:rPr>
          <w:caps w:val="false"/>
          <w:smallCaps w:val="false"/>
        </w:rPr>
        <w:t>•        </w:t>
      </w:r>
      <w:hyperlink r:id="rId17">
        <w:r>
          <w:rPr>
            <w:rStyle w:val="InternetLink"/>
            <w:rFonts w:ascii="Times New Roman PS Std;serif" w:hAnsi="Times New Roman PS Std;serif"/>
            <w:b w:val="false"/>
            <w:i w:val="false"/>
            <w:caps w:val="false"/>
            <w:smallCaps w:val="false"/>
            <w:sz w:val="20"/>
          </w:rPr>
          <w:t>July 2, 2020</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18">
        <w:r>
          <w:rPr>
            <w:rStyle w:val="InternetLink"/>
            <w:rFonts w:ascii="Times New Roman PS Std;serif" w:hAnsi="Times New Roman PS Std;serif"/>
            <w:b w:val="false"/>
            <w:i w:val="false"/>
            <w:caps w:val="false"/>
            <w:smallCaps w:val="false"/>
            <w:sz w:val="20"/>
          </w:rPr>
          <w:t>July 27, 2020</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19">
        <w:r>
          <w:rPr>
            <w:rStyle w:val="InternetLink"/>
            <w:rFonts w:ascii="Times New Roman PS Std;serif" w:hAnsi="Times New Roman PS Std;serif"/>
            <w:b w:val="false"/>
            <w:i w:val="false"/>
            <w:caps w:val="false"/>
            <w:smallCaps w:val="false"/>
            <w:sz w:val="20"/>
          </w:rPr>
          <w:t>August 11, 2020</w:t>
        </w:r>
      </w:hyperlink>
      <w:r>
        <w:rPr>
          <w:rFonts w:ascii="Times New Roman PS Std;serif" w:hAnsi="Times New Roman PS Std;serif"/>
          <w:b w:val="false"/>
          <w:i w:val="false"/>
          <w:caps w:val="false"/>
          <w:smallCaps w:val="false"/>
          <w:sz w:val="20"/>
        </w:rPr>
        <w:t xml:space="preserve"> (solely with respect to (i) the portions specified therein, (ii) the paragraph under the caption “Non-GAAP Discussion Disclosure” and (iii) the table under “Reconciliation of GAAP to Non-GAAP Consolidated Statements Of Operations”);</w:t>
      </w:r>
    </w:p>
    <w:p>
      <w:pPr>
        <w:pStyle w:val="TextBody"/>
        <w:keepNext w:val="false"/>
        <w:pageBreakBefore w:val="false"/>
        <w:widowControl/>
        <w:pBdr/>
        <w:spacing w:before="160" w:after="283"/>
        <w:ind w:left="1440" w:right="0" w:hanging="480"/>
        <w:jc w:val="both"/>
        <w:rPr/>
      </w:pPr>
      <w:r>
        <w:rPr>
          <w:caps w:val="false"/>
          <w:smallCaps w:val="false"/>
        </w:rPr>
        <w:t>•        </w:t>
      </w:r>
      <w:hyperlink r:id="rId20">
        <w:r>
          <w:rPr>
            <w:rStyle w:val="InternetLink"/>
            <w:rFonts w:ascii="Times New Roman PS Std;serif" w:hAnsi="Times New Roman PS Std;serif"/>
            <w:b w:val="false"/>
            <w:i w:val="false"/>
            <w:caps w:val="false"/>
            <w:smallCaps w:val="false"/>
            <w:sz w:val="20"/>
          </w:rPr>
          <w:t>August 11, 2020</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pPr>
      <w:r>
        <w:rPr>
          <w:caps w:val="false"/>
          <w:smallCaps w:val="false"/>
        </w:rPr>
        <w:t>•        </w:t>
      </w:r>
      <w:hyperlink r:id="rId21">
        <w:r>
          <w:rPr>
            <w:rStyle w:val="InternetLink"/>
            <w:rFonts w:ascii="Times New Roman PS Std;serif" w:hAnsi="Times New Roman PS Std;serif"/>
            <w:b w:val="false"/>
            <w:i w:val="false"/>
            <w:caps w:val="false"/>
            <w:smallCaps w:val="false"/>
            <w:sz w:val="20"/>
          </w:rPr>
          <w:t>August 12, 2020</w:t>
        </w:r>
      </w:hyperlink>
      <w:r>
        <w:rPr>
          <w:rFonts w:ascii="Times New Roman PS Std;serif" w:hAnsi="Times New Roman PS Std;serif"/>
          <w:b w:val="false"/>
          <w:i w:val="false"/>
          <w:caps w:val="false"/>
          <w:smallCaps w:val="false"/>
          <w:sz w:val="20"/>
        </w:rPr>
        <w:t xml:space="preserve"> (solely with respect to the portions specified therein);</w:t>
      </w:r>
    </w:p>
    <w:p>
      <w:pPr>
        <w:pStyle w:val="TextBody"/>
        <w:keepNext w:val="false"/>
        <w:pageBreakBefore w:val="false"/>
        <w:widowControl/>
        <w:pBdr/>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September 14, 2020 (solely with respect to the portions specified therein); and</w:t>
      </w:r>
    </w:p>
    <w:p>
      <w:pPr>
        <w:pStyle w:val="TextBody"/>
        <w:keepNext w:val="false"/>
        <w:pageBreakBefore w:val="false"/>
        <w:widowControl/>
        <w:pBdr/>
        <w:spacing w:before="160" w:after="283"/>
        <w:ind w:left="960" w:right="0" w:hanging="480"/>
        <w:jc w:val="both"/>
        <w:rPr/>
      </w:pPr>
      <w:r>
        <w:rPr>
          <w:caps w:val="false"/>
          <w:smallCaps w:val="false"/>
        </w:rPr>
        <w:t>•        </w:t>
      </w:r>
      <w:r>
        <w:rPr>
          <w:rFonts w:ascii="Times New Roman PS Std;serif" w:hAnsi="Times New Roman PS Std;serif"/>
          <w:b w:val="false"/>
          <w:i w:val="false"/>
          <w:caps w:val="false"/>
          <w:smallCaps w:val="false"/>
          <w:sz w:val="20"/>
        </w:rPr>
        <w:t xml:space="preserve">the description of our ordinary shares contained under the heading “Item 1. Description of Registrant’s Securities to be Registered” in our registration statement on </w:t>
      </w:r>
      <w:hyperlink r:id="rId22">
        <w:r>
          <w:rPr>
            <w:rStyle w:val="InternetLink"/>
            <w:rFonts w:ascii="Times New Roman PS Std;serif" w:hAnsi="Times New Roman PS Std;serif"/>
            <w:b w:val="false"/>
            <w:i w:val="false"/>
            <w:caps w:val="false"/>
            <w:smallCaps w:val="false"/>
            <w:sz w:val="20"/>
          </w:rPr>
          <w:t>Form 8-A</w:t>
        </w:r>
      </w:hyperlink>
      <w:r>
        <w:rPr>
          <w:rFonts w:ascii="Times New Roman PS Std;serif" w:hAnsi="Times New Roman PS Std;serif"/>
          <w:b w:val="false"/>
          <w:i w:val="false"/>
          <w:caps w:val="false"/>
          <w:smallCaps w:val="false"/>
          <w:sz w:val="20"/>
        </w:rPr>
        <w:t xml:space="preserve">, as filed with the SEC on March 31, 2015, as updated by </w:t>
      </w:r>
      <w:hyperlink r:id="rId23">
        <w:r>
          <w:rPr>
            <w:rStyle w:val="InternetLink"/>
            <w:rFonts w:ascii="Times New Roman PS Std;serif" w:hAnsi="Times New Roman PS Std;serif"/>
            <w:b w:val="false"/>
            <w:i w:val="false"/>
            <w:caps w:val="false"/>
            <w:smallCaps w:val="false"/>
            <w:sz w:val="20"/>
          </w:rPr>
          <w:t>Exhibit 2.2</w:t>
        </w:r>
      </w:hyperlink>
      <w:r>
        <w:rPr>
          <w:rFonts w:ascii="Times New Roman PS Std;serif" w:hAnsi="Times New Roman PS Std;serif"/>
          <w:b w:val="false"/>
          <w:i w:val="false"/>
          <w:caps w:val="false"/>
          <w:smallCaps w:val="false"/>
          <w:sz w:val="20"/>
        </w:rPr>
        <w:t xml:space="preserve"> to the 2019 Form 20-F (“Description of Ordinary Shares of Kornit Digital Ltd.”), including any subsequent amendment or any report filed for the purpose of further updating such description.</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keepNext w:val="false"/>
        <w:pageBreakBefore w:val="false"/>
        <w:widowControl/>
        <w:pBdr/>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Kornit Digital Ltd.</w:t>
        <w:br/>
        <w:t>Attention: Chief Financial Officer</w:t>
        <w:br/>
        <w:t>12 Ha’Amal Street, Afek Park</w:t>
        <w:br/>
        <w:t>Rosh Ha’Ayin 4809246, Israel</w:t>
        <w:br/>
        <w:t>Tel: +972-3-908-5800</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20"/>
        </w:rPr>
      </w:pPr>
      <w:bookmarkStart w:id="27" w:name="T12"/>
      <w:bookmarkEnd w:id="27"/>
      <w:r>
        <w:rPr>
          <w:rFonts w:ascii="Times New Roman PS Std;serif" w:hAnsi="Times New Roman PS Std;serif"/>
          <w:b/>
          <w:i w:val="false"/>
          <w:caps w:val="false"/>
          <w:smallCaps w:val="false"/>
          <w:sz w:val="20"/>
        </w:rPr>
        <w:t>ENFORCEABILITY OF CIVIL LIABILITIES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under the laws of the State of Israel. Service of process upon us and upon our directors, officers and any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irrevocably appointed Kornit Digital North America Inc. as our agent to receive service of process in any action against us in any United States federal or state court arising out of the offering under this prospectus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obtained after due process before a court of competent jurisdiction, according to the laws of the state in which the judgment is given and the rules of private international law prevailing in Israel;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executory in the state in which it was given;</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prevailing law of the foreign state in which the judgment is rendered allows for the enforcement of judgments of Israeli courts;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adequate service of process has been effected and the defendant has had a reasonable opportunity to be heard and to present his or her evidence;</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not contrary to public policy of Israel, and the enforcement of the civil liabilities set forth in the judgment is not likely to impair the security or sovereignty of Israel;</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was not obtained by fraud and does not conflict with any other valid judgment in the same matter between the same parties;</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action between the same parties in the same matter was not pending in any Israeli court at the time at which the lawsuit was instituted in the foreign court; and</w:t>
      </w:r>
    </w:p>
    <w:p>
      <w:pPr>
        <w:pStyle w:val="TextBody"/>
        <w:keepNext w:val="false"/>
        <w:pageBreakBefore w:val="false"/>
        <w:widowControl/>
        <w:pBdr/>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judgment is enforceable according to the laws of Israel and according to the law of the foreign state in which the relief was granted.</w:t>
      </w:r>
    </w:p>
    <w:p>
      <w:pPr>
        <w:pStyle w:val="TextBody"/>
        <w:keepNext w:val="false"/>
        <w:pageBreakBefore w:val="false"/>
        <w:widowControl/>
        <w:pBdr/>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r>
        <w:br w:type="page"/>
      </w:r>
    </w:p>
    <w:p>
      <w:pPr>
        <w:pStyle w:val="TextBody"/>
        <w:widowControl/>
        <w:pBdr>
          <w:bottom w:val="single" w:sz="2" w:space="1" w:color="000000"/>
        </w:pBdr>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p>
    <w:p>
      <w:pPr>
        <w:pStyle w:val="TextBody"/>
        <w:keepNext w:val="false"/>
        <w:pageBreakBefore w:val="false"/>
        <w:widowControl/>
        <w:pBdr/>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spacing w:before="1200" w:after="283"/>
        <w:ind w:left="0" w:right="0" w:hanging="0"/>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2,205,701 Shares</w:t>
      </w:r>
    </w:p>
    <w:p>
      <w:pPr>
        <w:pStyle w:val="TextBody"/>
        <w:keepNext w:val="true"/>
        <w:pageBreakBefore w:val="false"/>
        <w:widowControl/>
        <w:pBdr/>
        <w:spacing w:before="400" w:after="283"/>
        <w:jc w:val="center"/>
        <w:rPr>
          <w:caps w:val="false"/>
          <w:smallCaps w:val="false"/>
        </w:rPr>
      </w:pPr>
      <w:r>
        <w:rPr>
          <w:caps w:val="false"/>
          <w:smallCaps w:val="false"/>
        </w:rPr>
        <w:drawing>
          <wp:inline distT="0" distB="0" distL="0" distR="0">
            <wp:extent cx="1790700"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4"/>
                    <a:stretch>
                      <a:fillRect/>
                    </a:stretch>
                  </pic:blipFill>
                  <pic:spPr bwMode="auto">
                    <a:xfrm>
                      <a:off x="0" y="0"/>
                      <a:ext cx="1790700" cy="1104900"/>
                    </a:xfrm>
                    <a:prstGeom prst="rect">
                      <a:avLst/>
                    </a:prstGeom>
                  </pic:spPr>
                </pic:pic>
              </a:graphicData>
            </a:graphic>
          </wp:inline>
        </w:drawing>
      </w:r>
    </w:p>
    <w:p>
      <w:pPr>
        <w:pStyle w:val="TextBody"/>
        <w:keepNext w:val="true"/>
        <w:pageBreakBefore w:val="false"/>
        <w:widowControl/>
        <w:pBdr/>
        <w:spacing w:before="240" w:after="283"/>
        <w:jc w:val="center"/>
        <w:rPr>
          <w:rFonts w:ascii="Times New Roman PS Std;serif" w:hAnsi="Times New Roman PS Std;serif"/>
          <w:b/>
          <w:i w:val="false"/>
          <w:caps w:val="false"/>
          <w:smallCaps w:val="false"/>
          <w:sz w:val="36"/>
        </w:rPr>
      </w:pPr>
      <w:r>
        <w:rPr>
          <w:rFonts w:ascii="Times New Roman PS Std;serif" w:hAnsi="Times New Roman PS Std;serif"/>
          <w:b/>
          <w:i w:val="false"/>
          <w:caps w:val="false"/>
          <w:smallCaps w:val="false"/>
          <w:sz w:val="36"/>
        </w:rPr>
        <w:t>Kornit Digital Ltd.</w:t>
      </w:r>
    </w:p>
    <w:p>
      <w:pPr>
        <w:pStyle w:val="TextBody"/>
        <w:keepNext w:val="true"/>
        <w:pageBreakBefore w:val="false"/>
        <w:widowControl/>
        <w:pBdr/>
        <w:spacing w:before="66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Ordinary Shares</w:t>
      </w:r>
    </w:p>
    <w:p>
      <w:pPr>
        <w:pStyle w:val="TextBody"/>
        <w:keepNext w:val="false"/>
        <w:pageBreakBefore w:val="false"/>
        <w:widowControl/>
        <w:pBdr/>
        <w:spacing w:before="1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p>
      <w:pPr>
        <w:pStyle w:val="TextBody"/>
        <w:keepNext w:val="true"/>
        <w:pageBreakBefore w:val="false"/>
        <w:widowControl/>
        <w:pBdr/>
        <w:spacing w:before="2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Prospectus Supplement</w:t>
      </w:r>
    </w:p>
    <w:p>
      <w:pPr>
        <w:pStyle w:val="TextBody"/>
        <w:keepNext w:val="false"/>
        <w:pageBreakBefore w:val="false"/>
        <w:widowControl/>
        <w:pBdr/>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tbl>
      <w:tblPr>
        <w:tblW w:w="10205" w:type="dxa"/>
        <w:jc w:val="left"/>
        <w:tblInd w:w="0" w:type="dxa"/>
        <w:tblCellMar>
          <w:top w:w="0" w:type="dxa"/>
          <w:left w:w="0" w:type="dxa"/>
          <w:bottom w:w="0" w:type="dxa"/>
          <w:right w:w="0" w:type="dxa"/>
        </w:tblCellMar>
      </w:tblPr>
      <w:tblGrid>
        <w:gridCol w:w="1636"/>
        <w:gridCol w:w="146"/>
        <w:gridCol w:w="1456"/>
        <w:gridCol w:w="146"/>
        <w:gridCol w:w="4261"/>
        <w:gridCol w:w="146"/>
        <w:gridCol w:w="2414"/>
      </w:tblGrid>
      <w:tr>
        <w:trPr/>
        <w:tc>
          <w:tcPr>
            <w:tcW w:w="16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Citigroup</w:t>
            </w:r>
          </w:p>
        </w:tc>
        <w:tc>
          <w:tcPr>
            <w:tcW w:w="146"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Barclays</w:t>
            </w:r>
          </w:p>
        </w:tc>
        <w:tc>
          <w:tcPr>
            <w:tcW w:w="146" w:type="dxa"/>
            <w:tcBorders/>
            <w:shd w:fill="auto" w:val="clear"/>
            <w:vAlign w:val="bottom"/>
          </w:tcPr>
          <w:p>
            <w:pPr>
              <w:pStyle w:val="TableContents"/>
              <w:spacing w:before="0" w:after="283"/>
              <w:rPr/>
            </w:pPr>
            <w:r>
              <w:rPr/>
              <w:t> </w:t>
            </w:r>
          </w:p>
        </w:tc>
        <w:tc>
          <w:tcPr>
            <w:tcW w:w="426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Goldman Sachs &amp; Co. LLC</w:t>
            </w:r>
          </w:p>
        </w:tc>
        <w:tc>
          <w:tcPr>
            <w:tcW w:w="146" w:type="dxa"/>
            <w:tcBorders/>
            <w:shd w:fill="auto" w:val="clear"/>
            <w:vAlign w:val="bottom"/>
          </w:tcPr>
          <w:p>
            <w:pPr>
              <w:pStyle w:val="TableContents"/>
              <w:spacing w:before="0" w:after="283"/>
              <w:rPr/>
            </w:pPr>
            <w:r>
              <w:rPr/>
              <w:t> </w:t>
            </w:r>
          </w:p>
        </w:tc>
        <w:tc>
          <w:tcPr>
            <w:tcW w:w="2414"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Morgan Stanley</w:t>
            </w:r>
          </w:p>
        </w:tc>
      </w:tr>
    </w:tbl>
    <w:tbl>
      <w:tblPr>
        <w:tblW w:w="7135" w:type="dxa"/>
        <w:jc w:val="left"/>
        <w:tblInd w:w="0" w:type="dxa"/>
        <w:tblCellMar>
          <w:top w:w="0" w:type="dxa"/>
          <w:left w:w="0" w:type="dxa"/>
          <w:bottom w:w="0" w:type="dxa"/>
          <w:right w:w="0" w:type="dxa"/>
        </w:tblCellMar>
      </w:tblPr>
      <w:tblGrid>
        <w:gridCol w:w="3631"/>
        <w:gridCol w:w="146"/>
        <w:gridCol w:w="976"/>
        <w:gridCol w:w="146"/>
        <w:gridCol w:w="2236"/>
      </w:tblGrid>
      <w:tr>
        <w:trPr/>
        <w:tc>
          <w:tcPr>
            <w:tcW w:w="3631"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Needham &amp; Company</w:t>
            </w:r>
          </w:p>
        </w:tc>
        <w:tc>
          <w:tcPr>
            <w:tcW w:w="146"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Stifel</w:t>
            </w:r>
          </w:p>
        </w:tc>
        <w:tc>
          <w:tcPr>
            <w:tcW w:w="146" w:type="dxa"/>
            <w:tcBorders/>
            <w:shd w:fill="auto" w:val="clear"/>
            <w:vAlign w:val="bottom"/>
          </w:tcPr>
          <w:p>
            <w:pPr>
              <w:pStyle w:val="TableContents"/>
              <w:spacing w:before="0" w:after="283"/>
              <w:rPr/>
            </w:pPr>
            <w:r>
              <w:rPr/>
              <w:t> </w:t>
            </w:r>
          </w:p>
        </w:tc>
        <w:tc>
          <w:tcPr>
            <w:tcW w:w="223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William Blair</w:t>
            </w:r>
          </w:p>
        </w:tc>
      </w:tr>
    </w:tbl>
    <w:tbl>
      <w:tblPr>
        <w:tblW w:w="9055" w:type="dxa"/>
        <w:jc w:val="left"/>
        <w:tblInd w:w="0" w:type="dxa"/>
        <w:tblCellMar>
          <w:top w:w="0" w:type="dxa"/>
          <w:left w:w="0" w:type="dxa"/>
          <w:bottom w:w="0" w:type="dxa"/>
          <w:right w:w="0" w:type="dxa"/>
        </w:tblCellMar>
      </w:tblPr>
      <w:tblGrid>
        <w:gridCol w:w="1816"/>
        <w:gridCol w:w="146"/>
        <w:gridCol w:w="2356"/>
        <w:gridCol w:w="146"/>
        <w:gridCol w:w="4591"/>
      </w:tblGrid>
      <w:tr>
        <w:trPr/>
        <w:tc>
          <w:tcPr>
            <w:tcW w:w="181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Berenberg</w:t>
            </w:r>
          </w:p>
        </w:tc>
        <w:tc>
          <w:tcPr>
            <w:tcW w:w="146" w:type="dxa"/>
            <w:tcBorders/>
            <w:shd w:fill="auto" w:val="clear"/>
            <w:vAlign w:val="bottom"/>
          </w:tcPr>
          <w:p>
            <w:pPr>
              <w:pStyle w:val="TableContents"/>
              <w:spacing w:before="0" w:after="283"/>
              <w:rPr/>
            </w:pPr>
            <w:r>
              <w:rPr/>
              <w:t> </w:t>
            </w:r>
          </w:p>
        </w:tc>
        <w:tc>
          <w:tcPr>
            <w:tcW w:w="2356" w:type="dxa"/>
            <w:tcBorders/>
            <w:shd w:fill="auto" w:val="clear"/>
            <w:vAlign w:val="bottom"/>
          </w:tcPr>
          <w:p>
            <w:pPr>
              <w:pStyle w:val="TableContents"/>
              <w:keepNext w:val="false"/>
              <w:widowControl/>
              <w:pBdr/>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CJS Securities</w:t>
            </w:r>
          </w:p>
        </w:tc>
        <w:tc>
          <w:tcPr>
            <w:tcW w:w="146" w:type="dxa"/>
            <w:tcBorders/>
            <w:shd w:fill="auto" w:val="clear"/>
            <w:vAlign w:val="bottom"/>
          </w:tcPr>
          <w:p>
            <w:pPr>
              <w:pStyle w:val="TableContents"/>
              <w:spacing w:before="0" w:after="283"/>
              <w:rPr/>
            </w:pPr>
            <w:r>
              <w:rPr/>
              <w:t> </w:t>
            </w:r>
          </w:p>
        </w:tc>
        <w:tc>
          <w:tcPr>
            <w:tcW w:w="4591" w:type="dxa"/>
            <w:tcBorders/>
            <w:shd w:fill="auto" w:val="clear"/>
            <w:vAlign w:val="bottom"/>
          </w:tcPr>
          <w:p>
            <w:pPr>
              <w:pStyle w:val="TableContents"/>
              <w:keepNext w:val="false"/>
              <w:widowControl/>
              <w:pBdr/>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8"/>
              </w:rPr>
              <w:t>Craig-Hallum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8"/>
              </w:rPr>
              <w:t>Capital Group</w:t>
            </w:r>
          </w:p>
        </w:tc>
      </w:tr>
    </w:tbl>
    <w:p>
      <w:pPr>
        <w:pStyle w:val="TextBody"/>
        <w:keepNext w:val="false"/>
        <w:pageBreakBefore w:val="false"/>
        <w:widowControl/>
        <w:pBdr/>
        <w:spacing w:before="144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PS Std">
    <w:altName w:val="serif"/>
    <w:charset w:val="00"/>
    <w:family w:val="auto"/>
    <w:pitch w:val="default"/>
  </w:font>
  <w:font w:name="TimesNewRomanPSStd-Regular">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625791/000121390021022809/ea139887-6k_kornitdigitalltd.htm" TargetMode="External"/><Relationship Id="rId3" Type="http://schemas.openxmlformats.org/officeDocument/2006/relationships/hyperlink" Target="http://www.sec.gov/Archives/edgar/data/0001625791/000121390021025498/ea140575-6k_kornitdigital.htm" TargetMode="External"/><Relationship Id="rId4" Type="http://schemas.openxmlformats.org/officeDocument/2006/relationships/hyperlink" Target="http://www.sec.gov/Archives/edgar/data/0001625791/000121390021035860/ea143803-6k_kornitdigital.htm" TargetMode="External"/><Relationship Id="rId5" Type="http://schemas.openxmlformats.org/officeDocument/2006/relationships/hyperlink" Target="http://www.sec.gov/Archives/edgar/data/0001625791/000121390021041222/ea145477-6k_kornitdigital.htm" TargetMode="External"/><Relationship Id="rId6" Type="http://schemas.openxmlformats.org/officeDocument/2006/relationships/hyperlink" Target="http://www.sec.gov/Archives/edgar/data/0001625791/000121390021041220/ea145475-6k_kornitdigital.htm" TargetMode="External"/><Relationship Id="rId7" Type="http://schemas.openxmlformats.org/officeDocument/2006/relationships/hyperlink" Target="http://www.sec.gov/Archives/edgar/data/0001625791/000121390021041996/ea145694-6k_kornitdigital.htm" TargetMode="External"/><Relationship Id="rId8" Type="http://schemas.openxmlformats.org/officeDocument/2006/relationships/hyperlink" Target="http://www.sec.gov/Archives/edgar/data/0001625791/000121390021053659/ea149159-6k_kornitdigital.htm" TargetMode="External"/><Relationship Id="rId9" Type="http://schemas.openxmlformats.org/officeDocument/2006/relationships/hyperlink" Target="http://www.sec.gov/Archives/edgar/data/0001625791/000121390021054007/ea149229-6k_kornitdigital.htm" TargetMode="External"/><Relationship Id="rId10" Type="http://schemas.openxmlformats.org/officeDocument/2006/relationships/hyperlink" Target="http://www.sec.gov/Archives/edgar/data/0001625791/000121390021055638/ea149628-6k_kornitdigital.htm" TargetMode="External"/><Relationship Id="rId11" Type="http://schemas.openxmlformats.org/officeDocument/2006/relationships/hyperlink" Target="http://www.sec.gov/Archives/edgar/data/0001625791/000121390021057942/ea150248-6k_kornitdigital.htm" TargetMode="External"/><Relationship Id="rId12" Type="http://schemas.openxmlformats.org/officeDocument/2006/relationships/hyperlink" Target="http://www.sec.gov/Archives/edgar/data/1625791/000161577415000604/s100918_8a12b.htm" TargetMode="External"/><Relationship Id="rId13" Type="http://schemas.openxmlformats.org/officeDocument/2006/relationships/hyperlink" Target="http://www.sec.gov/Archives/edgar/data/1625791/000121390020007110/f20f2019ex2-2_kornit.htm" TargetMode="External"/><Relationship Id="rId14" Type="http://schemas.openxmlformats.org/officeDocument/2006/relationships/image" Target="media/image1.jpeg"/><Relationship Id="rId15" Type="http://schemas.openxmlformats.org/officeDocument/2006/relationships/hyperlink" Target="http://www.sec.gov/Archives/edgar/data/1625791/000121390020007110/f20f2019_kornitdigi.htm" TargetMode="External"/><Relationship Id="rId16" Type="http://schemas.openxmlformats.org/officeDocument/2006/relationships/hyperlink" Target="http://www.sec.gov/Archives/edgar/data/1625791/000121390020012929/ea122093-6k_kornitdigital.htm" TargetMode="External"/><Relationship Id="rId17" Type="http://schemas.openxmlformats.org/officeDocument/2006/relationships/hyperlink" Target="http://www.sec.gov/Archives/edgar/data/1625791/000121390020016616/ea123779-6k_kornitdigital.htm" TargetMode="External"/><Relationship Id="rId18" Type="http://schemas.openxmlformats.org/officeDocument/2006/relationships/hyperlink" Target="http://www.sec.gov/Archives/edgar/data/1625791/000121390020018618/ea124553-6k_kornitdigital.htm" TargetMode="External"/><Relationship Id="rId19" Type="http://schemas.openxmlformats.org/officeDocument/2006/relationships/hyperlink" Target="http://www.sec.gov/Archives/edgar/data/1625791/000121390020021422/ea125371-6k_kornitdigi.htm" TargetMode="External"/><Relationship Id="rId20" Type="http://schemas.openxmlformats.org/officeDocument/2006/relationships/hyperlink" Target="http://www.sec.gov/Archives/edgar/data/1625791/000121390020021423/ea125372-6k_kornitdigi.htm" TargetMode="External"/><Relationship Id="rId21" Type="http://schemas.openxmlformats.org/officeDocument/2006/relationships/hyperlink" Target="http://www.sec.gov/Archives/edgar/data/1625791/000121390020021519/ea125417-6k_kornitdigital.htm" TargetMode="External"/><Relationship Id="rId22" Type="http://schemas.openxmlformats.org/officeDocument/2006/relationships/hyperlink" Target="http://www.sec.gov/Archives/edgar/data/1625791/000161577415000604/s100918_8a12b.htm" TargetMode="External"/><Relationship Id="rId23" Type="http://schemas.openxmlformats.org/officeDocument/2006/relationships/hyperlink" Target="http://www.sec.gov/Archives/edgar/data/1625791/000121390020007110/f20f2019ex2-2_kornit.htm" TargetMode="External"/><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22372</Words>
  <CharactersWithSpaces>141361</CharactersWithSpaces>
  <Paragraphs>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