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2017</w:t>
      </w:r>
    </w:p>
    <w:p>
      <w:pPr>
        <w:spacing w:after="0" w:line="27"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7460" w:type="dxa"/>
            <w:vAlign w:val="bottom"/>
            <w:gridSpan w:val="3"/>
          </w:tcPr>
          <w:p>
            <w:pPr>
              <w:jc w:val="center"/>
              <w:ind w:right="3870"/>
              <w:spacing w:after="0"/>
              <w:rPr>
                <w:sz w:val="20"/>
                <w:szCs w:val="20"/>
                <w:color w:val="auto"/>
              </w:rPr>
            </w:pPr>
            <w:r>
              <w:rPr>
                <w:rFonts w:ascii="Arial" w:cs="Arial" w:eastAsia="Arial" w:hAnsi="Arial"/>
                <w:sz w:val="18"/>
                <w:szCs w:val="18"/>
                <w:b w:val="1"/>
                <w:bCs w:val="1"/>
                <w:color w:val="auto"/>
                <w:w w:val="96"/>
              </w:rPr>
              <w:t>N/A</w:t>
            </w:r>
          </w:p>
        </w:tc>
      </w:tr>
      <w:tr>
        <w:trPr>
          <w:trHeight w:val="230"/>
        </w:trPr>
        <w:tc>
          <w:tcPr>
            <w:tcW w:w="3960" w:type="dxa"/>
            <w:vAlign w:val="bottom"/>
          </w:tcPr>
          <w:p>
            <w:pPr>
              <w:spacing w:after="0"/>
              <w:rPr>
                <w:sz w:val="20"/>
                <w:szCs w:val="20"/>
                <w:color w:val="auto"/>
              </w:rPr>
            </w:pPr>
          </w:p>
        </w:tc>
        <w:tc>
          <w:tcPr>
            <w:tcW w:w="7460" w:type="dxa"/>
            <w:vAlign w:val="bottom"/>
            <w:gridSpan w:val="3"/>
          </w:tcPr>
          <w:p>
            <w:pPr>
              <w:jc w:val="center"/>
              <w:ind w:right="3870"/>
              <w:spacing w:after="0"/>
              <w:rPr>
                <w:sz w:val="20"/>
                <w:szCs w:val="20"/>
                <w:color w:val="auto"/>
              </w:rPr>
            </w:pPr>
            <w:r>
              <w:rPr>
                <w:rFonts w:ascii="Arial" w:cs="Arial" w:eastAsia="Arial" w:hAnsi="Arial"/>
                <w:sz w:val="18"/>
                <w:szCs w:val="18"/>
                <w:color w:val="auto"/>
                <w:w w:val="91"/>
              </w:rPr>
              <w:t>(Translation of Registrant’s name into English)</w:t>
            </w:r>
          </w:p>
        </w:tc>
      </w:tr>
      <w:tr>
        <w:trPr>
          <w:trHeight w:val="453"/>
        </w:trPr>
        <w:tc>
          <w:tcPr>
            <w:tcW w:w="396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Israel</w:t>
            </w:r>
          </w:p>
        </w:tc>
        <w:tc>
          <w:tcPr>
            <w:tcW w:w="1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r>
      <w:tr>
        <w:trPr>
          <w:trHeight w:val="202"/>
        </w:trPr>
        <w:tc>
          <w:tcPr>
            <w:tcW w:w="3960" w:type="dxa"/>
            <w:vAlign w:val="bottom"/>
          </w:tcPr>
          <w:p>
            <w:pPr>
              <w:ind w:left="1740"/>
              <w:spacing w:after="0" w:line="201" w:lineRule="exact"/>
              <w:rPr>
                <w:sz w:val="20"/>
                <w:szCs w:val="20"/>
                <w:color w:val="auto"/>
              </w:rPr>
            </w:pPr>
            <w:r>
              <w:rPr>
                <w:rFonts w:ascii="Arial" w:cs="Arial" w:eastAsia="Arial" w:hAnsi="Arial"/>
                <w:sz w:val="18"/>
                <w:szCs w:val="18"/>
                <w:color w:val="auto"/>
                <w:w w:val="97"/>
              </w:rPr>
              <w:t>(State or other jurisdiction of</w:t>
            </w: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ind w:left="22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3960" w:type="dxa"/>
            <w:vAlign w:val="bottom"/>
          </w:tcPr>
          <w:p>
            <w:pPr>
              <w:ind w:left="1720"/>
              <w:spacing w:after="0"/>
              <w:rPr>
                <w:sz w:val="20"/>
                <w:szCs w:val="20"/>
                <w:color w:val="auto"/>
              </w:rPr>
            </w:pPr>
            <w:r>
              <w:rPr>
                <w:rFonts w:ascii="Arial" w:cs="Arial" w:eastAsia="Arial" w:hAnsi="Arial"/>
                <w:sz w:val="18"/>
                <w:szCs w:val="18"/>
                <w:color w:val="auto"/>
                <w:w w:val="94"/>
              </w:rPr>
              <w:t>incorporation or organization)</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 Ha’Ayin 4802946,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+972-3-908-5800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of all communications, including communications sent to agent for service, should be sent to:</w:t>
      </w:r>
    </w:p>
    <w:p>
      <w:pPr>
        <w:spacing w:after="0" w:line="225"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Colin J. Diamond, Esq.</w:t>
            </w:r>
          </w:p>
        </w:tc>
        <w:tc>
          <w:tcPr>
            <w:tcW w:w="442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Clifford M. J. Felig, Adv.</w:t>
            </w:r>
          </w:p>
        </w:tc>
      </w:t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4"/>
              </w:rPr>
              <w:t>White &amp; Case LLP</w:t>
            </w:r>
          </w:p>
        </w:tc>
        <w:tc>
          <w:tcPr>
            <w:tcW w:w="442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Aviv Avidan-Shalit, Adv.</w:t>
            </w:r>
          </w:p>
        </w:tc>
      </w:t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88"/>
              </w:rPr>
              <w:t>1155 Avenue of the Americas</w:t>
            </w:r>
          </w:p>
        </w:tc>
        <w:tc>
          <w:tcPr>
            <w:tcW w:w="442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Meitar Liquornik Geva Leshem Tal</w:t>
            </w:r>
          </w:p>
        </w:tc>
      </w:t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4"/>
              </w:rPr>
              <w:t>New York, NY 10036</w:t>
            </w:r>
          </w:p>
        </w:tc>
        <w:tc>
          <w:tcPr>
            <w:tcW w:w="442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Tel: (212) 819-8200</w:t>
            </w:r>
          </w:p>
        </w:tc>
        <w:tc>
          <w:tcPr>
            <w:tcW w:w="442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38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Fax: (212) 354-8113</w:t>
            </w:r>
          </w:p>
        </w:tc>
        <w:tc>
          <w:tcPr>
            <w:tcW w:w="442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Tel: +972-3-610-3100</w:t>
            </w:r>
          </w:p>
        </w:tc>
      </w:tr>
      <w:tr>
        <w:trPr>
          <w:trHeight w:val="234"/>
        </w:trPr>
        <w:tc>
          <w:tcPr>
            <w:tcW w:w="3880" w:type="dxa"/>
            <w:vAlign w:val="bottom"/>
          </w:tcPr>
          <w:p>
            <w:pPr>
              <w:spacing w:after="0"/>
              <w:rPr>
                <w:sz w:val="20"/>
                <w:szCs w:val="20"/>
                <w:color w:val="auto"/>
              </w:rPr>
            </w:pPr>
          </w:p>
        </w:tc>
        <w:tc>
          <w:tcPr>
            <w:tcW w:w="442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Fax: +972-3-610-3111</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Approximate date of commencement of proposed sale to the public: From time to time after the effective date of this registration statement.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216"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gridSpan w:val="6"/>
          </w:tcPr>
          <w:p>
            <w:pPr>
              <w:ind w:left="3960"/>
              <w:spacing w:after="0"/>
              <w:rPr>
                <w:sz w:val="20"/>
                <w:szCs w:val="20"/>
                <w:color w:val="auto"/>
              </w:rPr>
            </w:pPr>
            <w:r>
              <w:rPr>
                <w:rFonts w:ascii="Arial" w:cs="Arial" w:eastAsia="Arial" w:hAnsi="Arial"/>
                <w:sz w:val="18"/>
                <w:szCs w:val="18"/>
                <w:b w:val="1"/>
                <w:bCs w:val="1"/>
                <w:color w:val="auto"/>
              </w:rPr>
              <w:t>CALCULATION OF REGISTRATION FEE</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Proposed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maximum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Amount to be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offering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2"/>
              <w:spacing w:after="0" w:line="181" w:lineRule="exact"/>
              <w:rPr>
                <w:sz w:val="20"/>
                <w:szCs w:val="20"/>
                <w:color w:val="auto"/>
              </w:rPr>
            </w:pPr>
            <w:r>
              <w:rPr>
                <w:rFonts w:ascii="Arial" w:cs="Arial" w:eastAsia="Arial" w:hAnsi="Arial"/>
                <w:sz w:val="18"/>
                <w:szCs w:val="18"/>
                <w:b w:val="1"/>
                <w:bCs w:val="1"/>
                <w:color w:val="auto"/>
                <w:w w:val="89"/>
              </w:rPr>
              <w:t>price per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88"/>
              </w:rPr>
              <w:t>aggregate</w:t>
            </w:r>
          </w:p>
        </w:tc>
        <w:tc>
          <w:tcPr>
            <w:tcW w:w="120" w:type="dxa"/>
            <w:vAlign w:val="bottom"/>
          </w:tcPr>
          <w:p>
            <w:pPr>
              <w:spacing w:after="0"/>
              <w:rPr>
                <w:sz w:val="15"/>
                <w:szCs w:val="15"/>
                <w:color w:val="auto"/>
              </w:rPr>
            </w:pPr>
          </w:p>
        </w:tc>
        <w:tc>
          <w:tcPr>
            <w:tcW w:w="12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0"/>
              </w:rPr>
              <w:t>registration</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24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30"/>
                <w:szCs w:val="30"/>
                <w:b w:val="1"/>
                <w:bCs w:val="1"/>
                <w:color w:val="auto"/>
                <w:w w:val="84"/>
                <w:vertAlign w:val="superscript"/>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b w:val="1"/>
                <w:bCs w:val="1"/>
                <w:color w:val="auto"/>
                <w:w w:val="96"/>
              </w:rPr>
              <w:t>unit</w:t>
            </w:r>
          </w:p>
        </w:tc>
        <w:tc>
          <w:tcPr>
            <w:tcW w:w="300" w:type="dxa"/>
            <w:vAlign w:val="bottom"/>
          </w:tcPr>
          <w:p>
            <w:pPr>
              <w:spacing w:after="0"/>
              <w:rPr>
                <w:sz w:val="24"/>
                <w:szCs w:val="24"/>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offering price</w:t>
            </w:r>
          </w:p>
        </w:tc>
        <w:tc>
          <w:tcPr>
            <w:tcW w:w="12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fee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Primary Offering:</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Ordinary Shares, par value NIS 0.01 per share</w:t>
            </w:r>
            <w:r>
              <w:rPr>
                <w:rFonts w:ascii="Arial" w:cs="Arial" w:eastAsia="Arial" w:hAnsi="Arial"/>
                <w:sz w:val="29"/>
                <w:szCs w:val="29"/>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gridSpan w:val="2"/>
          </w:tcPr>
          <w:p>
            <w:pPr>
              <w:spacing w:after="0" w:line="256" w:lineRule="exact"/>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(1)</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Rights</w:t>
            </w:r>
            <w:r>
              <w:rPr>
                <w:rFonts w:ascii="Arial" w:cs="Arial" w:eastAsia="Arial" w:hAnsi="Arial"/>
                <w:sz w:val="29"/>
                <w:szCs w:val="29"/>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gridSpan w:val="2"/>
          </w:tcPr>
          <w:p>
            <w:pPr>
              <w:spacing w:after="0" w:line="256" w:lineRule="exact"/>
              <w:rPr>
                <w:sz w:val="20"/>
                <w:szCs w:val="20"/>
                <w:color w:val="auto"/>
              </w:rPr>
            </w:pPr>
            <w:r>
              <w:rPr>
                <w:rFonts w:ascii="Arial" w:cs="Arial" w:eastAsia="Arial" w:hAnsi="Arial"/>
                <w:sz w:val="18"/>
                <w:szCs w:val="18"/>
                <w:color w:val="auto"/>
              </w:rPr>
              <w:t>Debt Securities</w:t>
            </w:r>
            <w:r>
              <w:rPr>
                <w:rFonts w:ascii="Arial" w:cs="Arial" w:eastAsia="Arial" w:hAnsi="Arial"/>
                <w:sz w:val="29"/>
                <w:szCs w:val="29"/>
                <w:color w:val="auto"/>
                <w:vertAlign w:val="superscript"/>
              </w:rPr>
              <w:t>(1)</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Units</w:t>
            </w:r>
            <w:r>
              <w:rPr>
                <w:rFonts w:ascii="Arial" w:cs="Arial" w:eastAsia="Arial" w:hAnsi="Arial"/>
                <w:sz w:val="29"/>
                <w:szCs w:val="29"/>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Subtotal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w w:val="97"/>
              </w:rPr>
              <w:t>100,000,000</w:t>
            </w:r>
            <w:r>
              <w:rPr>
                <w:rFonts w:ascii="Arial" w:cs="Arial" w:eastAsia="Arial" w:hAnsi="Arial"/>
                <w:sz w:val="15"/>
                <w:szCs w:val="15"/>
                <w:color w:val="auto"/>
                <w:w w:val="97"/>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w w:val="87"/>
              </w:rPr>
              <w:t>11,590.00</w:t>
            </w: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Secondary Offering: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ind w:left="3320"/>
              <w:spacing w:after="0" w:line="135" w:lineRule="exact"/>
              <w:rPr>
                <w:sz w:val="20"/>
                <w:szCs w:val="20"/>
                <w:color w:val="auto"/>
              </w:rPr>
            </w:pPr>
            <w:r>
              <w:rPr>
                <w:rFonts w:ascii="Arial" w:cs="Arial" w:eastAsia="Arial" w:hAnsi="Arial"/>
                <w:sz w:val="15"/>
                <w:szCs w:val="15"/>
                <w:color w:val="auto"/>
              </w:rPr>
              <w:t>(3)</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(4)</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920" w:type="dxa"/>
            <w:vAlign w:val="bottom"/>
            <w:gridSpan w:val="3"/>
            <w:vMerge w:val="restart"/>
          </w:tcPr>
          <w:p>
            <w:pPr>
              <w:spacing w:after="0" w:line="135" w:lineRule="exact"/>
              <w:rPr>
                <w:sz w:val="20"/>
                <w:szCs w:val="20"/>
                <w:color w:val="auto"/>
              </w:rPr>
            </w:pPr>
            <w:r>
              <w:rPr>
                <w:rFonts w:ascii="Arial" w:cs="Arial" w:eastAsia="Arial" w:hAnsi="Arial"/>
                <w:sz w:val="15"/>
                <w:szCs w:val="15"/>
                <w:color w:val="auto"/>
              </w:rPr>
              <w:t>Ordinary Shares, par value NIS 0.01 per share</w:t>
            </w:r>
          </w:p>
        </w:tc>
        <w:tc>
          <w:tcPr>
            <w:tcW w:w="1240" w:type="dxa"/>
            <w:vAlign w:val="bottom"/>
            <w:gridSpan w:val="2"/>
            <w:vMerge w:val="restart"/>
          </w:tcPr>
          <w:p>
            <w:pPr>
              <w:jc w:val="right"/>
              <w:ind w:right="100"/>
              <w:spacing w:after="0" w:line="135" w:lineRule="exact"/>
              <w:rPr>
                <w:sz w:val="20"/>
                <w:szCs w:val="20"/>
                <w:color w:val="auto"/>
              </w:rPr>
            </w:pPr>
            <w:r>
              <w:rPr>
                <w:rFonts w:ascii="Arial" w:cs="Arial" w:eastAsia="Arial" w:hAnsi="Arial"/>
                <w:sz w:val="15"/>
                <w:szCs w:val="15"/>
                <w:color w:val="auto"/>
              </w:rPr>
              <w:t>15,127,481</w:t>
            </w:r>
          </w:p>
        </w:tc>
        <w:tc>
          <w:tcPr>
            <w:tcW w:w="280" w:type="dxa"/>
            <w:vAlign w:val="bottom"/>
            <w:gridSpan w:val="2"/>
            <w:vMerge w:val="restart"/>
          </w:tcPr>
          <w:p>
            <w:pPr>
              <w:jc w:val="right"/>
              <w:ind w:right="80"/>
              <w:spacing w:after="0" w:line="135" w:lineRule="exact"/>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line="135" w:lineRule="exact"/>
              <w:rPr>
                <w:sz w:val="20"/>
                <w:szCs w:val="20"/>
                <w:color w:val="auto"/>
              </w:rPr>
            </w:pPr>
            <w:r>
              <w:rPr>
                <w:rFonts w:ascii="Arial" w:cs="Arial" w:eastAsia="Arial" w:hAnsi="Arial"/>
                <w:sz w:val="15"/>
                <w:szCs w:val="15"/>
                <w:color w:val="auto"/>
              </w:rPr>
              <w:t>12.83</w:t>
            </w:r>
          </w:p>
        </w:tc>
        <w:tc>
          <w:tcPr>
            <w:tcW w:w="300" w:type="dxa"/>
            <w:vAlign w:val="bottom"/>
            <w:vMerge w:val="continue"/>
          </w:tcPr>
          <w:p>
            <w:pPr>
              <w:spacing w:after="0"/>
              <w:rPr>
                <w:sz w:val="7"/>
                <w:szCs w:val="7"/>
                <w:color w:val="auto"/>
              </w:rPr>
            </w:pPr>
          </w:p>
        </w:tc>
        <w:tc>
          <w:tcPr>
            <w:tcW w:w="120" w:type="dxa"/>
            <w:vAlign w:val="bottom"/>
            <w:vMerge w:val="restart"/>
          </w:tcPr>
          <w:p>
            <w:pPr>
              <w:jc w:val="right"/>
              <w:spacing w:after="0" w:line="135" w:lineRule="exact"/>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ind w:left="100"/>
              <w:spacing w:after="0" w:line="135" w:lineRule="exact"/>
              <w:rPr>
                <w:sz w:val="20"/>
                <w:szCs w:val="20"/>
                <w:color w:val="auto"/>
              </w:rPr>
            </w:pPr>
            <w:r>
              <w:rPr>
                <w:rFonts w:ascii="Arial" w:cs="Arial" w:eastAsia="Arial" w:hAnsi="Arial"/>
                <w:sz w:val="15"/>
                <w:szCs w:val="15"/>
                <w:color w:val="auto"/>
              </w:rPr>
              <w:t>194,085,581</w:t>
            </w:r>
          </w:p>
        </w:tc>
        <w:tc>
          <w:tcPr>
            <w:tcW w:w="120" w:type="dxa"/>
            <w:vAlign w:val="bottom"/>
            <w:vMerge w:val="restart"/>
          </w:tcPr>
          <w:p>
            <w:pPr>
              <w:jc w:val="right"/>
              <w:spacing w:after="0" w:line="135" w:lineRule="exact"/>
              <w:rPr>
                <w:sz w:val="20"/>
                <w:szCs w:val="20"/>
                <w:color w:val="auto"/>
              </w:rPr>
            </w:pPr>
            <w:r>
              <w:rPr>
                <w:rFonts w:ascii="Arial" w:cs="Arial" w:eastAsia="Arial" w:hAnsi="Arial"/>
                <w:sz w:val="15"/>
                <w:szCs w:val="15"/>
                <w:color w:val="auto"/>
                <w:w w:val="95"/>
              </w:rPr>
              <w:t>$</w:t>
            </w:r>
          </w:p>
        </w:tc>
        <w:tc>
          <w:tcPr>
            <w:tcW w:w="1200" w:type="dxa"/>
            <w:vAlign w:val="bottom"/>
            <w:gridSpan w:val="2"/>
            <w:vMerge w:val="restart"/>
          </w:tcPr>
          <w:p>
            <w:pPr>
              <w:ind w:left="300"/>
              <w:spacing w:after="0" w:line="135" w:lineRule="exact"/>
              <w:rPr>
                <w:sz w:val="20"/>
                <w:szCs w:val="20"/>
                <w:color w:val="auto"/>
              </w:rPr>
            </w:pPr>
            <w:r>
              <w:rPr>
                <w:rFonts w:ascii="Arial" w:cs="Arial" w:eastAsia="Arial" w:hAnsi="Arial"/>
                <w:sz w:val="15"/>
                <w:szCs w:val="15"/>
                <w:color w:val="auto"/>
              </w:rPr>
              <w:t>22,494.</w:t>
            </w:r>
            <w:r>
              <w:rPr>
                <w:rFonts w:ascii="Arial" w:cs="Arial" w:eastAsia="Arial" w:hAnsi="Arial"/>
                <w:sz w:val="15"/>
                <w:szCs w:val="15"/>
                <w:u w:val="single" w:color="auto"/>
                <w:color w:val="auto"/>
              </w:rPr>
              <w:t>52</w:t>
            </w:r>
          </w:p>
        </w:tc>
        <w:tc>
          <w:tcPr>
            <w:tcW w:w="0" w:type="dxa"/>
            <w:vAlign w:val="bottom"/>
          </w:tcPr>
          <w:p>
            <w:pPr>
              <w:spacing w:after="0"/>
              <w:rPr>
                <w:sz w:val="1"/>
                <w:szCs w:val="1"/>
                <w:color w:val="auto"/>
              </w:rPr>
            </w:pPr>
          </w:p>
        </w:tc>
      </w:tr>
      <w:tr>
        <w:trPr>
          <w:trHeight w:val="61"/>
        </w:trPr>
        <w:tc>
          <w:tcPr>
            <w:tcW w:w="592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Total</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34,084.</w:t>
            </w:r>
            <w:r>
              <w:rPr>
                <w:rFonts w:ascii="Arial" w:cs="Arial" w:eastAsia="Arial" w:hAnsi="Arial"/>
                <w:sz w:val="18"/>
                <w:szCs w:val="18"/>
                <w:u w:val="single" w:color="auto"/>
                <w:color w:val="auto"/>
                <w:w w:val="87"/>
              </w:rPr>
              <w:t>52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80" w:hanging="372"/>
        <w:spacing w:after="0" w:line="291"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Such indeterminate number or amount of Registrant’s ordinary shares, warrants, rights, debt securities and units comprised of, or other combinations of, the foregoing securities as may, from time to time, be issued at indeterminate prices, and also includes such securities as may, from time to time, be issued upon conversion or exchange of securities registered hereunder, to the extent any such securities are, by their terms, convertible into or exchangeable for other securities. In no event will the aggregate maximum offering price of all securities issued pursuant to this Registration Statement on behalf of the Registrant exceed $100 million. In addition, up to 15,127,481 ordinary shares may be sold from time to time pursuant to this Registration Statement by the selling shareholders named herein. Pursuant to Rule 416 of the Securities Act of 1933, as amended (the “Securities Act”), this Registration Statement also includes additional ordinary shares issuable upon stock splits, stock dividends or similar transactions.</w:t>
      </w:r>
    </w:p>
    <w:p>
      <w:pPr>
        <w:spacing w:after="0" w:line="167" w:lineRule="exact"/>
        <w:rPr>
          <w:rFonts w:ascii="Arial" w:cs="Arial" w:eastAsia="Arial" w:hAnsi="Arial"/>
          <w:sz w:val="16"/>
          <w:szCs w:val="16"/>
          <w:color w:val="auto"/>
        </w:rPr>
      </w:pPr>
    </w:p>
    <w:p>
      <w:pPr>
        <w:jc w:val="both"/>
        <w:ind w:left="380" w:hanging="372"/>
        <w:spacing w:after="0" w:line="259"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457(o) under the Securities Act, which permits the registration fee to be calculated on the basis of the maximum offering price of all the securities listed, and Instruction II.C. of Form F-3, the table does not specify by each class information as to the amount to be registered, proposed maximum offering price per unit or proposed maximum aggregate offering price. The aggregate public offering price of securities sold by the Registrant will not exceed $100 million (see Note 1 above).</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registered for resale by the selling shareholders.</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based upon the average high and low prices of the Registrant’s ordinary shares on the NASDAQ Global Select Market on December 30, 2016.</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left="200" w:right="200"/>
        <w:spacing w:after="0" w:line="264" w:lineRule="auto"/>
        <w:rPr>
          <w:sz w:val="20"/>
          <w:szCs w:val="20"/>
          <w:color w:val="auto"/>
        </w:rPr>
      </w:pPr>
      <w:r>
        <w:rPr>
          <w:rFonts w:ascii="Arial" w:cs="Arial" w:eastAsia="Arial" w:hAnsi="Arial"/>
          <w:sz w:val="18"/>
          <w:szCs w:val="18"/>
          <w:color w:val="FF0000"/>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51510"/>
                    </a:xfrm>
                    <a:prstGeom prst="rect">
                      <a:avLst/>
                    </a:prstGeom>
                    <a:noFill/>
                  </pic:spPr>
                </pic:pic>
              </a:graphicData>
            </a:graphic>
          </wp:anchor>
        </w:drawing>
        <w:t>The information in this prospectus is not complete and may be changed. Neither we nor the selling shareholders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January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 of Ordinary Shares, Warrants, Rights, Debt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and/or Units Offered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 to 15,127,481 Ordinary Shares 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18005" cy="1149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2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selling shareholders identified in this prospectus may offer up to 15,127,481 ordinary shares. We will not receive any of the proceeds from the sale of ordinary shares by the selling shareholders.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are traded on the NASDAQ Global Select Market under the symbol “KRNT.” The closing price of our ordinary shares, as reported on the NASDAQ Global Select Market on December 30, 2016 was $12.65.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are an “emerging growth company” as defined under U.S. federal securities laws and, as such, may elect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123190</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85725</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280"/>
              <w:spacing w:after="0"/>
              <w:rPr>
                <w:sz w:val="20"/>
                <w:szCs w:val="20"/>
                <w:color w:val="auto"/>
              </w:rPr>
            </w:pPr>
            <w:r>
              <w:rPr>
                <w:rFonts w:ascii="Arial" w:cs="Arial" w:eastAsia="Arial" w:hAnsi="Arial"/>
                <w:sz w:val="18"/>
                <w:szCs w:val="18"/>
                <w:color w:val="auto"/>
                <w:w w:val="95"/>
              </w:rPr>
              <w:t>The date of this prospectus is</w:t>
            </w:r>
          </w:p>
        </w:tc>
        <w:tc>
          <w:tcPr>
            <w:tcW w:w="4880" w:type="dxa"/>
            <w:vAlign w:val="bottom"/>
          </w:tcPr>
          <w:p>
            <w:pPr>
              <w:jc w:val="right"/>
              <w:ind w:right="4190"/>
              <w:spacing w:after="0"/>
              <w:rPr>
                <w:sz w:val="20"/>
                <w:szCs w:val="20"/>
                <w:color w:val="auto"/>
              </w:rPr>
            </w:pPr>
            <w:r>
              <w:rPr>
                <w:rFonts w:ascii="Arial" w:cs="Arial" w:eastAsia="Arial" w:hAnsi="Arial"/>
                <w:sz w:val="18"/>
                <w:szCs w:val="18"/>
                <w:color w:val="auto"/>
              </w:rPr>
              <w:t>, 2017</w:t>
            </w:r>
          </w:p>
        </w:tc>
      </w:tr>
      <w:tr>
        <w:trPr>
          <w:trHeight w:val="682"/>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9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4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4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Kornit Digital Ltd.</w:t>
              </w:r>
            </w:hyperlink>
          </w:p>
        </w:tc>
        <w:tc>
          <w:tcPr>
            <w:tcW w:w="2620" w:type="dxa"/>
            <w:vAlign w:val="bottom"/>
            <w:tcBorders>
              <w:top w:val="single" w:sz="8" w:color="CCEEFF"/>
            </w:tcBorders>
            <w:gridSpan w:val="12"/>
          </w:tcPr>
          <w:p>
            <w:pPr>
              <w:spacing w:after="0"/>
              <w:rPr>
                <w:sz w:val="15"/>
                <w:szCs w:val="15"/>
                <w:color w:val="auto"/>
              </w:rPr>
            </w:pPr>
          </w:p>
        </w:tc>
        <w:tc>
          <w:tcPr>
            <w:tcW w:w="7220" w:type="dxa"/>
            <w:vAlign w:val="bottom"/>
            <w:tcBorders>
              <w:top w:val="single" w:sz="8" w:color="CCEEFF"/>
            </w:tcBorders>
            <w:gridSpan w:val="2"/>
          </w:tcPr>
          <w:p>
            <w:pPr>
              <w:jc w:val="center"/>
              <w:ind w:left="633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280" w:type="dxa"/>
            <w:vAlign w:val="bottom"/>
            <w:tcBorders>
              <w:bottom w:val="single" w:sz="8" w:color="CCEEFF"/>
            </w:tcBorders>
            <w:gridSpan w:val="20"/>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7220" w:type="dxa"/>
            <w:vAlign w:val="bottom"/>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Capitalization</w:t>
              </w:r>
            </w:hyperlink>
          </w:p>
        </w:tc>
        <w:tc>
          <w:tcPr>
            <w:tcW w:w="3180" w:type="dxa"/>
            <w:vAlign w:val="bottom"/>
            <w:tcBorders>
              <w:bottom w:val="single" w:sz="8" w:color="CCEEFF"/>
            </w:tcBorders>
            <w:gridSpan w:val="19"/>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Price Range of Ordinary Shares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Use of Proceeds</w:t>
              </w:r>
            </w:hyperlink>
          </w:p>
        </w:tc>
        <w:tc>
          <w:tcPr>
            <w:tcW w:w="3020" w:type="dxa"/>
            <w:vAlign w:val="bottom"/>
            <w:tcBorders>
              <w:bottom w:val="single" w:sz="8" w:color="CCEEFF"/>
            </w:tcBorders>
            <w:gridSpan w:val="18"/>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Selling Shareholders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Securities</w:t>
              </w:r>
            </w:hyperlink>
          </w:p>
        </w:tc>
        <w:tc>
          <w:tcPr>
            <w:tcW w:w="2400" w:type="dxa"/>
            <w:vAlign w:val="bottom"/>
            <w:tcBorders>
              <w:bottom w:val="single" w:sz="8" w:color="CCEEFF"/>
            </w:tcBorders>
            <w:gridSpan w:val="10"/>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Ordinary Shares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Warrants</w:t>
              </w:r>
            </w:hyperlink>
          </w:p>
        </w:tc>
        <w:tc>
          <w:tcPr>
            <w:tcW w:w="2460" w:type="dxa"/>
            <w:vAlign w:val="bottom"/>
            <w:tcBorders>
              <w:bottom w:val="single" w:sz="8" w:color="CCEEFF"/>
            </w:tcBorders>
            <w:gridSpan w:val="11"/>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Rights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Debt Securities</w:t>
              </w:r>
            </w:hyperlink>
          </w:p>
        </w:tc>
        <w:tc>
          <w:tcPr>
            <w:tcW w:w="2000" w:type="dxa"/>
            <w:vAlign w:val="bottom"/>
            <w:tcBorders>
              <w:bottom w:val="single" w:sz="8" w:color="CCEEFF"/>
            </w:tcBorders>
            <w:gridSpan w:val="8"/>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Units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Plan of Distribution</w:t>
              </w:r>
            </w:hyperlink>
          </w:p>
        </w:tc>
        <w:tc>
          <w:tcPr>
            <w:tcW w:w="2760" w:type="dxa"/>
            <w:vAlign w:val="bottom"/>
            <w:tcBorders>
              <w:bottom w:val="single" w:sz="8" w:color="CCEEFF"/>
            </w:tcBorders>
            <w:gridSpan w:val="16"/>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Expenses Associated with the Registration</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Legal Matters</w:t>
              </w:r>
            </w:hyperlink>
          </w:p>
        </w:tc>
        <w:tc>
          <w:tcPr>
            <w:tcW w:w="3180" w:type="dxa"/>
            <w:vAlign w:val="bottom"/>
            <w:tcBorders>
              <w:bottom w:val="single" w:sz="8" w:color="CCEEFF"/>
            </w:tcBorders>
            <w:gridSpan w:val="19"/>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Where You Can Find More Information</w:t>
              </w:r>
            </w:hyperlink>
          </w:p>
        </w:tc>
        <w:tc>
          <w:tcPr>
            <w:tcW w:w="1320" w:type="dxa"/>
            <w:vAlign w:val="bottom"/>
            <w:tcBorders>
              <w:bottom w:val="single" w:sz="8" w:color="CCEEFF"/>
            </w:tcBorders>
            <w:gridSpan w:val="3"/>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of Certain Documents By Reference</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Enforceability of Civil Liabilities</w:t>
              </w:r>
            </w:hyperlink>
          </w:p>
        </w:tc>
        <w:tc>
          <w:tcPr>
            <w:tcW w:w="7220" w:type="dxa"/>
            <w:vAlign w:val="bottom"/>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64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55"/>
        </w:trPr>
        <w:tc>
          <w:tcPr>
            <w:tcW w:w="47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47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43"/>
        </w:trPr>
        <w:tc>
          <w:tcPr>
            <w:tcW w:w="47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Ratio of earnings to fixed charges</w:t>
            </w:r>
            <w:r>
              <w:rPr>
                <w:rFonts w:ascii="Arial" w:cs="Arial" w:eastAsia="Arial" w:hAnsi="Arial"/>
                <w:sz w:val="28"/>
                <w:szCs w:val="28"/>
                <w:color w:val="auto"/>
                <w:vertAlign w:val="superscript"/>
              </w:rPr>
              <w:t>(1)</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8.78</w:t>
            </w:r>
          </w:p>
        </w:tc>
        <w:tc>
          <w:tcPr>
            <w:tcW w:w="7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5.54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80" w:hanging="372"/>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ratio of earnings to fixed charges is computed by dividing (i) income before income taxes plus fixed charges by (ii) 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3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Annual:</w:t>
            </w:r>
          </w:p>
        </w:tc>
        <w:tc>
          <w:tcPr>
            <w:tcW w:w="2140" w:type="dxa"/>
            <w:vAlign w:val="bottom"/>
          </w:tcPr>
          <w:p>
            <w:pPr>
              <w:spacing w:after="0"/>
              <w:rPr>
                <w:sz w:val="20"/>
                <w:szCs w:val="20"/>
                <w:color w:val="auto"/>
              </w:rPr>
            </w:pPr>
          </w:p>
        </w:tc>
        <w:tc>
          <w:tcPr>
            <w:tcW w:w="250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2015 (beginning April 2,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11.76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December 2016 (through December 30,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October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August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June 2016</w:t>
            </w:r>
          </w:p>
        </w:tc>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price of our ordinary shares, as reported on NASDAQ on December 30, 2016, was $12.65.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securities that may be offered by us from time to time, this prospectus relates to the possible offering and sale, from time to time, of up to 15,127,481 ordinary shares by the selling shareholders.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8"/>
              </w:rPr>
              <w:t>Shares Beneficially Owned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Shares Beneficially Owned</w:t>
            </w: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Prior to Offering</w:t>
            </w:r>
          </w:p>
        </w:tc>
        <w:tc>
          <w:tcPr>
            <w:tcW w:w="27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Number of Shares to be Offered</w:t>
            </w:r>
          </w:p>
        </w:tc>
        <w:tc>
          <w:tcPr>
            <w:tcW w:w="26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After Offering</w:t>
            </w:r>
          </w:p>
        </w:tc>
      </w:tr>
      <w:tr>
        <w:trPr>
          <w:trHeight w:val="237"/>
        </w:trPr>
        <w:tc>
          <w:tcPr>
            <w:tcW w:w="31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Selling Shareholders</w:t>
            </w:r>
          </w:p>
        </w:tc>
        <w:tc>
          <w:tcPr>
            <w:tcW w:w="10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Fortissimo Capital Fund II (Israel), L.P.</w:t>
            </w:r>
            <w:r>
              <w:rPr>
                <w:rFonts w:ascii="Arial" w:cs="Arial" w:eastAsia="Arial" w:hAnsi="Arial"/>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15,037,481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15,037,481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326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30"/>
                <w:szCs w:val="30"/>
                <w:color w:val="auto"/>
                <w:vertAlign w:val="superscript"/>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528,914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90,000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438,914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89" w:lineRule="exact"/>
        <w:rPr>
          <w:sz w:val="20"/>
          <w:szCs w:val="20"/>
          <w:color w:val="auto"/>
        </w:rPr>
      </w:pPr>
    </w:p>
    <w:p>
      <w:pPr>
        <w:jc w:val="both"/>
        <w:ind w:left="380" w:hanging="372"/>
        <w:spacing w:after="0" w:line="25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93"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or our articles and the Israeli Companies Law,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Israeli Companies Law and under our articles, shareholders are not permitted to take action by way of written consent in lieu of a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articles provide that all resolutions of our shareholders require a simple majority vote, unless otherwise required by the Israeli Companies Law or by our articles.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23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applicable, a discussion of the material Israeli and U.S. income tax considerations applicable to the issuance or exercise of such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which the right to exercise such rights shall commence, and the date on which such rights shall expire (subject to any extension);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or any agency agreement, that we may enter into in connection with the rights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denominations in which such debt securities may be issuable, if other than denomination of $1,000, or any integral multiple of that number;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70" w:lineRule="exact"/>
        <w:rPr>
          <w:sz w:val="20"/>
          <w:szCs w:val="20"/>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68"/>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87"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transactions may be effected on an exchange, if the securities are listed on that exchange, or in the over-the-counter market or otherwise.</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FINRA filing fee</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44,613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3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0"/>
                <w:szCs w:val="20"/>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1"/>
        </w:trPr>
        <w:tc>
          <w:tcPr>
            <w:tcW w:w="62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78"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67"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http://www.sec.gov.</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6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225"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May 5, 2016 (only the GAAP financial statements with respect to the quarter ended March 31, 2016 attached to the press release annexed as Exhibit 99.1 thereto);</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July 14, 2016;</w:t>
      </w:r>
    </w:p>
    <w:p>
      <w:pPr>
        <w:spacing w:after="0" w:line="225" w:lineRule="exact"/>
        <w:rPr>
          <w:rFonts w:ascii="Arial" w:cs="Arial" w:eastAsia="Arial" w:hAnsi="Arial"/>
          <w:sz w:val="18"/>
          <w:szCs w:val="18"/>
          <w:color w:val="auto"/>
        </w:rPr>
      </w:pPr>
    </w:p>
    <w:p>
      <w:pPr>
        <w:ind w:left="130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o August 3, 2016 (only the GAAP financial statements with respect to the quarter and six months ended June 30, 2016 attached to the press release annexed as Exhibit 99.1 thereto);</w:t>
      </w:r>
    </w:p>
    <w:p>
      <w:pPr>
        <w:spacing w:after="0" w:line="170"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November 9, 2016 (only the GAAP financial statements with respect to the quarter and nine months ended September 30, 2016 attached to the press release annexed as Exhibit 99.1 thereto); and</w:t>
      </w:r>
    </w:p>
    <w:p>
      <w:pPr>
        <w:spacing w:after="0" w:line="170" w:lineRule="exact"/>
        <w:rPr>
          <w:rFonts w:ascii="Arial" w:cs="Arial" w:eastAsia="Arial" w:hAnsi="Arial"/>
          <w:sz w:val="18"/>
          <w:szCs w:val="18"/>
          <w:color w:val="auto"/>
        </w:rPr>
      </w:pPr>
    </w:p>
    <w:p>
      <w:pPr>
        <w:ind w:left="1300" w:hanging="324"/>
        <w:spacing w:after="0" w:line="264" w:lineRule="auto"/>
        <w:rPr>
          <w:rFonts w:ascii="Arial" w:cs="Arial" w:eastAsia="Arial" w:hAnsi="Arial"/>
          <w:sz w:val="18"/>
          <w:szCs w:val="18"/>
          <w:color w:val="auto"/>
        </w:rPr>
      </w:pPr>
      <w:r>
        <w:rPr>
          <w:rFonts w:ascii="Arial" w:cs="Arial" w:eastAsia="Arial" w:hAnsi="Arial"/>
          <w:sz w:val="18"/>
          <w:szCs w:val="18"/>
          <w:color w:val="auto"/>
        </w:rPr>
        <w:t>o 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73"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1104900</wp:posOffset>
            </wp:positionV>
            <wp:extent cx="1457960" cy="917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$100,000,000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Ordinary Shares,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 Rights,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and/or Units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Offered by the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15,127,481 Ordinary Shares 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294640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do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jc w:val="both"/>
        <w:ind w:left="980" w:hanging="324"/>
        <w:spacing w:after="0" w:line="27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225" w:lineRule="exact"/>
        <w:rPr>
          <w:sz w:val="20"/>
          <w:szCs w:val="20"/>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solely out of the negligent conduct of the office holder;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fine, civil fine, monetary sanction or forfeit levied against the office holder.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amended and restated articles of association permit us to exculpate, indemnify and insure our office holders to the fullest extent permitted or to be permitted by the Israeli Companies Law. 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Israeli Law, including with respect to liabilities resulting from a public offering of our shares, to the extent that these liabilities are not covered by insurance.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index to exhibits appears below on the page immediately following the signature pages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225" w:lineRule="exact"/>
        <w:rPr>
          <w:rFonts w:ascii="Arial" w:cs="Arial" w:eastAsia="Arial" w:hAnsi="Arial"/>
          <w:sz w:val="18"/>
          <w:szCs w:val="18"/>
          <w:color w:val="auto"/>
        </w:rPr>
      </w:pPr>
    </w:p>
    <w:p>
      <w:pPr>
        <w:jc w:val="both"/>
        <w:ind w:left="1620" w:hanging="315"/>
        <w:spacing w:after="0" w:line="272" w:lineRule="auto"/>
        <w:tabs>
          <w:tab w:leader="none" w:pos="1620" w:val="left"/>
        </w:tabs>
        <w:numPr>
          <w:ilvl w:val="2"/>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620" w:hanging="315"/>
        <w:spacing w:after="0" w:line="277"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(i), (ii) and (iii) above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periodic reports filed with or furnished to the Commission by the registrant pursuant to section 13 or section 15(d) of the Securities Exchange Act of 1934 (the “Exchange Act”) that are incorporated by reference in this registration statement or is contained in a form of prospectus filed pursuant to Rule 424(b) that is part of this registration statement.</w:t>
      </w:r>
    </w:p>
    <w:p>
      <w:pPr>
        <w:spacing w:after="0" w:line="171" w:lineRule="exact"/>
        <w:rPr>
          <w:sz w:val="20"/>
          <w:szCs w:val="20"/>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980" w:hanging="324"/>
        <w:spacing w:after="0" w:line="25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S-X if such financial statements and information are contained in periodic reports filed with or furnished to the Commission by the registrant pursuant to section 13 or section 15(d) of the Exchange Act that are incorporated by reference in this Form F-3.</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1620" w:hanging="315"/>
        <w:spacing w:after="0" w:line="269" w:lineRule="auto"/>
        <w:tabs>
          <w:tab w:leader="none" w:pos="16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620" w:hanging="315"/>
        <w:spacing w:after="0"/>
        <w:tabs>
          <w:tab w:leader="none" w:pos="162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620" w:hanging="315"/>
        <w:spacing w:after="0" w:line="277" w:lineRule="auto"/>
        <w:tabs>
          <w:tab w:leader="none" w:pos="1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34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Commission under section 305(b)(2) of the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line="61"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Rosh Ha’Ayin, Israel on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January, 2017.</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Gabi Seligsohn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Gabi Seligsohn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January 3, 2017 in the capacities indicated:</w:t>
      </w:r>
    </w:p>
    <w:p>
      <w:pPr>
        <w:sectPr>
          <w:pgSz w:w="11900" w:h="16899" w:orient="portrait"/>
          <w:cols w:equalWidth="0" w:num="1">
            <w:col w:w="11420"/>
          </w:cols>
          <w:pgMar w:left="240" w:top="226" w:right="239" w:bottom="0" w:gutter="0" w:footer="0" w:header="0"/>
        </w:sectPr>
      </w:pP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070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Gabi Seligsohn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Guy Avidan</w:t>
      </w: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Eli Blatt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Marc Lesnick</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Jerry Mandel</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Dov Ofer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Gabi Seligsohn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26035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 (Principal Executive Officer and Director)</w:t>
      </w:r>
    </w:p>
    <w:p>
      <w:pPr>
        <w:spacing w:after="0" w:line="200" w:lineRule="exact"/>
        <w:rPr>
          <w:sz w:val="20"/>
          <w:szCs w:val="20"/>
          <w:color w:val="auto"/>
        </w:rPr>
      </w:pPr>
    </w:p>
    <w:p>
      <w:pPr>
        <w:spacing w:after="0" w:line="268" w:lineRule="exact"/>
        <w:rPr>
          <w:sz w:val="20"/>
          <w:szCs w:val="20"/>
          <w:color w:val="auto"/>
        </w:rPr>
      </w:pPr>
    </w:p>
    <w:p>
      <w:pPr>
        <w:jc w:val="center"/>
        <w:ind w:right="60"/>
        <w:spacing w:after="0" w:line="277"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40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Authorized Representative in the United States</w:t>
      </w:r>
    </w:p>
    <w:p>
      <w:pPr>
        <w:spacing w:after="0" w:line="2006" w:lineRule="exact"/>
        <w:rPr>
          <w:sz w:val="20"/>
          <w:szCs w:val="20"/>
          <w:color w:val="auto"/>
        </w:rPr>
      </w:pPr>
    </w:p>
    <w:p>
      <w:pPr>
        <w:sectPr>
          <w:pgSz w:w="11900" w:h="16899" w:orient="portrait"/>
          <w:cols w:equalWidth="0" w:num="2">
            <w:col w:w="5060" w:space="720"/>
            <w:col w:w="5640"/>
          </w:cols>
          <w:pgMar w:left="240" w:top="226" w:right="239" w:bottom="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II-5</w:t>
      </w:r>
    </w:p>
    <w:p>
      <w:pPr>
        <w:sectPr>
          <w:pgSz w:w="11900" w:h="16899" w:orient="portrait"/>
          <w:cols w:equalWidth="0" w:num="1">
            <w:col w:w="11420"/>
          </w:cols>
          <w:pgMar w:left="240" w:top="226" w:right="23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 No.</w:t>
            </w:r>
          </w:p>
        </w:tc>
        <w:tc>
          <w:tcPr>
            <w:tcW w:w="10260" w:type="dxa"/>
            <w:vAlign w:val="bottom"/>
          </w:tcPr>
          <w:p>
            <w:pPr>
              <w:ind w:left="4740"/>
              <w:spacing w:after="0"/>
              <w:rPr>
                <w:sz w:val="20"/>
                <w:szCs w:val="20"/>
                <w:color w:val="auto"/>
              </w:rPr>
            </w:pPr>
            <w:r>
              <w:rPr>
                <w:rFonts w:ascii="Arial" w:cs="Arial" w:eastAsia="Arial" w:hAnsi="Arial"/>
                <w:sz w:val="18"/>
                <w:szCs w:val="18"/>
                <w:b w:val="1"/>
                <w:bCs w:val="1"/>
                <w:color w:val="auto"/>
              </w:rPr>
              <w:t>Document</w:t>
            </w:r>
          </w:p>
        </w:tc>
      </w:tr>
      <w:tr>
        <w:trPr>
          <w:trHeight w:val="257"/>
        </w:trPr>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Borders>
              <w:top w:val="single" w:sz="8" w:color="CCEEFF"/>
            </w:tcBorders>
            <w:shd w:val="clear" w:color="auto" w:fill="CCEEFF"/>
          </w:tcPr>
          <w:p>
            <w:pPr>
              <w:spacing w:after="0"/>
              <w:rPr>
                <w:sz w:val="22"/>
                <w:szCs w:val="22"/>
                <w:color w:val="auto"/>
              </w:rPr>
            </w:pPr>
          </w:p>
        </w:tc>
        <w:tc>
          <w:tcPr>
            <w:tcW w:w="1026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Form of Underwriting Agreement.</w:t>
            </w:r>
            <w:r>
              <w:rPr>
                <w:rFonts w:ascii="Arial" w:cs="Arial" w:eastAsia="Arial" w:hAnsi="Arial"/>
                <w:sz w:val="29"/>
                <w:szCs w:val="29"/>
                <w:color w:val="auto"/>
                <w:vertAlign w:val="superscript"/>
              </w:rPr>
              <w:t>(1)</w:t>
            </w:r>
          </w:p>
        </w:tc>
      </w:tr>
      <w:tr>
        <w:trPr>
          <w:trHeight w:val="202"/>
        </w:trPr>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3"/>
              </w:rPr>
              <w:t>Amended and Restated Articles of Association of the Registrant (incorporated by reference to Exhibit 3.2 of the Registration Statement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F-1 of the Registrant (File No. 333-202291) filed with the SEC on March 18, 2015).</w:t>
            </w:r>
          </w:p>
        </w:tc>
      </w:tr>
      <w:tr>
        <w:trPr>
          <w:trHeight w:val="216"/>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Form of Indenture relating to debt securities.</w:t>
            </w:r>
          </w:p>
        </w:tc>
      </w:tr>
      <w:tr>
        <w:trPr>
          <w:trHeight w:val="202"/>
        </w:trPr>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3"/>
              </w:rPr>
              <w:t>Specimen Share Certificate (incorporated by reference to Exhibit 4.1 of the Registration Statement on Form F-1 of the Registrant (File No.</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333-202291) filed with the SEC on March 10, 2015).</w:t>
            </w: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ind w:left="420"/>
        <w:spacing w:after="0"/>
        <w:rPr>
          <w:sz w:val="20"/>
          <w:szCs w:val="20"/>
          <w:color w:val="auto"/>
        </w:rPr>
      </w:pPr>
      <w:r>
        <w:rPr>
          <w:rFonts w:ascii="Arial" w:cs="Arial" w:eastAsia="Arial" w:hAnsi="Arial"/>
          <w:sz w:val="18"/>
          <w:szCs w:val="18"/>
          <w:color w:val="auto"/>
        </w:rPr>
        <w:t>4.3</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12.1</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23.1</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23.2</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23.3</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24.1</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25.1</w:t>
      </w:r>
    </w:p>
    <w:p>
      <w:pPr>
        <w:spacing w:after="0" w:line="20" w:lineRule="exact"/>
        <w:rPr>
          <w:sz w:val="20"/>
          <w:szCs w:val="20"/>
          <w:color w:val="auto"/>
        </w:rPr>
      </w:pPr>
      <w:r>
        <w:rPr>
          <w:sz w:val="20"/>
          <w:szCs w:val="20"/>
          <w:color w:val="auto"/>
        </w:rPr>
        <w:br w:type="column"/>
      </w:r>
    </w:p>
    <w:p>
      <w:pPr>
        <w:spacing w:after="0" w:line="185" w:lineRule="auto"/>
        <w:rPr>
          <w:sz w:val="20"/>
          <w:szCs w:val="20"/>
          <w:color w:val="auto"/>
        </w:rPr>
      </w:pPr>
      <w:r>
        <w:rPr>
          <w:rFonts w:ascii="Arial" w:cs="Arial" w:eastAsia="Arial" w:hAnsi="Arial"/>
          <w:sz w:val="18"/>
          <w:szCs w:val="18"/>
          <w:color w:val="auto"/>
        </w:rPr>
        <w:t>Form of Warrant Agreement.</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-162560</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Form of Warrant Certificate.</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Form of Debt Security.</w:t>
      </w:r>
      <w:r>
        <w:rPr>
          <w:rFonts w:ascii="Arial" w:cs="Arial" w:eastAsia="Arial" w:hAnsi="Arial"/>
          <w:sz w:val="29"/>
          <w:szCs w:val="29"/>
          <w:color w:val="auto"/>
          <w:vertAlign w:val="superscript"/>
        </w:rPr>
        <w:t>(1)</w:t>
      </w:r>
    </w:p>
    <w:p>
      <w:pPr>
        <w:spacing w:after="0" w:line="249" w:lineRule="auto"/>
        <w:rPr>
          <w:sz w:val="20"/>
          <w:szCs w:val="20"/>
          <w:color w:val="auto"/>
        </w:rPr>
      </w:pPr>
      <w:r>
        <w:rPr>
          <w:rFonts w:ascii="Arial" w:cs="Arial" w:eastAsia="Arial" w:hAnsi="Arial"/>
          <w:sz w:val="18"/>
          <w:szCs w:val="18"/>
          <w:color w:val="auto"/>
        </w:rPr>
        <w:t>Opinion of Meitar Liquornik Geva Leshem Tal, Israeli counsel to the Registrant, as to the validity of the ordinary shares and warrants (including consent).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Opinion of White &amp; Case LLP, U.S. counsel to the registrant, as to the validity of the debt securities (including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Statement regarding the computation of consolidated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 of Kost Forer Gabbay &amp; Kasierer, a member of Ernst &amp; Young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Consent of Meitar Liquornik Geva Leshem Tal (included in Exhibit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 of White &amp; Case LLP (included in 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-130810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Powers of Attorney (included in signature page to Registration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Eligibility of Trustee Under Indenture.</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-218440</wp:posOffset>
            </wp:positionV>
            <wp:extent cx="72466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81280</wp:posOffset>
            </wp:positionV>
            <wp:extent cx="18097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80" w:space="480"/>
            <w:col w:w="10260"/>
          </w:cols>
          <w:pgMar w:left="240" w:top="226" w:right="239" w:bottom="1440" w:gutter="0" w:footer="0" w:header="0"/>
          <w:type w:val="continuous"/>
        </w:sectPr>
      </w:pPr>
    </w:p>
    <w:p>
      <w:pPr>
        <w:ind w:left="38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on Form 6-K and incorporated herein by reference.</w:t>
      </w:r>
    </w:p>
    <w:p>
      <w:pPr>
        <w:spacing w:after="0" w:line="170"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applicable, to be incorporated by referenced to a subsequent filing in accordance with Section 305(b)(2) of the Trust Indenture Act of 1939, as amended.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Indenture</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________,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1403985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20" w:type="dxa"/>
            <w:vAlign w:val="bottom"/>
            <w:gridSpan w:val="2"/>
          </w:tcPr>
          <w:p>
            <w:pPr>
              <w:ind w:left="22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8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ARTICLE I  DEFINITIONS AND INCORPORATION BY REFERENCE</w:t>
            </w:r>
          </w:p>
        </w:tc>
        <w:tc>
          <w:tcPr>
            <w:tcW w:w="2520" w:type="dxa"/>
            <w:vAlign w:val="bottom"/>
            <w:shd w:val="clear" w:color="auto" w:fill="CCEEFF"/>
          </w:tcPr>
          <w:p>
            <w:pPr>
              <w:jc w:val="center"/>
              <w:ind w:left="203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1.01 Definitions</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1.02 Other Definitions</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1.03 Incorporation by Reference of Trust Indenture Act</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1.04 Rules of Construction</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5"/>
          </w:tcPr>
          <w:p>
            <w:pPr>
              <w:spacing w:after="0" w:line="176" w:lineRule="exact"/>
              <w:rPr>
                <w:sz w:val="20"/>
                <w:szCs w:val="20"/>
                <w:color w:val="auto"/>
              </w:rPr>
            </w:pPr>
            <w:r>
              <w:rPr>
                <w:rFonts w:ascii="Arial" w:cs="Arial" w:eastAsia="Arial" w:hAnsi="Arial"/>
                <w:sz w:val="18"/>
                <w:szCs w:val="18"/>
                <w:color w:val="auto"/>
              </w:rPr>
              <w:t>ARTICLE II</w:t>
            </w:r>
          </w:p>
        </w:tc>
        <w:tc>
          <w:tcPr>
            <w:tcW w:w="7900" w:type="dxa"/>
            <w:vAlign w:val="bottom"/>
            <w:gridSpan w:val="9"/>
          </w:tcPr>
          <w:p>
            <w:pPr>
              <w:ind w:left="60"/>
              <w:spacing w:after="0" w:line="176" w:lineRule="exact"/>
              <w:rPr>
                <w:sz w:val="20"/>
                <w:szCs w:val="20"/>
                <w:color w:val="auto"/>
              </w:rPr>
            </w:pPr>
            <w:r>
              <w:rPr>
                <w:rFonts w:ascii="Arial" w:cs="Arial" w:eastAsia="Arial" w:hAnsi="Arial"/>
                <w:sz w:val="18"/>
                <w:szCs w:val="18"/>
                <w:color w:val="auto"/>
              </w:rPr>
              <w:t>THE SECURITIES</w:t>
            </w:r>
          </w:p>
        </w:tc>
        <w:tc>
          <w:tcPr>
            <w:tcW w:w="2520" w:type="dxa"/>
            <w:vAlign w:val="bottom"/>
          </w:tcPr>
          <w:p>
            <w:pPr>
              <w:jc w:val="center"/>
              <w:ind w:left="20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2.01 Issuable in Series</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2.02 Establishment of Terms of Series of Securities</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2.03 Execution and Authentication</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2.04 Registrar and Paying Agent</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2.05 Paying Agent to Hold Money in Trust</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2.06 Holder Lists</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2.07 Transfer and Exchange</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2.08 Mutilated, Destroyed, Lost and Stolen Securities</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2.09 Outstanding Securities</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2.10 Treasury Securities</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2.11 Temporary Securities</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2.12 Cancellation</w:t>
            </w:r>
          </w:p>
        </w:tc>
        <w:tc>
          <w:tcPr>
            <w:tcW w:w="25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2.13 Defaulted Interest</w:t>
            </w:r>
          </w:p>
        </w:tc>
        <w:tc>
          <w:tcPr>
            <w:tcW w:w="2520" w:type="dxa"/>
            <w:vAlign w:val="bottom"/>
          </w:tcPr>
          <w:p>
            <w:pPr>
              <w:jc w:val="center"/>
              <w:ind w:left="203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2.14 Global Securities</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2.15 CUSIP Numbers</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5"/>
          </w:tcPr>
          <w:p>
            <w:pPr>
              <w:spacing w:after="0" w:line="176" w:lineRule="exact"/>
              <w:rPr>
                <w:sz w:val="20"/>
                <w:szCs w:val="20"/>
                <w:color w:val="auto"/>
              </w:rPr>
            </w:pPr>
            <w:r>
              <w:rPr>
                <w:rFonts w:ascii="Arial" w:cs="Arial" w:eastAsia="Arial" w:hAnsi="Arial"/>
                <w:sz w:val="18"/>
                <w:szCs w:val="18"/>
                <w:color w:val="auto"/>
                <w:w w:val="99"/>
              </w:rPr>
              <w:t>ARTICLE III</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780" w:type="dxa"/>
            <w:vAlign w:val="bottom"/>
            <w:gridSpan w:val="7"/>
          </w:tcPr>
          <w:p>
            <w:pPr>
              <w:jc w:val="center"/>
              <w:ind w:right="6620"/>
              <w:spacing w:after="0" w:line="176" w:lineRule="exact"/>
              <w:rPr>
                <w:sz w:val="20"/>
                <w:szCs w:val="20"/>
                <w:color w:val="auto"/>
              </w:rPr>
            </w:pPr>
            <w:r>
              <w:rPr>
                <w:rFonts w:ascii="Arial" w:cs="Arial" w:eastAsia="Arial" w:hAnsi="Arial"/>
                <w:sz w:val="18"/>
                <w:szCs w:val="18"/>
                <w:color w:val="auto"/>
                <w:w w:val="96"/>
              </w:rPr>
              <w:t>REDEMPTION</w:t>
            </w:r>
          </w:p>
        </w:tc>
        <w:tc>
          <w:tcPr>
            <w:tcW w:w="2520" w:type="dxa"/>
            <w:vAlign w:val="bottom"/>
          </w:tcPr>
          <w:p>
            <w:pPr>
              <w:jc w:val="center"/>
              <w:ind w:left="2050"/>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3.01 Notice to Trustee</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3.02 Selection of Securities to be Redeemed</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3.03 Notice of Redemption</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3.04 Effect of Notice of Redemption</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3.05 Deposit of Redemption Price</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3.06 Securities Redeemed in Part</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7"/>
              </w:rPr>
              <w:t>ARTICLE IV</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780" w:type="dxa"/>
            <w:vAlign w:val="bottom"/>
            <w:gridSpan w:val="7"/>
            <w:shd w:val="clear" w:color="auto" w:fill="CCEEFF"/>
          </w:tcPr>
          <w:p>
            <w:pPr>
              <w:jc w:val="center"/>
              <w:ind w:right="6580"/>
              <w:spacing w:after="0" w:line="176" w:lineRule="exact"/>
              <w:rPr>
                <w:sz w:val="20"/>
                <w:szCs w:val="20"/>
                <w:color w:val="auto"/>
              </w:rPr>
            </w:pPr>
            <w:r>
              <w:rPr>
                <w:rFonts w:ascii="Arial" w:cs="Arial" w:eastAsia="Arial" w:hAnsi="Arial"/>
                <w:sz w:val="18"/>
                <w:szCs w:val="18"/>
                <w:color w:val="auto"/>
                <w:w w:val="96"/>
              </w:rPr>
              <w:t>COVENANTS</w:t>
            </w:r>
          </w:p>
        </w:tc>
        <w:tc>
          <w:tcPr>
            <w:tcW w:w="2520" w:type="dxa"/>
            <w:vAlign w:val="bottom"/>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4.01 Payment of Principal and Interest</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4.02 SEC Reports</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4.03 Compliance Certificate</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4.04 Stay, Extension and Usury Laws</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5"/>
          </w:tcPr>
          <w:p>
            <w:pPr>
              <w:spacing w:after="0" w:line="176" w:lineRule="exact"/>
              <w:rPr>
                <w:sz w:val="20"/>
                <w:szCs w:val="20"/>
                <w:color w:val="auto"/>
              </w:rPr>
            </w:pPr>
            <w:r>
              <w:rPr>
                <w:rFonts w:ascii="Arial" w:cs="Arial" w:eastAsia="Arial" w:hAnsi="Arial"/>
                <w:sz w:val="18"/>
                <w:szCs w:val="18"/>
                <w:color w:val="auto"/>
              </w:rPr>
              <w:t>ARTICLE V</w:t>
            </w:r>
          </w:p>
        </w:tc>
        <w:tc>
          <w:tcPr>
            <w:tcW w:w="60" w:type="dxa"/>
            <w:vAlign w:val="bottom"/>
          </w:tcPr>
          <w:p>
            <w:pPr>
              <w:spacing w:after="0"/>
              <w:rPr>
                <w:sz w:val="15"/>
                <w:szCs w:val="15"/>
                <w:color w:val="auto"/>
              </w:rPr>
            </w:pPr>
          </w:p>
        </w:tc>
        <w:tc>
          <w:tcPr>
            <w:tcW w:w="7840" w:type="dxa"/>
            <w:vAlign w:val="bottom"/>
            <w:gridSpan w:val="8"/>
          </w:tcPr>
          <w:p>
            <w:pPr>
              <w:spacing w:after="0" w:line="176" w:lineRule="exact"/>
              <w:rPr>
                <w:sz w:val="20"/>
                <w:szCs w:val="20"/>
                <w:color w:val="auto"/>
              </w:rPr>
            </w:pPr>
            <w:r>
              <w:rPr>
                <w:rFonts w:ascii="Arial" w:cs="Arial" w:eastAsia="Arial" w:hAnsi="Arial"/>
                <w:sz w:val="18"/>
                <w:szCs w:val="18"/>
                <w:color w:val="auto"/>
              </w:rPr>
              <w:t>SUCCESSORS</w:t>
            </w:r>
          </w:p>
        </w:tc>
        <w:tc>
          <w:tcPr>
            <w:tcW w:w="2520" w:type="dxa"/>
            <w:vAlign w:val="bottom"/>
          </w:tcPr>
          <w:p>
            <w:pPr>
              <w:jc w:val="center"/>
              <w:ind w:left="20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14"/>
          </w:tcPr>
          <w:p>
            <w:pPr>
              <w:spacing w:after="0"/>
              <w:rPr>
                <w:sz w:val="20"/>
                <w:szCs w:val="20"/>
                <w:color w:val="auto"/>
              </w:rPr>
            </w:pPr>
            <w:r>
              <w:rPr>
                <w:rFonts w:ascii="Arial" w:cs="Arial" w:eastAsia="Arial" w:hAnsi="Arial"/>
                <w:sz w:val="18"/>
                <w:szCs w:val="18"/>
                <w:color w:val="auto"/>
              </w:rPr>
              <w:t>Section 5.01 When Company May Merge, Etc.</w:t>
            </w:r>
          </w:p>
        </w:tc>
        <w:tc>
          <w:tcPr>
            <w:tcW w:w="2520" w:type="dxa"/>
            <w:vAlign w:val="bottom"/>
          </w:tcPr>
          <w:p>
            <w:pPr>
              <w:jc w:val="center"/>
              <w:ind w:left="20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Section 5.02 Successor Corporation Substituted</w:t>
            </w:r>
          </w:p>
        </w:tc>
        <w:tc>
          <w:tcPr>
            <w:tcW w:w="252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VI</w:t>
            </w:r>
          </w:p>
        </w:tc>
        <w:tc>
          <w:tcPr>
            <w:tcW w:w="73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DEFAULTS AND REMEDIES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6.01 Events of Default</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6.02 Acceleration of Maturity; Rescission and Annulment</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6.03 Collection of Indebtedness and Suits for Enforcement by Trustee</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6.04 Trustee May File Proofs of Claim</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6.05 Trustee May Enforce Claims Without Possession of Securities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6.06 Application of Money Collected</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6.07 Limitation on Suits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6.08 Unconditional Right of Holders to Receive Principal and Interest</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6.09 Restoration of Rights and Remedies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6.10 Rights and Remedies Cumulative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6.11 Delay or Omission Not Waiver</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6.12 Control by Holders</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6.13 Waiver of Past Defaults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6.14 Undertaking for Costs</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3"/>
          </w:tcPr>
          <w:p>
            <w:pPr>
              <w:spacing w:after="0" w:line="176" w:lineRule="exact"/>
              <w:rPr>
                <w:sz w:val="20"/>
                <w:szCs w:val="20"/>
                <w:color w:val="auto"/>
              </w:rPr>
            </w:pPr>
            <w:r>
              <w:rPr>
                <w:rFonts w:ascii="Arial" w:cs="Arial" w:eastAsia="Arial" w:hAnsi="Arial"/>
                <w:sz w:val="18"/>
                <w:szCs w:val="18"/>
                <w:color w:val="auto"/>
              </w:rPr>
              <w:t>ARTICLE VII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40" w:type="dxa"/>
            <w:vAlign w:val="bottom"/>
            <w:gridSpan w:val="3"/>
          </w:tcPr>
          <w:p>
            <w:pPr>
              <w:spacing w:after="0" w:line="176" w:lineRule="exact"/>
              <w:rPr>
                <w:sz w:val="20"/>
                <w:szCs w:val="20"/>
                <w:color w:val="auto"/>
              </w:rPr>
            </w:pPr>
            <w:r>
              <w:rPr>
                <w:rFonts w:ascii="Arial" w:cs="Arial" w:eastAsia="Arial" w:hAnsi="Arial"/>
                <w:sz w:val="18"/>
                <w:szCs w:val="18"/>
                <w:color w:val="auto"/>
              </w:rPr>
              <w:t>TRUSTEE</w:t>
            </w:r>
          </w:p>
        </w:tc>
        <w:tc>
          <w:tcPr>
            <w:tcW w:w="30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7.01 Duties of Trustee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7.02 Rights of Trustee</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7.03 Individual Rights of Trustee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7.04 Trustee’s Disclaimer</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7.05 Notice of Defaults</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7.06 Reports by Trustee to Holders</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7.07 Compensation and Indemnity</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7.08 Replacement of Trustee</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7.09 Successor Trustee by Merger, etc.</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Section 7.10 Eligibility; Disqualification</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8"/>
          </w:tcPr>
          <w:p>
            <w:pPr>
              <w:spacing w:after="0"/>
              <w:rPr>
                <w:sz w:val="20"/>
                <w:szCs w:val="20"/>
                <w:color w:val="auto"/>
              </w:rPr>
            </w:pPr>
            <w:r>
              <w:rPr>
                <w:rFonts w:ascii="Arial" w:cs="Arial" w:eastAsia="Arial" w:hAnsi="Arial"/>
                <w:sz w:val="18"/>
                <w:szCs w:val="18"/>
                <w:color w:val="auto"/>
              </w:rPr>
              <w:t>Section 7.11 Preferential Collection of Claims Against Company</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ARTICLE VIII  SATISFACTION AND DISCHARGE; DEFEASANCE</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8.01 Satisfaction and Discharge of Indenture</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8.02 Application of Trust Funds; Indemnification</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8.03 Legal Defeasance of Securities of any Series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8.04 Covenant Defeasance</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8.05 Repayment to Company</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8.06 Reinstatement</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w w:val="97"/>
              </w:rPr>
              <w:t>ARTICLE IX</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00" w:type="dxa"/>
            <w:vAlign w:val="bottom"/>
            <w:gridSpan w:val="7"/>
          </w:tcPr>
          <w:p>
            <w:pPr>
              <w:ind w:left="60"/>
              <w:spacing w:after="0" w:line="176" w:lineRule="exact"/>
              <w:rPr>
                <w:sz w:val="20"/>
                <w:szCs w:val="20"/>
                <w:color w:val="auto"/>
              </w:rPr>
            </w:pPr>
            <w:r>
              <w:rPr>
                <w:rFonts w:ascii="Arial" w:cs="Arial" w:eastAsia="Arial" w:hAnsi="Arial"/>
                <w:sz w:val="18"/>
                <w:szCs w:val="18"/>
                <w:color w:val="auto"/>
              </w:rPr>
              <w:t>AMENDMENTS AND WAIVERS</w:t>
            </w:r>
          </w:p>
        </w:tc>
        <w:tc>
          <w:tcPr>
            <w:tcW w:w="32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9.01 Without Consent of Holders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9.02 With Consent of Holders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9.03 Limitations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9.04 Compliance with Trust Indenture Act</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9.05 Revocation and Effect of Consents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9.06 Notation on or Exchange of Securities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9.07 Trustee Protected</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ARTICLE X</w:t>
            </w:r>
          </w:p>
        </w:tc>
        <w:tc>
          <w:tcPr>
            <w:tcW w:w="60" w:type="dxa"/>
            <w:vAlign w:val="bottom"/>
          </w:tcPr>
          <w:p>
            <w:pPr>
              <w:spacing w:after="0"/>
              <w:rPr>
                <w:sz w:val="15"/>
                <w:szCs w:val="15"/>
                <w:color w:val="auto"/>
              </w:rPr>
            </w:pPr>
          </w:p>
        </w:tc>
        <w:tc>
          <w:tcPr>
            <w:tcW w:w="7160" w:type="dxa"/>
            <w:vAlign w:val="bottom"/>
            <w:gridSpan w:val="8"/>
          </w:tcPr>
          <w:p>
            <w:pPr>
              <w:spacing w:after="0" w:line="176" w:lineRule="exact"/>
              <w:rPr>
                <w:sz w:val="20"/>
                <w:szCs w:val="20"/>
                <w:color w:val="auto"/>
              </w:rPr>
            </w:pPr>
            <w:r>
              <w:rPr>
                <w:rFonts w:ascii="Arial" w:cs="Arial" w:eastAsia="Arial" w:hAnsi="Arial"/>
                <w:sz w:val="18"/>
                <w:szCs w:val="18"/>
                <w:color w:val="auto"/>
              </w:rPr>
              <w:t>MISCELLANEOUS</w:t>
            </w:r>
          </w:p>
        </w:tc>
        <w:tc>
          <w:tcPr>
            <w:tcW w:w="3200" w:type="dxa"/>
            <w:vAlign w:val="bottom"/>
          </w:tcPr>
          <w:p>
            <w:pPr>
              <w:jc w:val="right"/>
              <w:ind w:right="30"/>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10.01 Trust Indenture Act Controls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10.02 Notices.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10.03 Communication by Holders with Other Holders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10.04 Certificate and Opinion as to Conditions Precedent</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10.05 Statements Required in Certificate or Opinion</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10.06 Rules by Trustee and Agents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10.07 Legal Holidays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10.08 No Recourse Against Others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10.09 Counterparts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10.10 Governing Laws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10.11 No Adverse Interpretation of Other Agreements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10.12 Successors</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10.13 Severability</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10.14 Table of Contents, Headings, Etc.</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10.15 Securities in a Foreign Currency</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10.16 Judgment Currency</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ARTICLE XI</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100" w:type="dxa"/>
            <w:vAlign w:val="bottom"/>
            <w:gridSpan w:val="7"/>
            <w:shd w:val="clear" w:color="auto" w:fill="CCEEFF"/>
          </w:tcPr>
          <w:p>
            <w:pPr>
              <w:ind w:left="60"/>
              <w:spacing w:after="0" w:line="176" w:lineRule="exact"/>
              <w:rPr>
                <w:sz w:val="20"/>
                <w:szCs w:val="20"/>
                <w:color w:val="auto"/>
              </w:rPr>
            </w:pPr>
            <w:r>
              <w:rPr>
                <w:rFonts w:ascii="Arial" w:cs="Arial" w:eastAsia="Arial" w:hAnsi="Arial"/>
                <w:sz w:val="18"/>
                <w:szCs w:val="18"/>
                <w:color w:val="auto"/>
              </w:rPr>
              <w:t>SINKING FUNDS</w:t>
            </w:r>
          </w:p>
        </w:tc>
        <w:tc>
          <w:tcPr>
            <w:tcW w:w="320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11.01 Applicability of Article</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Section 11.02 Satisfaction of Sinking Fund Payments with Securities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Section 11.03 Redemption of Securities for Sinking Fund</w:t>
            </w:r>
          </w:p>
        </w:tc>
        <w:tc>
          <w:tcPr>
            <w:tcW w:w="3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780" w:type="dxa"/>
            <w:vAlign w:val="bottom"/>
            <w:gridSpan w:val="2"/>
          </w:tcPr>
          <w:p>
            <w:pPr>
              <w:jc w:val="center"/>
              <w:ind w:right="2680"/>
              <w:spacing w:after="0"/>
              <w:rPr>
                <w:sz w:val="20"/>
                <w:szCs w:val="20"/>
                <w:color w:val="auto"/>
              </w:rPr>
            </w:pPr>
            <w:r>
              <w:rPr>
                <w:rFonts w:ascii="Arial" w:cs="Arial" w:eastAsia="Arial" w:hAnsi="Arial"/>
                <w:sz w:val="18"/>
                <w:szCs w:val="18"/>
                <w:b w:val="1"/>
                <w:bCs w:val="1"/>
                <w:color w:val="auto"/>
              </w:rPr>
              <w:t>KORNIT DIGITAL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780" w:type="dxa"/>
            <w:vAlign w:val="bottom"/>
            <w:gridSpan w:val="2"/>
          </w:tcPr>
          <w:p>
            <w:pPr>
              <w:jc w:val="center"/>
              <w:ind w:right="2680"/>
              <w:spacing w:after="0"/>
              <w:rPr>
                <w:sz w:val="20"/>
                <w:szCs w:val="20"/>
                <w:color w:val="auto"/>
              </w:rPr>
            </w:pPr>
            <w:r>
              <w:rPr>
                <w:rFonts w:ascii="Arial" w:cs="Arial" w:eastAsia="Arial" w:hAnsi="Arial"/>
                <w:sz w:val="18"/>
                <w:szCs w:val="18"/>
                <w:b w:val="1"/>
                <w:bCs w:val="1"/>
                <w:color w:val="auto"/>
                <w:w w:val="90"/>
              </w:rPr>
              <w:t>Reconciliation and tie between Trust Indenture Act of 1939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780" w:type="dxa"/>
            <w:vAlign w:val="bottom"/>
            <w:gridSpan w:val="2"/>
          </w:tcPr>
          <w:p>
            <w:pPr>
              <w:jc w:val="center"/>
              <w:ind w:right="2660"/>
              <w:spacing w:after="0"/>
              <w:rPr>
                <w:sz w:val="20"/>
                <w:szCs w:val="20"/>
                <w:color w:val="auto"/>
              </w:rPr>
            </w:pPr>
            <w:r>
              <w:rPr>
                <w:rFonts w:ascii="Arial" w:cs="Arial" w:eastAsia="Arial" w:hAnsi="Arial"/>
                <w:sz w:val="18"/>
                <w:szCs w:val="18"/>
                <w:b w:val="1"/>
                <w:bCs w:val="1"/>
                <w:color w:val="auto"/>
                <w:w w:val="89"/>
              </w:rPr>
              <w:t>Indenture, dated as of_______, ____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310</w:t>
            </w: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(a)(1)</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(a)(2)</w:t>
            </w:r>
          </w:p>
        </w:tc>
        <w:tc>
          <w:tcPr>
            <w:tcW w:w="876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(a)(3)</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(a)(4)</w:t>
            </w:r>
          </w:p>
        </w:tc>
        <w:tc>
          <w:tcPr>
            <w:tcW w:w="87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(a)(5)</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(b)</w:t>
            </w:r>
          </w:p>
        </w:tc>
        <w:tc>
          <w:tcPr>
            <w:tcW w:w="876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(b)</w:t>
            </w:r>
          </w:p>
        </w:tc>
        <w:tc>
          <w:tcPr>
            <w:tcW w:w="876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Section 312</w:t>
            </w:r>
          </w:p>
        </w:tc>
        <w:tc>
          <w:tcPr>
            <w:tcW w:w="1420" w:type="dxa"/>
            <w:vAlign w:val="bottom"/>
          </w:tcPr>
          <w:p>
            <w:pPr>
              <w:ind w:left="380"/>
              <w:spacing w:after="0"/>
              <w:rPr>
                <w:sz w:val="20"/>
                <w:szCs w:val="20"/>
                <w:color w:val="auto"/>
              </w:rPr>
            </w:pPr>
            <w:r>
              <w:rPr>
                <w:rFonts w:ascii="Arial" w:cs="Arial" w:eastAsia="Arial" w:hAnsi="Arial"/>
                <w:sz w:val="18"/>
                <w:szCs w:val="18"/>
                <w:color w:val="auto"/>
              </w:rPr>
              <w:t>(a)</w:t>
            </w:r>
          </w:p>
        </w:tc>
        <w:tc>
          <w:tcPr>
            <w:tcW w:w="876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(c)</w:t>
            </w:r>
          </w:p>
        </w:tc>
        <w:tc>
          <w:tcPr>
            <w:tcW w:w="876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(b)</w:t>
            </w:r>
          </w:p>
        </w:tc>
        <w:tc>
          <w:tcPr>
            <w:tcW w:w="87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(d)</w:t>
            </w:r>
          </w:p>
        </w:tc>
        <w:tc>
          <w:tcPr>
            <w:tcW w:w="87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314</w:t>
            </w: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(a)(4)</w:t>
            </w:r>
          </w:p>
        </w:tc>
        <w:tc>
          <w:tcPr>
            <w:tcW w:w="8760" w:type="dxa"/>
            <w:vAlign w:val="bottom"/>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(c)</w:t>
            </w:r>
          </w:p>
        </w:tc>
        <w:tc>
          <w:tcPr>
            <w:tcW w:w="87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ind w:left="380"/>
              <w:spacing w:after="0"/>
              <w:rPr>
                <w:sz w:val="20"/>
                <w:szCs w:val="20"/>
                <w:color w:val="auto"/>
              </w:rPr>
            </w:pPr>
            <w:r>
              <w:rPr>
                <w:rFonts w:ascii="Arial" w:cs="Arial" w:eastAsia="Arial" w:hAnsi="Arial"/>
                <w:sz w:val="18"/>
                <w:szCs w:val="18"/>
                <w:color w:val="auto"/>
              </w:rPr>
              <w:t>(e)</w:t>
            </w:r>
          </w:p>
        </w:tc>
        <w:tc>
          <w:tcPr>
            <w:tcW w:w="8760" w:type="dxa"/>
            <w:vAlign w:val="bottom"/>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w:t>
            </w:r>
          </w:p>
        </w:tc>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6"/>
          <w:szCs w:val="16"/>
          <w:color w:val="auto"/>
        </w:rPr>
        <w:t>Indenture dated as of________,______ between Kornit Digital Ltd., an Israeli company (“</w:t>
      </w:r>
      <w:r>
        <w:rPr>
          <w:rFonts w:ascii="Arial" w:cs="Arial" w:eastAsia="Arial" w:hAnsi="Arial"/>
          <w:sz w:val="16"/>
          <w:szCs w:val="16"/>
          <w:i w:val="1"/>
          <w:iCs w:val="1"/>
          <w:color w:val="auto"/>
        </w:rPr>
        <w:t>Company</w:t>
      </w:r>
      <w:r>
        <w:rPr>
          <w:rFonts w:ascii="Arial" w:cs="Arial" w:eastAsia="Arial" w:hAnsi="Arial"/>
          <w:sz w:val="16"/>
          <w:szCs w:val="16"/>
          <w:color w:val="auto"/>
        </w:rPr>
        <w:t>”), and_______, a_______ corporation, as trustee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1.01 Definitions.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Service Agent.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Procedures</w:t>
      </w:r>
      <w:r>
        <w:rPr>
          <w:rFonts w:ascii="Arial" w:cs="Arial" w:eastAsia="Arial" w:hAnsi="Arial"/>
          <w:sz w:val="17"/>
          <w:szCs w:val="17"/>
          <w:color w:val="auto"/>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Newspaper</w:t>
      </w:r>
      <w:r>
        <w:rPr>
          <w:rFonts w:ascii="Arial" w:cs="Arial" w:eastAsia="Arial" w:hAnsi="Arial"/>
          <w:sz w:val="18"/>
          <w:szCs w:val="18"/>
          <w:color w:val="auto"/>
        </w:rPr>
        <w:t>” means a newspaper in an official language of the country of publication customarily published at least once a day for at least five days in each calendar week and of general circulation in the place in connection with which the term is used. If it shall be impractical in the opinion of the Trustee to make any publication of any notice required hereby in an Authorized Newspaper, any publication or other notice in lieu thereof that is made or given by the Trustee shall constitute a sufficient publication of such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Bearer</w:t>
      </w:r>
      <w:r>
        <w:rPr>
          <w:rFonts w:ascii="Arial" w:cs="Arial" w:eastAsia="Arial" w:hAnsi="Arial"/>
          <w:sz w:val="18"/>
          <w:szCs w:val="18"/>
          <w:color w:val="auto"/>
        </w:rPr>
        <w:t>” means anyone in possession from time to time of a Bearer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Bearer Security</w:t>
      </w:r>
      <w:r>
        <w:rPr>
          <w:rFonts w:ascii="Arial" w:cs="Arial" w:eastAsia="Arial" w:hAnsi="Arial"/>
          <w:sz w:val="16"/>
          <w:szCs w:val="16"/>
          <w:color w:val="auto"/>
        </w:rPr>
        <w:t>” means any Security, including any interest coupon appertaining thereto, that does not provide for the identification of the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Chief Executive Officer, Chief Financial Officer or a Vice President, and by its Treasurer, an Assistant Treasurer, its Secretary or an Assistant Secretary, and delivered to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Depository</w:t>
      </w:r>
      <w:r>
        <w:rPr>
          <w:rFonts w:ascii="Arial" w:cs="Arial" w:eastAsia="Arial" w:hAnsi="Arial"/>
          <w:sz w:val="18"/>
          <w:szCs w:val="18"/>
          <w:color w:val="auto"/>
        </w:rPr>
        <w:t>” means, with respect to the Securities of any Series issuable or issued in whole or part in the form of one or more Global Securities, the person designated as Depositary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 New York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 America.</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Security is registered or the holder of a Bearer Security.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Chief Financial Officer, any Vice-President, the Treasurer, the Secretary, any Assistant Treasurer or any Assistant Secretary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reasonably acceptable to the Trustee. The counsel may be an employee of or counsel to the Company.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2.01 and 2.02 hereof.</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1.02 Other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2349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234950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DEFINED IN</w:t>
            </w:r>
          </w:p>
        </w:tc>
      </w:tr>
      <w:tr>
        <w:trPr>
          <w:trHeight w:val="241"/>
        </w:trPr>
        <w:tc>
          <w:tcPr>
            <w:tcW w:w="10300" w:type="dxa"/>
            <w:vAlign w:val="bottom"/>
            <w:gridSpan w:val="3"/>
          </w:tcPr>
          <w:p>
            <w:pPr>
              <w:ind w:left="660"/>
              <w:spacing w:after="0"/>
              <w:rPr>
                <w:sz w:val="20"/>
                <w:szCs w:val="20"/>
                <w:color w:val="auto"/>
              </w:rPr>
            </w:pPr>
            <w:r>
              <w:rPr>
                <w:rFonts w:ascii="Arial" w:cs="Arial" w:eastAsia="Arial" w:hAnsi="Arial"/>
                <w:sz w:val="12"/>
                <w:szCs w:val="12"/>
                <w:b w:val="1"/>
                <w:bCs w:val="1"/>
                <w:color w:val="auto"/>
              </w:rPr>
              <w:t>TERM</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SECTION</w:t>
            </w:r>
          </w:p>
        </w:tc>
      </w:tr>
      <w:tr>
        <w:trPr>
          <w:trHeight w:val="216"/>
        </w:trPr>
        <w:tc>
          <w:tcPr>
            <w:tcW w:w="660" w:type="dxa"/>
            <w:vAlign w:val="bottom"/>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“Bankruptcy Law”</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“Custodian”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“Event of Default”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“Judgment Currency”</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“Legal Holiday”</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“mandatory sinking fund payment”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“Market Exchange Rate”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“New York Banking Day”</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“optional sinking fund payment”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“Paying Agent”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“Registrar”</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“Required Currency”</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10300" w:type="dxa"/>
            <w:vAlign w:val="bottom"/>
            <w:gridSpan w:val="3"/>
            <w:shd w:val="clear" w:color="auto" w:fill="CCEEFF"/>
          </w:tcPr>
          <w:p>
            <w:pPr>
              <w:ind w:left="660"/>
              <w:spacing w:after="0"/>
              <w:rPr>
                <w:sz w:val="20"/>
                <w:szCs w:val="20"/>
                <w:color w:val="auto"/>
              </w:rPr>
            </w:pPr>
            <w:r>
              <w:rPr>
                <w:rFonts w:ascii="Arial" w:cs="Arial" w:eastAsia="Arial" w:hAnsi="Arial"/>
                <w:sz w:val="18"/>
                <w:szCs w:val="18"/>
                <w:i w:val="1"/>
                <w:iCs w:val="1"/>
                <w:color w:val="auto"/>
              </w:rPr>
              <w:t>“Service Agent”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30"/>
        </w:trPr>
        <w:tc>
          <w:tcPr>
            <w:tcW w:w="10300" w:type="dxa"/>
            <w:vAlign w:val="bottom"/>
            <w:gridSpan w:val="3"/>
          </w:tcPr>
          <w:p>
            <w:pPr>
              <w:ind w:left="660"/>
              <w:spacing w:after="0"/>
              <w:rPr>
                <w:sz w:val="20"/>
                <w:szCs w:val="20"/>
                <w:color w:val="auto"/>
              </w:rPr>
            </w:pPr>
            <w:r>
              <w:rPr>
                <w:rFonts w:ascii="Arial" w:cs="Arial" w:eastAsia="Arial" w:hAnsi="Arial"/>
                <w:sz w:val="18"/>
                <w:szCs w:val="18"/>
                <w:i w:val="1"/>
                <w:iCs w:val="1"/>
                <w:color w:val="auto"/>
              </w:rPr>
              <w:t>“successor person”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1.03 Incorporation by Reference of Trust Indenture Act.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1.04 Rules of Construction.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generally accepted accounting principles;</w:t>
      </w:r>
    </w:p>
    <w:p>
      <w:pPr>
        <w:spacing w:after="0" w:line="236" w:lineRule="exact"/>
        <w:rPr>
          <w:rFonts w:ascii="Arial" w:cs="Arial" w:eastAsia="Arial" w:hAnsi="Arial"/>
          <w:sz w:val="17"/>
          <w:szCs w:val="17"/>
          <w:color w:val="auto"/>
        </w:rPr>
      </w:pPr>
    </w:p>
    <w:p>
      <w:pPr>
        <w:ind w:firstLine="656"/>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2.01 Issuable in Series. </w:t>
      </w:r>
      <w:r>
        <w:rPr>
          <w:rFonts w:ascii="Arial" w:cs="Arial" w:eastAsia="Arial" w:hAnsi="Arial"/>
          <w:sz w:val="16"/>
          <w:szCs w:val="16"/>
          <w:color w:val="auto"/>
        </w:rPr>
        <w:t>The aggregate principal amount of Securities that may be authenticated and delivered under this Indenture is</w:t>
      </w:r>
      <w:r>
        <w:rPr>
          <w:rFonts w:ascii="Arial" w:cs="Arial" w:eastAsia="Arial" w:hAnsi="Arial"/>
          <w:sz w:val="16"/>
          <w:szCs w:val="16"/>
          <w:b w:val="1"/>
          <w:bCs w:val="1"/>
          <w:color w:val="auto"/>
        </w:rPr>
        <w:t xml:space="preserve"> </w:t>
      </w:r>
      <w:r>
        <w:rPr>
          <w:rFonts w:ascii="Arial" w:cs="Arial" w:eastAsia="Arial" w:hAnsi="Arial"/>
          <w:sz w:val="16"/>
          <w:szCs w:val="16"/>
          <w:color w:val="auto"/>
        </w:rPr>
        <w:t>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2.02 Establishment of Terms of Series of Securities. </w:t>
      </w:r>
      <w:r>
        <w:rPr>
          <w:rFonts w:ascii="Arial" w:cs="Arial" w:eastAsia="Arial" w:hAnsi="Arial"/>
          <w:sz w:val="18"/>
          <w:szCs w:val="18"/>
          <w:color w:val="auto"/>
        </w:rPr>
        <w:t>At or prior to the issuance of any Securities within a Series, the following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84"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form and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Securities of the Series will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left="-20" w:firstLine="656"/>
        <w:spacing w:after="0" w:line="264" w:lineRule="auto"/>
        <w:tabs>
          <w:tab w:leader="none" w:pos="8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2.07, 2.08, 2.11, 3.06 or 9.06);</w:t>
      </w:r>
    </w:p>
    <w:p>
      <w:pPr>
        <w:spacing w:after="0" w:line="181" w:lineRule="exact"/>
        <w:rPr>
          <w:rFonts w:ascii="Arial" w:cs="Arial" w:eastAsia="Arial" w:hAnsi="Arial"/>
          <w:sz w:val="18"/>
          <w:szCs w:val="18"/>
          <w:color w:val="auto"/>
        </w:rPr>
      </w:pPr>
    </w:p>
    <w:p>
      <w:pPr>
        <w:ind w:left="900" w:hanging="26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8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jc w:val="both"/>
        <w:ind w:left="-20" w:right="20" w:firstLine="656"/>
        <w:spacing w:after="0" w:line="264" w:lineRule="auto"/>
        <w:tabs>
          <w:tab w:leader="none" w:pos="8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81" w:lineRule="exact"/>
        <w:rPr>
          <w:rFonts w:ascii="Arial" w:cs="Arial" w:eastAsia="Arial" w:hAnsi="Arial"/>
          <w:sz w:val="18"/>
          <w:szCs w:val="18"/>
          <w:color w:val="auto"/>
        </w:rPr>
      </w:pPr>
    </w:p>
    <w:p>
      <w:pPr>
        <w:ind w:left="-20" w:right="20" w:firstLine="656"/>
        <w:spacing w:after="0" w:line="277" w:lineRule="auto"/>
        <w:tabs>
          <w:tab w:leader="none" w:pos="8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8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20" w:firstLine="656"/>
        <w:spacing w:after="0" w:line="277" w:lineRule="auto"/>
        <w:tabs>
          <w:tab w:leader="none" w:pos="8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Securities of the Series shall be issuable;</w:t>
      </w:r>
    </w:p>
    <w:p>
      <w:pPr>
        <w:spacing w:after="0" w:line="248" w:lineRule="exact"/>
        <w:rPr>
          <w:rFonts w:ascii="Arial" w:cs="Arial" w:eastAsia="Arial" w:hAnsi="Arial"/>
          <w:sz w:val="16"/>
          <w:szCs w:val="16"/>
          <w:color w:val="auto"/>
        </w:rPr>
      </w:pPr>
    </w:p>
    <w:p>
      <w:pPr>
        <w:ind w:left="-20" w:firstLine="656"/>
        <w:spacing w:after="0" w:line="277" w:lineRule="auto"/>
        <w:tabs>
          <w:tab w:leader="none" w:pos="8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20" w:firstLine="656"/>
        <w:spacing w:after="0" w:line="277" w:lineRule="auto"/>
        <w:tabs>
          <w:tab w:leader="none" w:pos="8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and the agency or organization, if any, responsible for overseeing such composite currency;</w:t>
      </w:r>
    </w:p>
    <w:p>
      <w:pPr>
        <w:spacing w:after="0" w:line="170" w:lineRule="exact"/>
        <w:rPr>
          <w:rFonts w:ascii="Arial" w:cs="Arial" w:eastAsia="Arial" w:hAnsi="Arial"/>
          <w:sz w:val="18"/>
          <w:szCs w:val="18"/>
          <w:color w:val="auto"/>
        </w:rPr>
      </w:pPr>
    </w:p>
    <w:p>
      <w:pPr>
        <w:ind w:left="940" w:hanging="30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5" w:lineRule="exact"/>
        <w:rPr>
          <w:rFonts w:ascii="Arial" w:cs="Arial" w:eastAsia="Arial" w:hAnsi="Arial"/>
          <w:sz w:val="18"/>
          <w:szCs w:val="18"/>
          <w:color w:val="auto"/>
        </w:rPr>
      </w:pPr>
    </w:p>
    <w:p>
      <w:pPr>
        <w:ind w:left="-20" w:right="20" w:firstLine="656"/>
        <w:spacing w:after="0" w:line="277" w:lineRule="auto"/>
        <w:tabs>
          <w:tab w:leader="none" w:pos="8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rFonts w:ascii="Arial" w:cs="Arial" w:eastAsia="Arial" w:hAnsi="Arial"/>
          <w:sz w:val="18"/>
          <w:szCs w:val="18"/>
          <w:color w:val="auto"/>
        </w:rPr>
      </w:pPr>
    </w:p>
    <w:p>
      <w:pPr>
        <w:jc w:val="both"/>
        <w:ind w:left="-20" w:firstLine="656"/>
        <w:spacing w:after="0" w:line="312" w:lineRule="auto"/>
        <w:tabs>
          <w:tab w:leader="none" w:pos="8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 w:name="page46"/>
    <w:bookmarkEnd w:id="45"/>
    <w:p>
      <w:pPr>
        <w:ind w:firstLine="656"/>
        <w:spacing w:after="0" w:line="277" w:lineRule="auto"/>
        <w:tabs>
          <w:tab w:leader="none" w:pos="9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Securities of such Series will be senior debt securities or subordinated debt securities and, if applicable, a description of the subordination terms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8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terms of the Securities of the Series (which may modify or delete any provision of this Indenture insofar as it applies to such Series).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2.03 Execution and Authentication. </w:t>
      </w:r>
      <w:r>
        <w:rPr>
          <w:rFonts w:ascii="Arial" w:cs="Arial" w:eastAsia="Arial" w:hAnsi="Arial"/>
          <w:sz w:val="16"/>
          <w:szCs w:val="16"/>
          <w:color w:val="auto"/>
        </w:rPr>
        <w:t>Two Officers shall sign the Securities for the Company by manual or facsimile signature. If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 The Trustee shall have the right to decline to authenticate and deliver any Securities of such Series: (a) if the Trustee, being advised by counsel, determines that such action may not be taken lawfully; or (b) if the Trustee’s by its board of directors or trustees, executive committee or a trust committee of directors and/or vice-presidents shall determine in good faith that such action would expose the Trustee to personal liability to Holders of any then outstanding Series of Securities.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2.04 Registrar and Paying Agent. </w:t>
      </w:r>
      <w:r>
        <w:rPr>
          <w:rFonts w:ascii="Arial" w:cs="Arial" w:eastAsia="Arial" w:hAnsi="Arial"/>
          <w:sz w:val="16"/>
          <w:szCs w:val="16"/>
          <w:color w:val="auto"/>
        </w:rPr>
        <w:t>The Company shall maintain, with respect to each Series of Securities, at the place or places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such Series pursuant to Section 2.02,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Section 2.02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 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2.05 Paying Agent to Hold Money in Trust. </w:t>
      </w:r>
      <w:r>
        <w:rPr>
          <w:rFonts w:ascii="Arial" w:cs="Arial" w:eastAsia="Arial" w:hAnsi="Arial"/>
          <w:sz w:val="17"/>
          <w:szCs w:val="17"/>
          <w:color w:val="auto"/>
        </w:rPr>
        <w:t>The Company shall require each Paying Agent other than the Trustee to agree in writing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2.06 Holder Lists. </w:t>
      </w:r>
      <w:r>
        <w:rPr>
          <w:rFonts w:ascii="Arial" w:cs="Arial" w:eastAsia="Arial" w:hAnsi="Arial"/>
          <w:sz w:val="16"/>
          <w:szCs w:val="16"/>
          <w:color w:val="auto"/>
        </w:rPr>
        <w:t>The Trustee shall preserve in as current a form as is reasonably practicable the most recent list available to 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names and 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2.07 Transfer and Exchange. </w:t>
      </w:r>
      <w:r>
        <w:rPr>
          <w:rFonts w:ascii="Arial" w:cs="Arial" w:eastAsia="Arial" w:hAnsi="Arial"/>
          <w:sz w:val="17"/>
          <w:szCs w:val="17"/>
          <w:color w:val="auto"/>
        </w:rPr>
        <w:t>Where Securities of a Series are presented to the Registrar or a co-registrar with a request to register a</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2.08 Mutilated, Destroyed, Lost and Stolen Securities.</w:t>
      </w:r>
    </w:p>
    <w:p>
      <w:pPr>
        <w:spacing w:after="0" w:line="229" w:lineRule="exact"/>
        <w:rPr>
          <w:sz w:val="20"/>
          <w:szCs w:val="20"/>
          <w:color w:val="auto"/>
        </w:rPr>
      </w:pPr>
    </w:p>
    <w:p>
      <w:pPr>
        <w:jc w:val="both"/>
        <w:ind w:firstLine="656"/>
        <w:spacing w:after="0" w:line="288" w:lineRule="auto"/>
        <w:tabs>
          <w:tab w:leader="none" w:pos="914"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w:t>
      </w:r>
    </w:p>
    <w:p>
      <w:pPr>
        <w:jc w:val="both"/>
        <w:ind w:firstLine="8"/>
        <w:spacing w:after="0" w:line="271" w:lineRule="auto"/>
        <w:tabs>
          <w:tab w:leader="none" w:pos="2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or is about to become due and payable, the Company in its discretion may, instead of issuing a new Security, pay such Security.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ind w:firstLine="656"/>
        <w:spacing w:after="0" w:line="255" w:lineRule="auto"/>
        <w:tabs>
          <w:tab w:leader="none" w:pos="9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2.09 Outstanding Securities. </w:t>
      </w:r>
      <w:r>
        <w:rPr>
          <w:rFonts w:ascii="Arial" w:cs="Arial" w:eastAsia="Arial" w:hAnsi="Arial"/>
          <w:sz w:val="16"/>
          <w:szCs w:val="16"/>
          <w:color w:val="auto"/>
        </w:rPr>
        <w:t>The Securities outstanding at any time are all the Securities authenticated by the Trustee except for those</w:t>
      </w:r>
      <w:r>
        <w:rPr>
          <w:rFonts w:ascii="Arial" w:cs="Arial" w:eastAsia="Arial" w:hAnsi="Arial"/>
          <w:sz w:val="16"/>
          <w:szCs w:val="16"/>
          <w:b w:val="1"/>
          <w:bCs w:val="1"/>
          <w:color w:val="auto"/>
        </w:rPr>
        <w:t xml:space="preserve"> </w:t>
      </w:r>
      <w:r>
        <w:rPr>
          <w:rFonts w:ascii="Arial" w:cs="Arial" w:eastAsia="Arial" w:hAnsi="Arial"/>
          <w:sz w:val="16"/>
          <w:szCs w:val="16"/>
          <w:color w:val="auto"/>
        </w:rPr>
        <w:t>canceled 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2.10 Treasury Securities. </w:t>
      </w:r>
      <w:r>
        <w:rPr>
          <w:rFonts w:ascii="Arial" w:cs="Arial" w:eastAsia="Arial" w:hAnsi="Arial"/>
          <w:sz w:val="18"/>
          <w:szCs w:val="18"/>
          <w:color w:val="auto"/>
        </w:rPr>
        <w:t>In determining whether the Holders of the required principal amount of Securities of a Series have concurred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2.11 Temporary Securities. </w:t>
      </w:r>
      <w:r>
        <w:rPr>
          <w:rFonts w:ascii="Arial" w:cs="Arial" w:eastAsia="Arial" w:hAnsi="Arial"/>
          <w:sz w:val="18"/>
          <w:szCs w:val="18"/>
          <w:color w:val="auto"/>
        </w:rPr>
        <w:t>Until definitive Securities are ready for delivery, the Company may prepare and the Trustee shall authenticate</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2.12 Cancellation. </w:t>
      </w:r>
      <w:r>
        <w:rPr>
          <w:rFonts w:ascii="Arial" w:cs="Arial" w:eastAsia="Arial" w:hAnsi="Arial"/>
          <w:sz w:val="17"/>
          <w:szCs w:val="17"/>
          <w:color w:val="auto"/>
        </w:rPr>
        <w:t>The Company at any time may deliver Securities to the Trustee for cancellation. The Registrar and the Paying Agent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forward to the Trustee any Securities surrendered to them for registration of transfer, exchange or payment. The Trustee shall cancel all Securities surrendered for registration of transfer, exchange, payment, replacement or cancellation in accordance with its customary procedures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2.13 Defaulted Interest. </w:t>
      </w:r>
      <w:r>
        <w:rPr>
          <w:rFonts w:ascii="Arial" w:cs="Arial" w:eastAsia="Arial" w:hAnsi="Arial"/>
          <w:sz w:val="18"/>
          <w:szCs w:val="18"/>
          <w:color w:val="auto"/>
        </w:rPr>
        <w:t>If the Company defaults in a payment of interest on a Series of Securities, it shall pay the defaulted interest, plus,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law, any interest payable on the defaulted interest, to the persons who are Holders of the Series on a subsequent special record date. The Company shall fix the record date and payment date. At least ten (10) days before the record date, the Company shall mail to the Trustee and to each Holder of the Series a notice that states the record date, the payment date and the amount of interest to be paid. The Company may pay defaulted interest in any other lawful manner.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40"/>
        <w:spacing w:after="0"/>
        <w:rPr>
          <w:sz w:val="20"/>
          <w:szCs w:val="20"/>
          <w:color w:val="auto"/>
        </w:rPr>
      </w:pPr>
      <w:r>
        <w:rPr>
          <w:rFonts w:ascii="Arial" w:cs="Arial" w:eastAsia="Arial" w:hAnsi="Arial"/>
          <w:sz w:val="18"/>
          <w:szCs w:val="18"/>
          <w:b w:val="1"/>
          <w:bCs w:val="1"/>
          <w:color w:val="auto"/>
        </w:rPr>
        <w:t>Section 2.14 Global Securities.</w:t>
      </w:r>
    </w:p>
    <w:p>
      <w:pPr>
        <w:spacing w:after="0" w:line="229" w:lineRule="exact"/>
        <w:rPr>
          <w:sz w:val="20"/>
          <w:szCs w:val="20"/>
          <w:color w:val="auto"/>
        </w:rPr>
      </w:pPr>
    </w:p>
    <w:p>
      <w:pPr>
        <w:ind w:left="-20" w:firstLine="656"/>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Terms of Securities.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spacing w:after="0" w:line="146" w:lineRule="exact"/>
        <w:rPr>
          <w:rFonts w:ascii="Arial" w:cs="Arial" w:eastAsia="Arial" w:hAnsi="Arial"/>
          <w:sz w:val="17"/>
          <w:szCs w:val="17"/>
          <w:color w:val="auto"/>
        </w:rPr>
      </w:pPr>
    </w:p>
    <w:p>
      <w:pPr>
        <w:jc w:val="both"/>
        <w:ind w:left="-20" w:firstLine="656"/>
        <w:spacing w:after="0" w:line="270" w:lineRule="auto"/>
        <w:tabs>
          <w:tab w:leader="none" w:pos="89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(i)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Depository shall direct in writing in an aggregate principal amount equal to the principal amount of the Global Security with like tenor and terms.</w:t>
      </w:r>
    </w:p>
    <w:p>
      <w:pPr>
        <w:spacing w:after="0" w:line="181" w:lineRule="exact"/>
        <w:rPr>
          <w:rFonts w:ascii="Arial" w:cs="Arial" w:eastAsia="Arial" w:hAnsi="Arial"/>
          <w:sz w:val="17"/>
          <w:szCs w:val="17"/>
          <w:color w:val="auto"/>
        </w:rPr>
      </w:pPr>
    </w:p>
    <w:p>
      <w:pPr>
        <w:jc w:val="both"/>
        <w:ind w:left="-20" w:firstLine="656"/>
        <w:spacing w:after="0" w:line="264" w:lineRule="auto"/>
        <w:tabs>
          <w:tab w:leader="none" w:pos="8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provided in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81" w:lineRule="exact"/>
        <w:rPr>
          <w:rFonts w:ascii="Arial" w:cs="Arial" w:eastAsia="Arial" w:hAnsi="Arial"/>
          <w:sz w:val="18"/>
          <w:szCs w:val="18"/>
          <w:color w:val="auto"/>
        </w:rPr>
      </w:pPr>
    </w:p>
    <w:p>
      <w:pPr>
        <w:ind w:left="900" w:hanging="26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Legend. Any Global Security issued hereunder shall bear a legend in substantially the following form:</w:t>
      </w:r>
    </w:p>
    <w:p>
      <w:pPr>
        <w:spacing w:after="0" w:line="22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88" w:lineRule="exact"/>
        <w:rPr>
          <w:sz w:val="20"/>
          <w:szCs w:val="20"/>
          <w:color w:val="auto"/>
        </w:rPr>
      </w:pPr>
    </w:p>
    <w:p>
      <w:pPr>
        <w:ind w:left="-20" w:firstLine="656"/>
        <w:spacing w:after="0" w:line="277" w:lineRule="auto"/>
        <w:tabs>
          <w:tab w:leader="none" w:pos="8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Acts of Holders. 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rFonts w:ascii="Arial" w:cs="Arial" w:eastAsia="Arial" w:hAnsi="Arial"/>
          <w:sz w:val="18"/>
          <w:szCs w:val="18"/>
          <w:color w:val="auto"/>
        </w:rPr>
      </w:pPr>
    </w:p>
    <w:p>
      <w:pPr>
        <w:ind w:left="-20" w:firstLine="656"/>
        <w:spacing w:after="0" w:line="277" w:lineRule="auto"/>
        <w:tabs>
          <w:tab w:leader="none" w:pos="8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8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Consents, Declaration and Directions. Except as provided in Section 2.14(h), the Company, the Trustee and any Agent shall treat a person as the Holder of such principal amount of outstanding Securities of such Series represented by a Global Security as shall be specified in a written statement of the Depository with respect to such Global Security, for purposes of obtaining any consents, declarations, waivers or directions required to be given by the Holders pursuant to this Indenture.</w:t>
      </w:r>
    </w:p>
    <w:p>
      <w:pPr>
        <w:spacing w:after="0" w:line="186" w:lineRule="exact"/>
        <w:rPr>
          <w:rFonts w:ascii="Arial" w:cs="Arial" w:eastAsia="Arial" w:hAnsi="Arial"/>
          <w:sz w:val="18"/>
          <w:szCs w:val="18"/>
          <w:color w:val="auto"/>
        </w:rPr>
      </w:pPr>
    </w:p>
    <w:p>
      <w:pPr>
        <w:jc w:val="both"/>
        <w:ind w:left="-20" w:firstLine="656"/>
        <w:spacing w:after="0" w:line="257" w:lineRule="auto"/>
        <w:tabs>
          <w:tab w:leader="none" w:pos="8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Depository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9" w:name="page50"/>
    <w:bookmarkEnd w:id="49"/>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2.15 CUSIP Numbers. </w:t>
      </w:r>
      <w:r>
        <w:rPr>
          <w:rFonts w:ascii="Arial" w:cs="Arial" w:eastAsia="Arial" w:hAnsi="Arial"/>
          <w:sz w:val="16"/>
          <w:szCs w:val="16"/>
          <w:color w:val="auto"/>
        </w:rPr>
        <w:t>The Company in issuing the Securities may use “CUSIP” numbers (if then generally in use), and, if so, the Trustee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3.01 Notice to Trustee. </w:t>
      </w:r>
      <w:r>
        <w:rPr>
          <w:rFonts w:ascii="Arial" w:cs="Arial" w:eastAsia="Arial" w:hAnsi="Arial"/>
          <w:sz w:val="18"/>
          <w:szCs w:val="18"/>
          <w:color w:val="auto"/>
        </w:rPr>
        <w:t>The Company may, with respect to any Series of Securities, reserve the right to redeem and pay the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3.02 Selection of Securities to be Redeemed. </w:t>
      </w:r>
      <w:r>
        <w:rPr>
          <w:rFonts w:ascii="Arial" w:cs="Arial" w:eastAsia="Arial" w:hAnsi="Arial"/>
          <w:sz w:val="18"/>
          <w:szCs w:val="18"/>
          <w:color w:val="auto"/>
        </w:rPr>
        <w:t>Unless otherwise indicated for a particular Series by a Board Resolution, a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3.03 Notice of Redemption.</w:t>
      </w:r>
    </w:p>
    <w:p>
      <w:pPr>
        <w:spacing w:after="0" w:line="229" w:lineRule="exact"/>
        <w:rPr>
          <w:sz w:val="20"/>
          <w:szCs w:val="20"/>
          <w:color w:val="auto"/>
        </w:rPr>
      </w:pPr>
    </w:p>
    <w:p>
      <w:pPr>
        <w:jc w:val="both"/>
        <w:ind w:firstLine="656"/>
        <w:spacing w:after="0" w:line="259" w:lineRule="auto"/>
        <w:tabs>
          <w:tab w:leader="none" w:pos="9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 and, if any Bearer Securities are outstanding, publish on one occasion a notice in an Authorized Newspaper. The notice shall identify the Securities of the Series to be redeemed and shall state:</w:t>
      </w:r>
    </w:p>
    <w:p>
      <w:pPr>
        <w:spacing w:after="0" w:line="186" w:lineRule="exact"/>
        <w:rPr>
          <w:rFonts w:ascii="Arial" w:cs="Arial" w:eastAsia="Arial" w:hAnsi="Arial"/>
          <w:sz w:val="18"/>
          <w:szCs w:val="18"/>
          <w:color w:val="auto"/>
        </w:rPr>
      </w:pPr>
    </w:p>
    <w:p>
      <w:pPr>
        <w:ind w:left="1520" w:hanging="215"/>
        <w:spacing w:after="0"/>
        <w:tabs>
          <w:tab w:leader="none" w:pos="1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1600" w:hanging="295"/>
        <w:spacing w:after="0"/>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660" w:right="920" w:firstLine="645"/>
        <w:spacing w:after="0" w:line="528" w:lineRule="auto"/>
        <w:tabs>
          <w:tab w:leader="none" w:pos="1663"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 At the Company’s request, the Trustee shall give the notice of redemption in the Company’s name and at its expense.</w:t>
      </w: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3.04 Effect of Notice of Redemption. </w:t>
      </w:r>
      <w:r>
        <w:rPr>
          <w:rFonts w:ascii="Arial" w:cs="Arial" w:eastAsia="Arial" w:hAnsi="Arial"/>
          <w:sz w:val="16"/>
          <w:szCs w:val="16"/>
          <w:color w:val="auto"/>
        </w:rPr>
        <w:t>Once notice of redemption is mailed or published as provided in Section 3.03, Securities of a Series</w:t>
      </w:r>
      <w:r>
        <w:rPr>
          <w:rFonts w:ascii="Arial" w:cs="Arial" w:eastAsia="Arial" w:hAnsi="Arial"/>
          <w:sz w:val="16"/>
          <w:szCs w:val="16"/>
          <w:b w:val="1"/>
          <w:bCs w:val="1"/>
          <w:color w:val="auto"/>
        </w:rPr>
        <w:t xml:space="preserve"> </w:t>
      </w:r>
      <w:r>
        <w:rPr>
          <w:rFonts w:ascii="Arial" w:cs="Arial" w:eastAsia="Arial" w:hAnsi="Arial"/>
          <w:sz w:val="16"/>
          <w:szCs w:val="16"/>
          <w:color w:val="auto"/>
        </w:rPr>
        <w:t>called for 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5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3.05 Deposit of Redemption Price. </w:t>
      </w:r>
      <w:r>
        <w:rPr>
          <w:rFonts w:ascii="Arial" w:cs="Arial" w:eastAsia="Arial" w:hAnsi="Arial"/>
          <w:sz w:val="17"/>
          <w:szCs w:val="17"/>
          <w:color w:val="auto"/>
        </w:rPr>
        <w:t>On or before 10:00 a.m., New York City time, on the redemption date, the Company shall deposit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Paying Agent money sufficient to pay the redemption price of and accrued interest, if any, on all Securities to be redeemed on that date.</w:t>
      </w:r>
    </w:p>
    <w:p>
      <w:pPr>
        <w:spacing w:after="0" w:line="13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3.06 Securities Redeemed in Part. </w:t>
      </w:r>
      <w:r>
        <w:rPr>
          <w:rFonts w:ascii="Arial" w:cs="Arial" w:eastAsia="Arial" w:hAnsi="Arial"/>
          <w:sz w:val="17"/>
          <w:szCs w:val="17"/>
          <w:color w:val="auto"/>
        </w:rPr>
        <w:t>Upon surrender of a Security that is redeemed in part, the Trustee shall authenticate for the Holder a</w:t>
      </w:r>
      <w:r>
        <w:rPr>
          <w:rFonts w:ascii="Arial" w:cs="Arial" w:eastAsia="Arial" w:hAnsi="Arial"/>
          <w:sz w:val="17"/>
          <w:szCs w:val="17"/>
          <w:b w:val="1"/>
          <w:bCs w:val="1"/>
          <w:color w:val="auto"/>
        </w:rPr>
        <w:t xml:space="preserve"> </w:t>
      </w:r>
      <w:r>
        <w:rPr>
          <w:rFonts w:ascii="Arial" w:cs="Arial" w:eastAsia="Arial" w:hAnsi="Arial"/>
          <w:sz w:val="17"/>
          <w:szCs w:val="17"/>
          <w:color w:val="auto"/>
        </w:rPr>
        <w:t>new Security of the same Series and the same maturity equal in principal amount to the unredeemed portion of the Security surrendered.</w:t>
      </w:r>
    </w:p>
    <w:p>
      <w:pPr>
        <w:spacing w:after="0" w:line="13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4.01 Payment of Principal and Interest. </w:t>
      </w:r>
      <w:r>
        <w:rPr>
          <w:rFonts w:ascii="Arial" w:cs="Arial" w:eastAsia="Arial" w:hAnsi="Arial"/>
          <w:sz w:val="18"/>
          <w:szCs w:val="18"/>
          <w:color w:val="auto"/>
        </w:rPr>
        <w:t>The Company covenants and agrees for the benefit of the Holders of each Series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will duly and punctually pay the principal of and interest, if any, on the Securities of that Series in accordance with the terms of such Securities and this Indenture.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4.02 SEC Reports. </w:t>
      </w:r>
      <w:r>
        <w:rPr>
          <w:rFonts w:ascii="Arial" w:cs="Arial" w:eastAsia="Arial" w:hAnsi="Arial"/>
          <w:sz w:val="18"/>
          <w:szCs w:val="18"/>
          <w:color w:val="auto"/>
        </w:rPr>
        <w:t>The Company shall, so long as any of the Securities are outstanding, electronically file with the Commission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quarterly and other periodic reports that the Company is required to file (or would be otherwise required to file) with the Commission pursuant to Sections 13 and 15(d) of the Exchange Act. The Company also shall comply with the other provisions of TIA Section 314(a). Delivery of any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4.03 Compliance Certificate. </w:t>
      </w:r>
      <w:r>
        <w:rPr>
          <w:rFonts w:ascii="Arial" w:cs="Arial" w:eastAsia="Arial" w:hAnsi="Arial"/>
          <w:sz w:val="16"/>
          <w:szCs w:val="16"/>
          <w:color w:val="auto"/>
        </w:rPr>
        <w:t>The Company shall, so long as any of the Securities are outstanding, deliver to the Trustee, within 120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 The Company shall, so long as any of the Securities are outstanding, deliver to the Trustee, within thirty</w:t>
      </w:r>
    </w:p>
    <w:p>
      <w:pPr>
        <w:spacing w:after="0" w:line="2" w:lineRule="exact"/>
        <w:rPr>
          <w:sz w:val="20"/>
          <w:szCs w:val="20"/>
          <w:color w:val="auto"/>
        </w:rPr>
      </w:pPr>
    </w:p>
    <w:p>
      <w:pPr>
        <w:ind w:firstLine="8"/>
        <w:spacing w:after="0" w:line="261" w:lineRule="auto"/>
        <w:tabs>
          <w:tab w:leader="none" w:pos="3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after becoming aware of any Default or Event of Default, an Officers’ Certificate specifying such Default or Event of Default and what action the Company is taking or proposes to take with respect thereto.</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4.04 Stay, Extension and Usury Laws. </w:t>
      </w:r>
      <w:r>
        <w:rPr>
          <w:rFonts w:ascii="Arial" w:cs="Arial" w:eastAsia="Arial" w:hAnsi="Arial"/>
          <w:sz w:val="16"/>
          <w:szCs w:val="16"/>
          <w:color w:val="auto"/>
        </w:rPr>
        <w:t>The Company covenants (to the extent that it may lawfully do so) that it will not at any time insist</w:t>
      </w:r>
      <w:r>
        <w:rPr>
          <w:rFonts w:ascii="Arial" w:cs="Arial" w:eastAsia="Arial" w:hAnsi="Arial"/>
          <w:sz w:val="16"/>
          <w:szCs w:val="16"/>
          <w:b w:val="1"/>
          <w:bCs w:val="1"/>
          <w:color w:val="auto"/>
        </w:rPr>
        <w:t xml:space="preserve"> </w:t>
      </w:r>
      <w:r>
        <w:rPr>
          <w:rFonts w:ascii="Arial" w:cs="Arial" w:eastAsia="Arial" w:hAnsi="Arial"/>
          <w:sz w:val="16"/>
          <w:szCs w:val="16"/>
          <w:color w:val="auto"/>
        </w:rPr>
        <w:t>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5.01 When Company May Merge, Etc. </w:t>
      </w:r>
      <w:r>
        <w:rPr>
          <w:rFonts w:ascii="Arial" w:cs="Arial" w:eastAsia="Arial" w:hAnsi="Arial"/>
          <w:sz w:val="18"/>
          <w:szCs w:val="18"/>
          <w:color w:val="auto"/>
        </w:rPr>
        <w:t>The Company shall not consolidate with or merge with or into, or convey, transfer or lease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its properties and assets to, any person (a “successor person”) unless:</w:t>
      </w:r>
    </w:p>
    <w:p>
      <w:pPr>
        <w:spacing w:after="0" w:line="166" w:lineRule="exact"/>
        <w:rPr>
          <w:sz w:val="20"/>
          <w:szCs w:val="20"/>
          <w:color w:val="auto"/>
        </w:rPr>
      </w:pPr>
    </w:p>
    <w:p>
      <w:pPr>
        <w:ind w:right="20" w:firstLine="656"/>
        <w:spacing w:after="0" w:line="308" w:lineRule="auto"/>
        <w:tabs>
          <w:tab w:leader="none" w:pos="8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is the surviving corporation or the successor person (if other than the Company) is organized and validly existing under the laws of Israel or any U.S. domestic jurisdiction and expressly assumes the Company’s obligations on the Securities and under this Indenture;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5.02 Successor Corporation Substituted. </w:t>
      </w:r>
      <w:r>
        <w:rPr>
          <w:rFonts w:ascii="Arial" w:cs="Arial" w:eastAsia="Arial" w:hAnsi="Arial"/>
          <w:sz w:val="17"/>
          <w:szCs w:val="17"/>
          <w:color w:val="auto"/>
        </w:rPr>
        <w:t>Upon any consolidation or merger, or any sale, lease, conveyance or other disposition of all or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6.01 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jc w:val="both"/>
        <w:ind w:firstLine="656"/>
        <w:spacing w:after="0" w:line="264" w:lineRule="auto"/>
        <w:tabs>
          <w:tab w:leader="none" w:pos="9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193" w:lineRule="exact"/>
        <w:rPr>
          <w:rFonts w:ascii="Arial" w:cs="Arial" w:eastAsia="Arial" w:hAnsi="Arial"/>
          <w:sz w:val="18"/>
          <w:szCs w:val="18"/>
          <w:color w:val="auto"/>
        </w:rPr>
      </w:pPr>
    </w:p>
    <w:p>
      <w:pPr>
        <w:ind w:left="920" w:hanging="26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left="1560" w:hanging="255"/>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makes an admission by writing that it is generally unable to pay its debts as the same become due;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25" w:lineRule="exact"/>
        <w:rPr>
          <w:rFonts w:ascii="Arial" w:cs="Arial" w:eastAsia="Arial" w:hAnsi="Arial"/>
          <w:sz w:val="18"/>
          <w:szCs w:val="18"/>
          <w:color w:val="auto"/>
        </w:rPr>
      </w:pPr>
    </w:p>
    <w:p>
      <w:pPr>
        <w:ind w:firstLine="656"/>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2.02(n).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of the U.S. Code or any similar federal or state law for the relief of debtors. The term “Custodian” means any receiver, trustee, assignee, liquidator or similar official under any Bankruptcy Law.</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6.02 Acceleration of Maturity; Rescission and Annulment. </w:t>
      </w:r>
      <w:r>
        <w:rPr>
          <w:rFonts w:ascii="Arial" w:cs="Arial" w:eastAsia="Arial" w:hAnsi="Arial"/>
          <w:sz w:val="17"/>
          <w:szCs w:val="17"/>
          <w:color w:val="auto"/>
        </w:rPr>
        <w:t>If an Event of Default with respect to Securities of any Series at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ipso facto become and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b w:val="1"/>
          <w:bCs w:val="1"/>
          <w:color w:val="auto"/>
        </w:rPr>
        <w:t>Section 6.03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firstLine="656"/>
        <w:spacing w:after="0" w:line="277" w:lineRule="auto"/>
        <w:tabs>
          <w:tab w:leader="none" w:pos="9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6.04 Trustee May File Proofs of Claim. </w:t>
      </w:r>
      <w:r>
        <w:rPr>
          <w:rFonts w:ascii="Arial" w:cs="Arial" w:eastAsia="Arial" w:hAnsi="Arial"/>
          <w:sz w:val="16"/>
          <w:szCs w:val="16"/>
          <w:color w:val="auto"/>
        </w:rPr>
        <w:t>In case of the pendency of any receivership, insolvency, liquidation, bankruptcy,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6.05 Trustee May Enforce Claims Without Possession of Securities. </w:t>
      </w:r>
      <w:r>
        <w:rPr>
          <w:rFonts w:ascii="Arial" w:cs="Arial" w:eastAsia="Arial" w:hAnsi="Arial"/>
          <w:sz w:val="17"/>
          <w:szCs w:val="17"/>
          <w:color w:val="auto"/>
        </w:rPr>
        <w:t>All rights of action and claims under this Indenture or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auto"/>
        </w:rPr>
        <w:t>Section 6.06 Application of Money Collected.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7.07; and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6.07 Limitation on Suits. </w:t>
      </w:r>
      <w:r>
        <w:rPr>
          <w:rFonts w:ascii="Arial" w:cs="Arial" w:eastAsia="Arial" w:hAnsi="Arial"/>
          <w:sz w:val="18"/>
          <w:szCs w:val="18"/>
          <w:color w:val="auto"/>
        </w:rPr>
        <w:t>No Holder of any Security of any Series shall have any right to institute any proceeding, judicial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this Indenture, or for the appointment of a receiver or trustee, or for any other remedy hereunder, unless:</w:t>
      </w:r>
    </w:p>
    <w:p>
      <w:pPr>
        <w:spacing w:after="0" w:line="166" w:lineRule="exact"/>
        <w:rPr>
          <w:sz w:val="20"/>
          <w:szCs w:val="20"/>
          <w:color w:val="auto"/>
        </w:rPr>
      </w:pPr>
    </w:p>
    <w:p>
      <w:pPr>
        <w:ind w:left="900" w:hanging="244"/>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236" w:lineRule="exact"/>
        <w:rPr>
          <w:rFonts w:ascii="Arial" w:cs="Arial" w:eastAsia="Arial" w:hAnsi="Arial"/>
          <w:sz w:val="17"/>
          <w:szCs w:val="17"/>
          <w:color w:val="auto"/>
        </w:rPr>
      </w:pPr>
    </w:p>
    <w:p>
      <w:pPr>
        <w:ind w:firstLine="656"/>
        <w:spacing w:after="0" w:line="277" w:lineRule="auto"/>
        <w:tabs>
          <w:tab w:leader="none" w:pos="9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firstLine="656"/>
        <w:spacing w:after="0" w:line="277" w:lineRule="auto"/>
        <w:tabs>
          <w:tab w:leader="none" w:pos="9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firstLine="656"/>
        <w:spacing w:after="0" w:line="277" w:lineRule="auto"/>
        <w:tabs>
          <w:tab w:leader="none" w:pos="9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6.08 Unconditional Right of Holders to Receive Principal and Interest. </w:t>
      </w:r>
      <w:r>
        <w:rPr>
          <w:rFonts w:ascii="Arial" w:cs="Arial" w:eastAsia="Arial" w:hAnsi="Arial"/>
          <w:sz w:val="17"/>
          <w:szCs w:val="17"/>
          <w:color w:val="auto"/>
        </w:rPr>
        <w:t>Notwithstanding any other provision in this Indenture,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6.09 Restoration of Rights and Remedies. </w:t>
      </w:r>
      <w:r>
        <w:rPr>
          <w:rFonts w:ascii="Arial" w:cs="Arial" w:eastAsia="Arial" w:hAnsi="Arial"/>
          <w:sz w:val="18"/>
          <w:szCs w:val="18"/>
          <w:color w:val="auto"/>
        </w:rPr>
        <w:t>If the Trustee or any Holder has instituted any proceeding to enforce any right or remedy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6.10 Rights and Remedies Cumulative. </w:t>
      </w:r>
      <w:r>
        <w:rPr>
          <w:rFonts w:ascii="Arial" w:cs="Arial" w:eastAsia="Arial" w:hAnsi="Arial"/>
          <w:sz w:val="16"/>
          <w:szCs w:val="16"/>
          <w:color w:val="auto"/>
        </w:rPr>
        <w:t>Except as otherwise provided with respect to the replacement or payment of mutilated, destroyed,</w:t>
      </w:r>
      <w:r>
        <w:rPr>
          <w:rFonts w:ascii="Arial" w:cs="Arial" w:eastAsia="Arial" w:hAnsi="Arial"/>
          <w:sz w:val="16"/>
          <w:szCs w:val="16"/>
          <w:b w:val="1"/>
          <w:bCs w:val="1"/>
          <w:color w:val="auto"/>
        </w:rPr>
        <w:t xml:space="preserve"> </w:t>
      </w:r>
      <w:r>
        <w:rPr>
          <w:rFonts w:ascii="Arial" w:cs="Arial" w:eastAsia="Arial" w:hAnsi="Arial"/>
          <w:sz w:val="16"/>
          <w:szCs w:val="16"/>
          <w:color w:val="auto"/>
        </w:rPr>
        <w:t>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6.11 Delay or Omission Not Waiver. </w:t>
      </w:r>
      <w:r>
        <w:rPr>
          <w:rFonts w:ascii="Arial" w:cs="Arial" w:eastAsia="Arial" w:hAnsi="Arial"/>
          <w:sz w:val="18"/>
          <w:szCs w:val="18"/>
          <w:color w:val="auto"/>
        </w:rPr>
        <w:t>No delay or omission of the Trustee or of any Holder of any Securities to exercise any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6.12 Control by Holders. </w:t>
      </w:r>
      <w:r>
        <w:rPr>
          <w:rFonts w:ascii="Arial" w:cs="Arial" w:eastAsia="Arial" w:hAnsi="Arial"/>
          <w:sz w:val="18"/>
          <w:szCs w:val="18"/>
          <w:color w:val="auto"/>
        </w:rPr>
        <w:t>The Holders of a majority in principal amount of the outstanding Securities of any Series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 the time, method and place of conducting any proceeding for any remedy available to the Trustee, or exercising any trust or power conferred on the Trustee, with respect to the Securities of such Series, provided that:</w:t>
      </w:r>
    </w:p>
    <w:p>
      <w:pPr>
        <w:spacing w:after="0" w:line="180"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firstLine="656"/>
        <w:spacing w:after="0" w:line="308" w:lineRule="auto"/>
        <w:tabs>
          <w:tab w:leader="none" w:pos="89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subject to the provisions of Section 6.01, the Trustee shall have the right to decline to follow any such direction if the Trustee in good faith shall, by a Responsible Officer of the Trustee, determine that the proceeding so directed would involve the Trustee in personal liability.</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6.13 Waiver of Past Defaults. </w:t>
      </w:r>
      <w:r>
        <w:rPr>
          <w:rFonts w:ascii="Arial" w:cs="Arial" w:eastAsia="Arial" w:hAnsi="Arial"/>
          <w:sz w:val="16"/>
          <w:szCs w:val="16"/>
          <w:color w:val="auto"/>
        </w:rPr>
        <w:t>The Holders of not less than a majority in principal amount of the outstanding Securities of any Series may</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6.14 Undertaking for Costs. </w:t>
      </w:r>
      <w:r>
        <w:rPr>
          <w:rFonts w:ascii="Arial" w:cs="Arial" w:eastAsia="Arial" w:hAnsi="Arial"/>
          <w:sz w:val="16"/>
          <w:szCs w:val="16"/>
          <w:color w:val="auto"/>
        </w:rPr>
        <w:t>All parties to this Indenture agree, and each Holder of any Security by his acceptance thereof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7.01 Duties of Trustee.</w:t>
      </w:r>
    </w:p>
    <w:p>
      <w:pPr>
        <w:spacing w:after="0" w:line="229" w:lineRule="exact"/>
        <w:rPr>
          <w:sz w:val="20"/>
          <w:szCs w:val="20"/>
          <w:color w:val="auto"/>
        </w:rPr>
      </w:pPr>
    </w:p>
    <w:p>
      <w:pPr>
        <w:ind w:firstLine="656"/>
        <w:spacing w:after="0" w:line="342" w:lineRule="auto"/>
        <w:tabs>
          <w:tab w:leader="none" w:pos="9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jc w:val="both"/>
        <w:ind w:left="660" w:firstLine="645"/>
        <w:spacing w:after="0" w:line="257" w:lineRule="auto"/>
        <w:tabs>
          <w:tab w:leader="none" w:pos="1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188" w:lineRule="exact"/>
        <w:rPr>
          <w:rFonts w:ascii="Arial" w:cs="Arial" w:eastAsia="Arial" w:hAnsi="Arial"/>
          <w:sz w:val="18"/>
          <w:szCs w:val="18"/>
          <w:color w:val="auto"/>
        </w:rPr>
      </w:pPr>
    </w:p>
    <w:p>
      <w:pPr>
        <w:ind w:left="900" w:hanging="244"/>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210" w:lineRule="exact"/>
        <w:rPr>
          <w:rFonts w:ascii="Arial" w:cs="Arial" w:eastAsia="Arial" w:hAnsi="Arial"/>
          <w:sz w:val="16"/>
          <w:szCs w:val="16"/>
          <w:color w:val="auto"/>
        </w:rPr>
      </w:pPr>
    </w:p>
    <w:p>
      <w:pPr>
        <w:ind w:left="1520" w:hanging="215"/>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left="660" w:firstLine="645"/>
        <w:spacing w:after="0" w:line="277" w:lineRule="auto"/>
        <w:tabs>
          <w:tab w:leader="none" w:pos="15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firstLine="656"/>
        <w:spacing w:after="0" w:line="277" w:lineRule="auto"/>
        <w:tabs>
          <w:tab w:leader="none" w:pos="8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at the request or direction of any Holder unless it receives indemnity satisfactory to it against any loss, liability or expense.</w:t>
      </w:r>
    </w:p>
    <w:p>
      <w:pPr>
        <w:spacing w:after="0" w:line="170" w:lineRule="exact"/>
        <w:rPr>
          <w:rFonts w:ascii="Arial" w:cs="Arial" w:eastAsia="Arial" w:hAnsi="Arial"/>
          <w:sz w:val="18"/>
          <w:szCs w:val="18"/>
          <w:color w:val="auto"/>
        </w:rPr>
      </w:pPr>
    </w:p>
    <w:p>
      <w:pPr>
        <w:ind w:firstLine="656"/>
        <w:spacing w:after="0" w:line="277" w:lineRule="auto"/>
        <w:tabs>
          <w:tab w:leader="none" w:pos="8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firstLine="656"/>
        <w:spacing w:after="0" w:line="277" w:lineRule="auto"/>
        <w:tabs>
          <w:tab w:leader="none" w:pos="9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Paying Agent, the Registrar and any Service Agent or authenticating agent shall be entitled to the protections, immunities and standard of care as are set forth in paragraphs (a), (b) and (c) of this Section with respect to the Trustee.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7.02 Rights of Trustee.</w:t>
      </w:r>
    </w:p>
    <w:p>
      <w:pPr>
        <w:spacing w:after="0" w:line="229" w:lineRule="exact"/>
        <w:rPr>
          <w:sz w:val="20"/>
          <w:szCs w:val="20"/>
          <w:color w:val="auto"/>
        </w:rPr>
      </w:pPr>
    </w:p>
    <w:p>
      <w:pPr>
        <w:ind w:firstLine="656"/>
        <w:spacing w:after="0" w:line="277" w:lineRule="auto"/>
        <w:tabs>
          <w:tab w:leader="none" w:pos="8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ind w:firstLine="656"/>
        <w:spacing w:after="0" w:line="277" w:lineRule="auto"/>
        <w:tabs>
          <w:tab w:leader="none" w:pos="9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shall not be liable for any action it takes or omits to take in good faith in reliance on such Officers’ Certificate.</w:t>
      </w:r>
    </w:p>
    <w:p>
      <w:pPr>
        <w:spacing w:after="0" w:line="170" w:lineRule="exact"/>
        <w:rPr>
          <w:rFonts w:ascii="Arial" w:cs="Arial" w:eastAsia="Arial" w:hAnsi="Arial"/>
          <w:sz w:val="18"/>
          <w:szCs w:val="18"/>
          <w:color w:val="auto"/>
        </w:rPr>
      </w:pPr>
    </w:p>
    <w:p>
      <w:pPr>
        <w:ind w:firstLine="656"/>
        <w:spacing w:after="0" w:line="308" w:lineRule="auto"/>
        <w:tabs>
          <w:tab w:leader="none" w:pos="9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 care. No Depository shall be deemed an agent of the Trustee, and the Trustee shall not be responsible for any act or omission by any Depository.</w:t>
      </w:r>
    </w:p>
    <w:p>
      <w:pPr>
        <w:spacing w:after="0" w:line="146" w:lineRule="exact"/>
        <w:rPr>
          <w:rFonts w:ascii="Arial" w:cs="Arial" w:eastAsia="Arial" w:hAnsi="Arial"/>
          <w:sz w:val="17"/>
          <w:szCs w:val="17"/>
          <w:color w:val="auto"/>
        </w:rPr>
      </w:pPr>
    </w:p>
    <w:p>
      <w:pPr>
        <w:ind w:firstLine="656"/>
        <w:spacing w:after="0" w:line="277" w:lineRule="auto"/>
        <w:tabs>
          <w:tab w:leader="none" w:pos="9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170" w:lineRule="exact"/>
        <w:rPr>
          <w:rFonts w:ascii="Arial" w:cs="Arial" w:eastAsia="Arial" w:hAnsi="Arial"/>
          <w:sz w:val="18"/>
          <w:szCs w:val="18"/>
          <w:color w:val="auto"/>
        </w:rPr>
      </w:pPr>
    </w:p>
    <w:p>
      <w:pPr>
        <w:ind w:right="20" w:firstLine="656"/>
        <w:spacing w:after="0" w:line="308" w:lineRule="auto"/>
        <w:tabs>
          <w:tab w:leader="none" w:pos="90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46" w:lineRule="exact"/>
        <w:rPr>
          <w:rFonts w:ascii="Arial" w:cs="Arial" w:eastAsia="Arial" w:hAnsi="Arial"/>
          <w:sz w:val="17"/>
          <w:szCs w:val="17"/>
          <w:color w:val="auto"/>
        </w:rPr>
      </w:pPr>
    </w:p>
    <w:p>
      <w:pPr>
        <w:jc w:val="both"/>
        <w:ind w:firstLine="656"/>
        <w:spacing w:after="0" w:line="264"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81" w:lineRule="exact"/>
        <w:rPr>
          <w:rFonts w:ascii="Arial" w:cs="Arial" w:eastAsia="Arial" w:hAnsi="Arial"/>
          <w:sz w:val="18"/>
          <w:szCs w:val="18"/>
          <w:color w:val="auto"/>
        </w:rPr>
      </w:pPr>
    </w:p>
    <w:p>
      <w:pPr>
        <w:ind w:left="860" w:hanging="20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7.03 Individual Rights of Trustee. </w:t>
      </w:r>
      <w:r>
        <w:rPr>
          <w:rFonts w:ascii="Arial" w:cs="Arial" w:eastAsia="Arial" w:hAnsi="Arial"/>
          <w:sz w:val="18"/>
          <w:szCs w:val="18"/>
          <w:color w:val="auto"/>
        </w:rPr>
        <w:t>The Trustee in its individual or any other capacity may become the owner or pledgee of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7.04 Trustee’s Disclaimer. </w:t>
      </w:r>
      <w:r>
        <w:rPr>
          <w:rFonts w:ascii="Arial" w:cs="Arial" w:eastAsia="Arial" w:hAnsi="Arial"/>
          <w:sz w:val="18"/>
          <w:szCs w:val="18"/>
          <w:color w:val="auto"/>
        </w:rPr>
        <w:t>The Trustee makes no representation as to the validity or adequacy of this Indenture or the Securities, it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accountable for the Company’s use of the proceeds from the Securities, and it shall not be responsible for any statement in the Securities other than its authentication.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7.05 Notice of Defaults. </w:t>
      </w:r>
      <w:r>
        <w:rPr>
          <w:rFonts w:ascii="Arial" w:cs="Arial" w:eastAsia="Arial" w:hAnsi="Arial"/>
          <w:sz w:val="17"/>
          <w:szCs w:val="17"/>
          <w:color w:val="auto"/>
        </w:rPr>
        <w:t>If a Default or Event of Default occurs and is continuing with respect to the Securities of any Series and if it is</w:t>
      </w:r>
      <w:r>
        <w:rPr>
          <w:rFonts w:ascii="Arial" w:cs="Arial" w:eastAsia="Arial" w:hAnsi="Arial"/>
          <w:sz w:val="17"/>
          <w:szCs w:val="17"/>
          <w:b w:val="1"/>
          <w:bCs w:val="1"/>
          <w:color w:val="auto"/>
        </w:rPr>
        <w:t xml:space="preserve"> </w:t>
      </w:r>
      <w:r>
        <w:rPr>
          <w:rFonts w:ascii="Arial" w:cs="Arial" w:eastAsia="Arial" w:hAnsi="Arial"/>
          <w:sz w:val="17"/>
          <w:szCs w:val="17"/>
          <w:color w:val="auto"/>
        </w:rPr>
        <w:t>known to a Responsible Officer of the Trustee, the Trustee shall mail to each Holder of the Securities of that Series and, if any Bearer Securities are outstanding, publish on one occasion in an Authorized Newspaper,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7.06 Reports by Trustee to Holders. </w:t>
      </w:r>
      <w:r>
        <w:rPr>
          <w:rFonts w:ascii="Arial" w:cs="Arial" w:eastAsia="Arial" w:hAnsi="Arial"/>
          <w:sz w:val="17"/>
          <w:szCs w:val="17"/>
          <w:color w:val="auto"/>
        </w:rPr>
        <w:t>Within 60 days after May 15 in each year, the Trustee shall transmit by mail to all Holders, as their</w:t>
      </w:r>
      <w:r>
        <w:rPr>
          <w:rFonts w:ascii="Arial" w:cs="Arial" w:eastAsia="Arial" w:hAnsi="Arial"/>
          <w:sz w:val="17"/>
          <w:szCs w:val="17"/>
          <w:b w:val="1"/>
          <w:bCs w:val="1"/>
          <w:color w:val="auto"/>
        </w:rPr>
        <w:t xml:space="preserve"> </w:t>
      </w:r>
      <w:r>
        <w:rPr>
          <w:rFonts w:ascii="Arial" w:cs="Arial" w:eastAsia="Arial" w:hAnsi="Arial"/>
          <w:sz w:val="17"/>
          <w:szCs w:val="17"/>
          <w:color w:val="auto"/>
        </w:rPr>
        <w:t>names and addresses appear on the register kept by the Registrar and, if any Bearer Securities are outstanding, publish in an Authorized Newspaper, a brief report dated as of such May 15, in accordance with, and to the extent required under, TIA Section 313(a), (b), (c) and (d). A copy of each report at the time of its mailing to Holders of any Series shall be filed with the SEC and each stock exchange on which the Securities of that Series are listed. The Company shall promptly notify the Trustee when Securities of any Series are listed on any stock exchange.</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7.07 Compensation and Indemnity. </w:t>
      </w:r>
      <w:r>
        <w:rPr>
          <w:rFonts w:ascii="Arial" w:cs="Arial" w:eastAsia="Arial" w:hAnsi="Arial"/>
          <w:sz w:val="17"/>
          <w:szCs w:val="17"/>
          <w:color w:val="auto"/>
        </w:rPr>
        <w:t>The Company shall pay to the Trustee from time to time compensation for its services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negligence or bad faith of any such persons. 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When the Trustee incurs expenses or renders services after an Event of Default specified in Section 6.01(d) or (e) occurs, the expenses and the compensation for the services are intended to constitute expenses of administration under any Bankruptcy Law. The provisions of this Section shall survive the resignation or removal of the Trustee and the termination of this Indenture.</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7.08 Replacement of Trustee. </w:t>
      </w:r>
      <w:r>
        <w:rPr>
          <w:rFonts w:ascii="Arial" w:cs="Arial" w:eastAsia="Arial" w:hAnsi="Arial"/>
          <w:sz w:val="18"/>
          <w:szCs w:val="18"/>
          <w:color w:val="auto"/>
        </w:rPr>
        <w:t>A resignation or removal of the Trustee and appointment of a successor Trustee shall become effective only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88" w:lineRule="exact"/>
        <w:rPr>
          <w:sz w:val="20"/>
          <w:szCs w:val="20"/>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is adjudged bankrupt or insolvent or an order for relief is entered with respect to the Trustee under any Bankruptcy Law;</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Holder of each such Series and, if any Bearer Securities are outstanding, publish such notice on one occasion in an Authorized Newspaper.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7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7.09 Successor Trustee by Merger, etc. </w:t>
      </w:r>
      <w:r>
        <w:rPr>
          <w:rFonts w:ascii="Arial" w:cs="Arial" w:eastAsia="Arial" w:hAnsi="Arial"/>
          <w:sz w:val="17"/>
          <w:szCs w:val="17"/>
          <w:color w:val="auto"/>
        </w:rPr>
        <w:t>If the Trustee consolidates with, merges or converts into, or transfers all or substantially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trust business to, another corporation, the successor corporation without any further act shall be the successor Trustee.</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7.10 Eligibility; Disqualification. </w:t>
      </w:r>
      <w:r>
        <w:rPr>
          <w:rFonts w:ascii="Arial" w:cs="Arial" w:eastAsia="Arial" w:hAnsi="Arial"/>
          <w:sz w:val="18"/>
          <w:szCs w:val="18"/>
          <w:color w:val="auto"/>
        </w:rPr>
        <w:t>This Indenture shall always have a Trustee who satisfies the requirements of TIA Section 310(a)(1), (2)</w:t>
      </w:r>
      <w:r>
        <w:rPr>
          <w:rFonts w:ascii="Arial" w:cs="Arial" w:eastAsia="Arial" w:hAnsi="Arial"/>
          <w:sz w:val="18"/>
          <w:szCs w:val="18"/>
          <w:b w:val="1"/>
          <w:bCs w:val="1"/>
          <w:color w:val="auto"/>
        </w:rPr>
        <w:t xml:space="preserve"> </w:t>
      </w:r>
      <w:r>
        <w:rPr>
          <w:rFonts w:ascii="Arial" w:cs="Arial" w:eastAsia="Arial" w:hAnsi="Arial"/>
          <w:sz w:val="18"/>
          <w:szCs w:val="18"/>
          <w:color w:val="auto"/>
        </w:rPr>
        <w:t>and (5). The Trustee shall comply with TIA Section 310(b).</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7.11 Preferential Collection of Claims Against Company. </w:t>
      </w:r>
      <w:r>
        <w:rPr>
          <w:rFonts w:ascii="Arial" w:cs="Arial" w:eastAsia="Arial" w:hAnsi="Arial"/>
          <w:sz w:val="17"/>
          <w:szCs w:val="17"/>
          <w:color w:val="auto"/>
        </w:rPr>
        <w:t>The Trustee is subject to TIA Section 311(a), excluding any creditor</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listed in TIA Section 311(b). A Trustee who has resigned or been removed shall be subject to TIA Section 311(a) to the extent indicated.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8.01 Satisfaction and Discharge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170" w:lineRule="exact"/>
        <w:rPr>
          <w:sz w:val="20"/>
          <w:szCs w:val="20"/>
          <w:color w:val="auto"/>
        </w:rPr>
      </w:pPr>
    </w:p>
    <w:p>
      <w:pPr>
        <w:ind w:left="900" w:hanging="24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the following shall have occurred:</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Securities have been issued hereunder;</w:t>
      </w:r>
    </w:p>
    <w:p>
      <w:pPr>
        <w:spacing w:after="0" w:line="225" w:lineRule="exact"/>
        <w:rPr>
          <w:rFonts w:ascii="Arial" w:cs="Arial" w:eastAsia="Arial" w:hAnsi="Arial"/>
          <w:sz w:val="18"/>
          <w:szCs w:val="18"/>
          <w:color w:val="auto"/>
        </w:rPr>
      </w:pPr>
    </w:p>
    <w:p>
      <w:pPr>
        <w:ind w:left="660" w:firstLine="645"/>
        <w:spacing w:after="0" w:line="277" w:lineRule="auto"/>
        <w:tabs>
          <w:tab w:leader="none" w:pos="158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jc w:val="both"/>
        <w:ind w:left="660" w:right="20" w:firstLine="645"/>
        <w:spacing w:after="0" w:line="286" w:lineRule="auto"/>
        <w:tabs>
          <w:tab w:leader="none" w:pos="1636"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and, if money shall have been deposited with the Trustee pursuant to clause (a) of this Section, the provisions of Sections 2.04 , 2.05 , 2.07, 2.08, 8.01, 8.02 and 8.05 shall survive.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8.02 Application of Trust Funds; Indemnification.</w:t>
      </w:r>
    </w:p>
    <w:p>
      <w:pPr>
        <w:spacing w:after="0" w:line="229" w:lineRule="exact"/>
        <w:rPr>
          <w:sz w:val="20"/>
          <w:szCs w:val="20"/>
          <w:color w:val="auto"/>
        </w:rPr>
      </w:pPr>
    </w:p>
    <w:p>
      <w:pPr>
        <w:jc w:val="both"/>
        <w:ind w:firstLine="656"/>
        <w:spacing w:after="0" w:line="293" w:lineRule="auto"/>
        <w:tabs>
          <w:tab w:leader="none" w:pos="9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spacing w:after="0" w:line="164" w:lineRule="exact"/>
        <w:rPr>
          <w:rFonts w:ascii="Arial" w:cs="Arial" w:eastAsia="Arial" w:hAnsi="Arial"/>
          <w:sz w:val="16"/>
          <w:szCs w:val="16"/>
          <w:color w:val="auto"/>
        </w:rPr>
      </w:pPr>
    </w:p>
    <w:p>
      <w:pPr>
        <w:jc w:val="both"/>
        <w:ind w:firstLine="656"/>
        <w:spacing w:after="0" w:line="264" w:lineRule="auto"/>
        <w:tabs>
          <w:tab w:leader="none" w:pos="9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jc w:val="both"/>
        <w:ind w:firstLine="656"/>
        <w:spacing w:after="0" w:line="255" w:lineRule="auto"/>
        <w:tabs>
          <w:tab w:leader="none" w:pos="9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8.03 Legal Defeasance of Securities of any Series. </w:t>
      </w:r>
      <w:r>
        <w:rPr>
          <w:rFonts w:ascii="Arial" w:cs="Arial" w:eastAsia="Arial" w:hAnsi="Arial"/>
          <w:sz w:val="18"/>
          <w:szCs w:val="18"/>
          <w:color w:val="auto"/>
        </w:rPr>
        <w:t>Unless this Section 8.03 is otherwise specified, pursuant to Section 2.02(s),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88" w:lineRule="exact"/>
        <w:rPr>
          <w:sz w:val="20"/>
          <w:szCs w:val="20"/>
          <w:color w:val="auto"/>
        </w:rPr>
      </w:pPr>
    </w:p>
    <w:p>
      <w:pPr>
        <w:jc w:val="both"/>
        <w:ind w:firstLine="656"/>
        <w:spacing w:after="0" w:line="279" w:lineRule="auto"/>
        <w:tabs>
          <w:tab w:leader="none" w:pos="8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Sections 2.04, 2.05, 2.07, 2.08, 8.02, 8.03 and 8.05;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jc w:val="both"/>
        <w:ind w:firstLine="656"/>
        <w:spacing w:after="0" w:line="289" w:lineRule="auto"/>
        <w:tabs>
          <w:tab w:leader="none" w:pos="9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right="20" w:firstLine="656"/>
        <w:spacing w:after="0" w:line="277" w:lineRule="auto"/>
        <w:tabs>
          <w:tab w:leader="none" w:pos="8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firstLine="656"/>
        <w:spacing w:after="0" w:line="277" w:lineRule="auto"/>
        <w:tabs>
          <w:tab w:leader="none" w:pos="8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93" w:lineRule="exact"/>
        <w:rPr>
          <w:rFonts w:ascii="Arial" w:cs="Arial" w:eastAsia="Arial" w:hAnsi="Arial"/>
          <w:sz w:val="18"/>
          <w:szCs w:val="18"/>
          <w:color w:val="auto"/>
        </w:rPr>
      </w:pPr>
    </w:p>
    <w:p>
      <w:pPr>
        <w:jc w:val="both"/>
        <w:ind w:firstLine="656"/>
        <w:spacing w:after="0" w:line="264" w:lineRule="auto"/>
        <w:tabs>
          <w:tab w:leader="none" w:pos="9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81" w:lineRule="exact"/>
        <w:rPr>
          <w:rFonts w:ascii="Arial" w:cs="Arial" w:eastAsia="Arial" w:hAnsi="Arial"/>
          <w:sz w:val="18"/>
          <w:szCs w:val="18"/>
          <w:color w:val="auto"/>
        </w:rPr>
      </w:pPr>
    </w:p>
    <w:p>
      <w:pPr>
        <w:ind w:firstLine="656"/>
        <w:spacing w:after="0" w:line="277" w:lineRule="auto"/>
        <w:tabs>
          <w:tab w:leader="none" w:pos="8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170" w:lineRule="exact"/>
        <w:rPr>
          <w:rFonts w:ascii="Arial" w:cs="Arial" w:eastAsia="Arial" w:hAnsi="Arial"/>
          <w:sz w:val="18"/>
          <w:szCs w:val="18"/>
          <w:color w:val="auto"/>
        </w:rPr>
      </w:pPr>
    </w:p>
    <w:p>
      <w:pPr>
        <w:ind w:firstLine="656"/>
        <w:spacing w:after="0" w:line="277" w:lineRule="auto"/>
        <w:tabs>
          <w:tab w:leader="none" w:pos="8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8.04 Covenant Defeasance. </w:t>
      </w:r>
      <w:r>
        <w:rPr>
          <w:rFonts w:ascii="Arial" w:cs="Arial" w:eastAsia="Arial" w:hAnsi="Arial"/>
          <w:sz w:val="17"/>
          <w:szCs w:val="17"/>
          <w:color w:val="auto"/>
        </w:rPr>
        <w:t>Unless this Section 8.04 is otherwise specified, pursuant to Section 2.02(s), to be inapplicable to Securities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176" w:lineRule="exact"/>
        <w:rPr>
          <w:sz w:val="20"/>
          <w:szCs w:val="20"/>
          <w:color w:val="auto"/>
        </w:rPr>
      </w:pPr>
    </w:p>
    <w:p>
      <w:pPr>
        <w:jc w:val="both"/>
        <w:ind w:firstLine="656"/>
        <w:spacing w:after="0" w:line="288" w:lineRule="auto"/>
        <w:tabs>
          <w:tab w:leader="none" w:pos="894" w:val="left"/>
        </w:tabs>
        <w:numPr>
          <w:ilvl w:val="1"/>
          <w:numId w:val="51"/>
        </w:numPr>
        <w:rPr>
          <w:rFonts w:ascii="Arial" w:cs="Arial" w:eastAsia="Arial" w:hAnsi="Arial"/>
          <w:sz w:val="16"/>
          <w:szCs w:val="16"/>
          <w:color w:val="auto"/>
        </w:rPr>
      </w:pPr>
      <w:r>
        <w:rPr>
          <w:rFonts w:ascii="Arial" w:cs="Arial" w:eastAsia="Arial" w:hAnsi="Arial"/>
          <w:sz w:val="16"/>
          <w:szCs w:val="16"/>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w:t>
      </w:r>
    </w:p>
    <w:p>
      <w:pPr>
        <w:jc w:val="both"/>
        <w:ind w:firstLine="8"/>
        <w:spacing w:after="0" w:line="270" w:lineRule="auto"/>
        <w:tabs>
          <w:tab w:leader="none" w:pos="2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78" w:lineRule="exact"/>
        <w:rPr>
          <w:rFonts w:ascii="Arial" w:cs="Arial" w:eastAsia="Arial" w:hAnsi="Arial"/>
          <w:sz w:val="17"/>
          <w:szCs w:val="17"/>
          <w:color w:val="auto"/>
        </w:rPr>
      </w:pPr>
    </w:p>
    <w:p>
      <w:pPr>
        <w:ind w:firstLine="656"/>
        <w:spacing w:after="0" w:line="277"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firstLine="656"/>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firstLine="656"/>
        <w:spacing w:after="0" w:line="312" w:lineRule="auto"/>
        <w:tabs>
          <w:tab w:leader="none" w:pos="929"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6" w:lineRule="exact"/>
        <w:rPr>
          <w:rFonts w:ascii="Arial" w:cs="Arial" w:eastAsia="Arial" w:hAnsi="Arial"/>
          <w:sz w:val="16"/>
          <w:szCs w:val="16"/>
          <w:color w:val="auto"/>
        </w:rPr>
      </w:pPr>
    </w:p>
    <w:p>
      <w:pPr>
        <w:ind w:right="20" w:firstLine="656"/>
        <w:spacing w:after="0" w:line="277" w:lineRule="auto"/>
        <w:tabs>
          <w:tab w:leader="none" w:pos="90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170" w:lineRule="exact"/>
        <w:rPr>
          <w:rFonts w:ascii="Arial" w:cs="Arial" w:eastAsia="Arial" w:hAnsi="Arial"/>
          <w:sz w:val="18"/>
          <w:szCs w:val="18"/>
          <w:color w:val="auto"/>
        </w:rPr>
      </w:pPr>
    </w:p>
    <w:p>
      <w:pPr>
        <w:ind w:firstLine="656"/>
        <w:spacing w:after="0" w:line="277"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8.05 Repayment to Company. </w:t>
      </w:r>
      <w:r>
        <w:rPr>
          <w:rFonts w:ascii="Arial" w:cs="Arial" w:eastAsia="Arial" w:hAnsi="Arial"/>
          <w:sz w:val="18"/>
          <w:szCs w:val="18"/>
          <w:color w:val="auto"/>
        </w:rPr>
        <w:t>The Trustee and the Paying Agent shall pay to the Company upon written request any money held by them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payment of principal and interest that remains unclaimed for two years, and after such time,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8.06 Reinstatement. </w:t>
      </w:r>
      <w:r>
        <w:rPr>
          <w:rFonts w:ascii="Arial" w:cs="Arial" w:eastAsia="Arial" w:hAnsi="Arial"/>
          <w:sz w:val="16"/>
          <w:szCs w:val="16"/>
          <w:color w:val="auto"/>
        </w:rPr>
        <w:t>If the Trustee or the Paying Agent is unable to apply any money deposited with respect to Securities of any series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AND WAIVERS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9.01 Without Consent of Holders. </w:t>
      </w:r>
      <w:r>
        <w:rPr>
          <w:rFonts w:ascii="Arial" w:cs="Arial" w:eastAsia="Arial" w:hAnsi="Arial"/>
          <w:sz w:val="18"/>
          <w:szCs w:val="18"/>
          <w:color w:val="auto"/>
        </w:rPr>
        <w:t>The Company and the Trustee may amend or supplement this Indenture or the Securities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Series without the consent of any Holder:</w:t>
      </w:r>
    </w:p>
    <w:p>
      <w:pPr>
        <w:spacing w:after="0" w:line="166" w:lineRule="exact"/>
        <w:rPr>
          <w:sz w:val="20"/>
          <w:szCs w:val="20"/>
          <w:color w:val="auto"/>
        </w:rPr>
      </w:pPr>
    </w:p>
    <w:p>
      <w:pPr>
        <w:ind w:firstLine="656"/>
        <w:spacing w:after="0" w:line="277" w:lineRule="auto"/>
        <w:tabs>
          <w:tab w:leader="none" w:pos="9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under this Indenture and the Securities and the assumption by any such successor person of the obligations of the Company hereunder and under the Securities;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add or remove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Company;</w:t>
      </w:r>
    </w:p>
    <w:p>
      <w:pPr>
        <w:spacing w:after="0" w:line="165" w:lineRule="exact"/>
        <w:rPr>
          <w:rFonts w:ascii="Arial" w:cs="Arial" w:eastAsia="Arial" w:hAnsi="Arial"/>
          <w:sz w:val="17"/>
          <w:szCs w:val="17"/>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forms or terms of the Securities of any series issued pursuant to the terms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or correct any inconsistency in this Indenture;</w:t>
      </w:r>
    </w:p>
    <w:p>
      <w:pPr>
        <w:spacing w:after="0" w:line="225" w:lineRule="exact"/>
        <w:rPr>
          <w:rFonts w:ascii="Arial" w:cs="Arial" w:eastAsia="Arial" w:hAnsi="Arial"/>
          <w:sz w:val="18"/>
          <w:szCs w:val="18"/>
          <w:color w:val="auto"/>
        </w:rPr>
      </w:pPr>
    </w:p>
    <w:p>
      <w:pPr>
        <w:jc w:val="both"/>
        <w:ind w:right="20" w:firstLine="656"/>
        <w:spacing w:after="0" w:line="264" w:lineRule="auto"/>
        <w:tabs>
          <w:tab w:leader="none" w:pos="9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qualify this Indenture under the Trust Indenture Act;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firstLine="656"/>
        <w:spacing w:after="0" w:line="277" w:lineRule="auto"/>
        <w:tabs>
          <w:tab w:leader="none" w:pos="9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 and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comply with the rules or regulations of any securities exchange or automated quotation system on which any of the Securities may be listed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traded.</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9.02 With Consent of Holders. </w:t>
      </w:r>
      <w:r>
        <w:rPr>
          <w:rFonts w:ascii="Arial" w:cs="Arial" w:eastAsia="Arial" w:hAnsi="Arial"/>
          <w:sz w:val="17"/>
          <w:szCs w:val="17"/>
          <w:color w:val="auto"/>
        </w:rPr>
        <w:t>The Company and the Trustee may enter into a supplemental indenture with the written consent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and, if any Bearer Securities affected thereby are outstanding, publish on one occasion in an Authorized Newspaper,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b w:val="1"/>
          <w:bCs w:val="1"/>
          <w:color w:val="auto"/>
        </w:rPr>
        <w:t xml:space="preserve">Section 9.03 Limitations. </w:t>
      </w:r>
      <w:r>
        <w:rPr>
          <w:rFonts w:ascii="Arial" w:cs="Arial" w:eastAsia="Arial" w:hAnsi="Arial"/>
          <w:sz w:val="18"/>
          <w:szCs w:val="18"/>
          <w:color w:val="auto"/>
        </w:rPr>
        <w:t>Without the consent of each Holder affected, an amendment or waiver may not:</w:t>
      </w:r>
    </w:p>
    <w:p>
      <w:pPr>
        <w:spacing w:after="0" w:line="229" w:lineRule="exact"/>
        <w:rPr>
          <w:sz w:val="20"/>
          <w:szCs w:val="20"/>
          <w:color w:val="auto"/>
        </w:rPr>
      </w:pPr>
    </w:p>
    <w:p>
      <w:pPr>
        <w:ind w:left="900" w:hanging="244"/>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change in Sections 6.08, 6.13, or 9.03;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9.04 Compliance with Trust Indenture Act. </w:t>
      </w:r>
      <w:r>
        <w:rPr>
          <w:rFonts w:ascii="Arial" w:cs="Arial" w:eastAsia="Arial" w:hAnsi="Arial"/>
          <w:sz w:val="18"/>
          <w:szCs w:val="18"/>
          <w:color w:val="auto"/>
        </w:rPr>
        <w:t>Every amendment to this Indenture or the Securities of one or more Series shall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 supplemental indenture hereto that complies with the TIA as then in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9.05 Revocation and Effect of Consents. </w:t>
      </w:r>
      <w:r>
        <w:rPr>
          <w:rFonts w:ascii="Arial" w:cs="Arial" w:eastAsia="Arial" w:hAnsi="Arial"/>
          <w:sz w:val="18"/>
          <w:szCs w:val="18"/>
          <w:color w:val="auto"/>
        </w:rPr>
        <w:t>Until an amendment is set forth in a supplemental indenture or a waiver becomes effective, a</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9.06 Notation on or Exchange of Securities. </w:t>
      </w:r>
      <w:r>
        <w:rPr>
          <w:rFonts w:ascii="Arial" w:cs="Arial" w:eastAsia="Arial" w:hAnsi="Arial"/>
          <w:sz w:val="18"/>
          <w:szCs w:val="18"/>
          <w:color w:val="auto"/>
        </w:rPr>
        <w:t>The Trustee may place an appropriate notation about an amendment or waiver on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of any Series thereafter authenticated. The Company in exchange for Securities of that Series may issue and the Trustee shall authenticate upon request new Securities of that Series that reflect the amendment or waiver.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9.07 Trustee Protected. </w:t>
      </w:r>
      <w:r>
        <w:rPr>
          <w:rFonts w:ascii="Arial" w:cs="Arial" w:eastAsia="Arial" w:hAnsi="Arial"/>
          <w:sz w:val="18"/>
          <w:szCs w:val="18"/>
          <w:color w:val="auto"/>
        </w:rPr>
        <w:t>In executing, or accepting the additional trusts created by, any supplemental indenture permitted by this Article or</w:t>
      </w:r>
      <w:r>
        <w:rPr>
          <w:rFonts w:ascii="Arial" w:cs="Arial" w:eastAsia="Arial" w:hAnsi="Arial"/>
          <w:sz w:val="18"/>
          <w:szCs w:val="18"/>
          <w:b w:val="1"/>
          <w:bCs w:val="1"/>
          <w:color w:val="auto"/>
        </w:rPr>
        <w:t xml:space="preserve"> </w:t>
      </w:r>
      <w:r>
        <w:rPr>
          <w:rFonts w:ascii="Arial" w:cs="Arial" w:eastAsia="Arial" w:hAnsi="Arial"/>
          <w:sz w:val="18"/>
          <w:szCs w:val="18"/>
          <w:color w:val="auto"/>
        </w:rPr>
        <w:t>the modifications thereby of the trusts created by this Indenture, the Trustee shall be entitled to receive, in addition to the documents required by Section 10.04, and (subject to Section 7.01)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10.01 Trust Indenture Act Controls. </w:t>
      </w:r>
      <w:r>
        <w:rPr>
          <w:rFonts w:ascii="Arial" w:cs="Arial" w:eastAsia="Arial" w:hAnsi="Arial"/>
          <w:sz w:val="18"/>
          <w:szCs w:val="18"/>
          <w:color w:val="auto"/>
        </w:rPr>
        <w:t>If any provision of this Indenture limits, qualifies or conflicts with another provision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deemed be included in this Indenture by the TIA, such required or deemed provision shall control.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10.02 Notices.</w:t>
      </w:r>
    </w:p>
    <w:p>
      <w:pPr>
        <w:spacing w:after="0" w:line="229" w:lineRule="exact"/>
        <w:rPr>
          <w:sz w:val="20"/>
          <w:szCs w:val="20"/>
          <w:color w:val="auto"/>
        </w:rPr>
      </w:pPr>
    </w:p>
    <w:p>
      <w:pPr>
        <w:ind w:firstLine="656"/>
        <w:spacing w:after="0" w:line="277" w:lineRule="auto"/>
        <w:tabs>
          <w:tab w:leader="none" w:pos="9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or sent by telecopier transmission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Kornit Digital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10541-10601 North Commerce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Mequon, Wisconsin 53092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(262) 518-0200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9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or the Trustee by notice to the other may designate additional or different addresses for subsequent notices or communications. Any notice or communication to a Holder shall be mailed by first-class mail to his address shown on the register kept by the Registrar and, if any Bearer Securities are outstanding, published in an Authorized Newspaper. Failure to mail a notice or communication to a Holder of any Series or any defect in it shall not affect its sufficiency with respect to other Holders of that or any other Series. If a notice or communication is mailed or published in the manner provided above, within the time prescribed, it is duly given, whether or not the Holder receives it. If the Company mails a notice or communication to Holders, it shall mail a copy to the Trustee and each Agent at the same time.</w:t>
      </w:r>
    </w:p>
    <w:p>
      <w:pPr>
        <w:spacing w:after="0" w:line="193" w:lineRule="exact"/>
        <w:rPr>
          <w:rFonts w:ascii="Arial" w:cs="Arial" w:eastAsia="Arial" w:hAnsi="Arial"/>
          <w:sz w:val="18"/>
          <w:szCs w:val="18"/>
          <w:color w:val="auto"/>
        </w:rPr>
      </w:pPr>
    </w:p>
    <w:p>
      <w:pPr>
        <w:jc w:val="both"/>
        <w:ind w:firstLine="656"/>
        <w:spacing w:after="0" w:line="312" w:lineRule="auto"/>
        <w:tabs>
          <w:tab w:leader="none" w:pos="9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10.03 Communication by Holders with Other Holders. </w:t>
      </w:r>
      <w:r>
        <w:rPr>
          <w:rFonts w:ascii="Arial" w:cs="Arial" w:eastAsia="Arial" w:hAnsi="Arial"/>
          <w:sz w:val="18"/>
          <w:szCs w:val="18"/>
          <w:color w:val="auto"/>
        </w:rPr>
        <w:t>Holders of any Series may communicate pursuant to TIA Section 312(b) with</w:t>
      </w:r>
      <w:r>
        <w:rPr>
          <w:rFonts w:ascii="Arial" w:cs="Arial" w:eastAsia="Arial" w:hAnsi="Arial"/>
          <w:sz w:val="18"/>
          <w:szCs w:val="18"/>
          <w:b w:val="1"/>
          <w:bCs w:val="1"/>
          <w:color w:val="auto"/>
        </w:rPr>
        <w:t xml:space="preserve"> </w:t>
      </w:r>
      <w:r>
        <w:rPr>
          <w:rFonts w:ascii="Arial" w:cs="Arial" w:eastAsia="Arial" w:hAnsi="Arial"/>
          <w:sz w:val="18"/>
          <w:szCs w:val="18"/>
          <w:color w:val="auto"/>
        </w:rPr>
        <w:t>other Holders of that Series or any other Series with respect to their rights under this Indenture or the Securities of that Series or all Series. The Company, the Trustee, the Registrar and anyone else shall have the protection of TIA Section 312(c).</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10.04 Certificate and Opinion as to Conditions Precedent. </w:t>
      </w:r>
      <w:r>
        <w:rPr>
          <w:rFonts w:ascii="Arial" w:cs="Arial" w:eastAsia="Arial" w:hAnsi="Arial"/>
          <w:sz w:val="18"/>
          <w:szCs w:val="18"/>
          <w:color w:val="auto"/>
        </w:rPr>
        <w:t>Upon any request or application by the Company to the Trustee to take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under this Indenture, the Company shall furnish to the Trustee:</w:t>
      </w:r>
    </w:p>
    <w:p>
      <w:pPr>
        <w:spacing w:after="0" w:line="166" w:lineRule="exact"/>
        <w:rPr>
          <w:sz w:val="20"/>
          <w:szCs w:val="20"/>
          <w:color w:val="auto"/>
        </w:rPr>
      </w:pPr>
    </w:p>
    <w:p>
      <w:pPr>
        <w:ind w:firstLine="656"/>
        <w:spacing w:after="0" w:line="277" w:lineRule="auto"/>
        <w:tabs>
          <w:tab w:leader="none" w:pos="9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10.05 Statements Required in Certificate or Opinion. </w:t>
      </w:r>
      <w:r>
        <w:rPr>
          <w:rFonts w:ascii="Arial" w:cs="Arial" w:eastAsia="Arial" w:hAnsi="Arial"/>
          <w:sz w:val="18"/>
          <w:szCs w:val="18"/>
          <w:color w:val="auto"/>
        </w:rPr>
        <w:t>Each certificate or opinion with respect to compliance with a condition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provided for in this Indenture (other than a certificate provided pursuant to TIA Section 314(a)(4)) shall comply with the provisions of TIA Section 314(e) and shall include:</w:t>
      </w:r>
    </w:p>
    <w:p>
      <w:pPr>
        <w:spacing w:after="0" w:line="180" w:lineRule="exact"/>
        <w:rPr>
          <w:sz w:val="20"/>
          <w:szCs w:val="20"/>
          <w:color w:val="auto"/>
        </w:rPr>
      </w:pPr>
    </w:p>
    <w:p>
      <w:pPr>
        <w:ind w:left="900" w:hanging="24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firstLine="656"/>
        <w:spacing w:after="0" w:line="277" w:lineRule="auto"/>
        <w:tabs>
          <w:tab w:leader="none" w:pos="9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10.06 Rules by Trustee and Agents. </w:t>
      </w:r>
      <w:r>
        <w:rPr>
          <w:rFonts w:ascii="Arial" w:cs="Arial" w:eastAsia="Arial" w:hAnsi="Arial"/>
          <w:sz w:val="18"/>
          <w:szCs w:val="18"/>
          <w:color w:val="auto"/>
        </w:rPr>
        <w:t>The Trustee may make reasonable rules for action by or a meeting of Holders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Any Agent may make reasonable rules and set reasonable requirements for its functions.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10.07 Legal Holidays. </w:t>
      </w:r>
      <w:r>
        <w:rPr>
          <w:rFonts w:ascii="Arial" w:cs="Arial" w:eastAsia="Arial" w:hAnsi="Arial"/>
          <w:sz w:val="17"/>
          <w:szCs w:val="17"/>
          <w:color w:val="auto"/>
        </w:rPr>
        <w:t>Unless otherwise provided by Board Resolution, Officers’ Certificate or supplemental indenture hereto for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10.08 No Recourse Against Others. </w:t>
      </w:r>
      <w:r>
        <w:rPr>
          <w:rFonts w:ascii="Arial" w:cs="Arial" w:eastAsia="Arial" w:hAnsi="Arial"/>
          <w:sz w:val="18"/>
          <w:szCs w:val="18"/>
          <w:color w:val="auto"/>
        </w:rPr>
        <w:t>A director, officer, employee or stockholder, as such, of the Company shall not have any liability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10.09 Counterparts. </w:t>
      </w:r>
      <w:r>
        <w:rPr>
          <w:rFonts w:ascii="Arial" w:cs="Arial" w:eastAsia="Arial" w:hAnsi="Arial"/>
          <w:sz w:val="16"/>
          <w:szCs w:val="16"/>
          <w:color w:val="auto"/>
        </w:rPr>
        <w:t>This Indenture may be executed in any number of counterparts and by the parties hereto in separate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when so executed shall be deemed to be an original and all of which taken together shall constitute one and the same agreement.</w:t>
      </w:r>
    </w:p>
    <w:p>
      <w:pPr>
        <w:spacing w:after="0" w:line="11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10.10 Governing Laws. </w:t>
      </w:r>
      <w:r>
        <w:rPr>
          <w:rFonts w:ascii="Arial" w:cs="Arial" w:eastAsia="Arial" w:hAnsi="Arial"/>
          <w:sz w:val="16"/>
          <w:szCs w:val="16"/>
          <w:color w:val="auto"/>
        </w:rPr>
        <w:t>This Indenture and the Securities will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without regard to conflict of law principles that would result in the application of any law other than the laws of the State of New York.</w:t>
      </w:r>
    </w:p>
    <w:p>
      <w:pPr>
        <w:spacing w:after="0" w:line="116"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10.11 No Adverse Interpretation of Other Agreements. </w:t>
      </w:r>
      <w:r>
        <w:rPr>
          <w:rFonts w:ascii="Arial" w:cs="Arial" w:eastAsia="Arial" w:hAnsi="Arial"/>
          <w:sz w:val="17"/>
          <w:szCs w:val="17"/>
          <w:color w:val="auto"/>
        </w:rPr>
        <w:t>This Indenture may not be used to interpret another indenture, loan or debt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the Company or a Subsidiary of the Company. Any such indenture, loan or debt agreement may not be used to interpret this Indenture.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10.12 Successors. </w:t>
      </w:r>
      <w:r>
        <w:rPr>
          <w:rFonts w:ascii="Arial" w:cs="Arial" w:eastAsia="Arial" w:hAnsi="Arial"/>
          <w:sz w:val="18"/>
          <w:szCs w:val="18"/>
          <w:color w:val="auto"/>
        </w:rPr>
        <w:t>All agreements of the Company in this Indenture and the Securities shall bind its successor. All agreements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in this Indenture shall bind its successor.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10.13 Severability. </w:t>
      </w:r>
      <w:r>
        <w:rPr>
          <w:rFonts w:ascii="Arial" w:cs="Arial" w:eastAsia="Arial" w:hAnsi="Arial"/>
          <w:sz w:val="18"/>
          <w:szCs w:val="18"/>
          <w:color w:val="auto"/>
        </w:rPr>
        <w:t>In case any provision in this Indenture or in the Securities shall be invalid, illegal or unenforceable,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10.14 Table of Contents, Headings, Etc. </w:t>
      </w:r>
      <w:r>
        <w:rPr>
          <w:rFonts w:ascii="Arial" w:cs="Arial" w:eastAsia="Arial" w:hAnsi="Arial"/>
          <w:sz w:val="18"/>
          <w:szCs w:val="18"/>
          <w:color w:val="auto"/>
        </w:rPr>
        <w:t>The Table of Contents, Cross-Reference Table, and headings of the Articles and Sections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10.15 Securities in a Foreign Currency. </w:t>
      </w:r>
      <w:r>
        <w:rPr>
          <w:rFonts w:ascii="Arial" w:cs="Arial" w:eastAsia="Arial" w:hAnsi="Arial"/>
          <w:sz w:val="17"/>
          <w:szCs w:val="17"/>
          <w:color w:val="auto"/>
        </w:rPr>
        <w:t>Unless otherwise specified in a Board Resolution, a supplemental indenture hereto or an</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10.16 Judgment Currency. </w:t>
      </w:r>
      <w:r>
        <w:rPr>
          <w:rFonts w:ascii="Arial" w:cs="Arial" w:eastAsia="Arial" w:hAnsi="Arial"/>
          <w:sz w:val="16"/>
          <w:szCs w:val="16"/>
          <w:color w:val="auto"/>
        </w:rPr>
        <w:t>The Company agrees, to the fullest extent that it may effectively do so under applicable law, that (a) if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11.01 Applicability of Article. </w:t>
      </w:r>
      <w:r>
        <w:rPr>
          <w:rFonts w:ascii="Arial" w:cs="Arial" w:eastAsia="Arial" w:hAnsi="Arial"/>
          <w:sz w:val="17"/>
          <w:szCs w:val="17"/>
          <w:color w:val="auto"/>
        </w:rPr>
        <w:t>The provisions of this Article shall be applicable to any sinking fund for the retirement of the Securities of</w:t>
      </w:r>
      <w:r>
        <w:rPr>
          <w:rFonts w:ascii="Arial" w:cs="Arial" w:eastAsia="Arial" w:hAnsi="Arial"/>
          <w:sz w:val="17"/>
          <w:szCs w:val="17"/>
          <w:b w:val="1"/>
          <w:bCs w:val="1"/>
          <w:color w:val="auto"/>
        </w:rPr>
        <w:t xml:space="preserve"> </w:t>
      </w:r>
      <w:r>
        <w:rPr>
          <w:rFonts w:ascii="Arial" w:cs="Arial" w:eastAsia="Arial" w:hAnsi="Arial"/>
          <w:sz w:val="17"/>
          <w:szCs w:val="17"/>
          <w:color w:val="auto"/>
        </w:rPr>
        <w:t>a Series, except as otherwise permitted or required by any form of Security of such Series issued pursuant to this Indenture. The minimum amount of any sinking fund payment provided for by the terms of the Securities of any Series is herein referred to as a “</w:t>
      </w:r>
      <w:r>
        <w:rPr>
          <w:rFonts w:ascii="Arial" w:cs="Arial" w:eastAsia="Arial" w:hAnsi="Arial"/>
          <w:sz w:val="17"/>
          <w:szCs w:val="17"/>
          <w:i w:val="1"/>
          <w:iCs w:val="1"/>
          <w:color w:val="auto"/>
        </w:rPr>
        <w:t>mandatory sinking fund payment</w:t>
      </w:r>
      <w:r>
        <w:rPr>
          <w:rFonts w:ascii="Arial" w:cs="Arial" w:eastAsia="Arial" w:hAnsi="Arial"/>
          <w:sz w:val="17"/>
          <w:szCs w:val="17"/>
          <w:color w:val="auto"/>
        </w:rPr>
        <w:t>” and any other amount provided for by the terms of Securities of such Series is herein referred to as an “</w:t>
      </w:r>
      <w:r>
        <w:rPr>
          <w:rFonts w:ascii="Arial" w:cs="Arial" w:eastAsia="Arial" w:hAnsi="Arial"/>
          <w:sz w:val="17"/>
          <w:szCs w:val="17"/>
          <w:i w:val="1"/>
          <w:iCs w:val="1"/>
          <w:color w:val="auto"/>
        </w:rPr>
        <w:t>optional sinking fund payment</w:t>
      </w:r>
      <w:r>
        <w:rPr>
          <w:rFonts w:ascii="Arial" w:cs="Arial" w:eastAsia="Arial" w:hAnsi="Arial"/>
          <w:sz w:val="17"/>
          <w:szCs w:val="17"/>
          <w:color w:val="auto"/>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11.02 Satisfaction of Sinking Fund Payments with Securities. </w:t>
      </w:r>
      <w:r>
        <w:rPr>
          <w:rFonts w:ascii="Arial" w:cs="Arial" w:eastAsia="Arial" w:hAnsi="Arial"/>
          <w:sz w:val="17"/>
          <w:szCs w:val="17"/>
          <w:color w:val="auto"/>
        </w:rPr>
        <w:t>The Company may, in satisfaction of all or any part of any sinking fund</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11.03 Redemption of Securities for Sinking Fund. </w:t>
      </w:r>
      <w:r>
        <w:rPr>
          <w:rFonts w:ascii="Arial" w:cs="Arial" w:eastAsia="Arial" w:hAnsi="Arial"/>
          <w:sz w:val="16"/>
          <w:szCs w:val="16"/>
          <w:color w:val="auto"/>
        </w:rPr>
        <w:t>Not less than 45 days (unless otherwise indicated in the Board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7"/>
          <w:szCs w:val="17"/>
          <w:color w:val="auto"/>
        </w:rPr>
        <w:t>IN WITNESS WHEREOF, the parties hereto have caused this Indenture to be duly executed and attested, all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5298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-130175</wp:posOffset>
            </wp:positionV>
            <wp:extent cx="25298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5298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-130175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Israeli counsel for Kornit Digital Ltd., an Israeli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F-3 filed by the Company with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the date hereof pursuant to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registers the offer, issuance and sale by the Company, from time to time, of up to $100 million, in the aggregate, of any one or more of the following types of securities, individually or in units:</w:t>
      </w:r>
    </w:p>
    <w:p>
      <w:pPr>
        <w:spacing w:after="0" w:line="171" w:lineRule="exact"/>
        <w:rPr>
          <w:sz w:val="20"/>
          <w:szCs w:val="20"/>
          <w:color w:val="auto"/>
        </w:rPr>
      </w:pPr>
    </w:p>
    <w:p>
      <w:pPr>
        <w:ind w:left="1720" w:hanging="553"/>
        <w:spacing w:after="0"/>
        <w:tabs>
          <w:tab w:leader="none" w:pos="1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ordinary shares, par value 0.01 New Israeli Shekels per share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the Company (the “</w:t>
      </w:r>
      <w:r>
        <w:rPr>
          <w:rFonts w:ascii="Arial" w:cs="Arial" w:eastAsia="Arial" w:hAnsi="Arial"/>
          <w:sz w:val="17"/>
          <w:szCs w:val="17"/>
          <w:u w:val="single" w:color="auto"/>
          <w:color w:val="auto"/>
        </w:rPr>
        <w:t>Primary Shares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700" w:hanging="533"/>
        <w:spacing w:after="0"/>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warrants to purchase Ordinary Shares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80" w:hanging="513"/>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subscription rights to purchase Shares or other securities of the Company (the “Rights”); or</w:t>
      </w:r>
    </w:p>
    <w:p>
      <w:pPr>
        <w:spacing w:after="0" w:line="225" w:lineRule="exact"/>
        <w:rPr>
          <w:rFonts w:ascii="Arial" w:cs="Arial" w:eastAsia="Arial" w:hAnsi="Arial"/>
          <w:sz w:val="18"/>
          <w:szCs w:val="18"/>
          <w:color w:val="auto"/>
        </w:rPr>
      </w:pPr>
    </w:p>
    <w:p>
      <w:pPr>
        <w:jc w:val="both"/>
        <w:ind w:left="520" w:firstLine="647"/>
        <w:spacing w:after="0" w:line="264" w:lineRule="auto"/>
        <w:tabs>
          <w:tab w:leader="none" w:pos="19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debt securities of the Company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to be issued by the Company pursuant to an indenture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to be executed by the Company and the relevant trustee under the Company Indenture (collectively, the Primary Shares, Warrants, Rights and Debt Securities are referred to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 resale, from time to time, of up to 15,127,481 Ordinary Shares held or to be acquired by certain selling shareholders to be named in a supplement to the prospectus that forms part of the Registration Statement (the “</w:t>
      </w:r>
      <w:r>
        <w:rPr>
          <w:rFonts w:ascii="Arial" w:cs="Arial" w:eastAsia="Arial" w:hAnsi="Arial"/>
          <w:sz w:val="18"/>
          <w:szCs w:val="18"/>
          <w:u w:val="single" w:color="auto"/>
          <w:color w:val="auto"/>
        </w:rPr>
        <w:t>Secondary Shares</w:t>
      </w:r>
      <w:r>
        <w:rPr>
          <w:rFonts w:ascii="Arial" w:cs="Arial" w:eastAsia="Arial" w:hAnsi="Arial"/>
          <w:sz w:val="18"/>
          <w:szCs w:val="18"/>
          <w:color w:val="auto"/>
        </w:rPr>
        <w:t>”), which Secondary Shares were issued or will be issued to the selling shareholders as described in the Registration Statement.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is furnished to you at your request to enable you to fulfill the requirements of Item 601(b)(5) of Regulation S-K under the Securities Act, in connection with the filing of the Registration Statement.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herewith, we have examined the originals, or photocopies or copies, certified or otherwise identified to our satisfaction, of: (i) the form of the Registration Statement, to which this opinion letter is attached as an exhibit; (ii) a copy of the articles of association of the Company, as currently in effect (the “</w:t>
      </w:r>
      <w:r>
        <w:rPr>
          <w:rFonts w:ascii="Arial" w:cs="Arial" w:eastAsia="Arial" w:hAnsi="Arial"/>
          <w:sz w:val="17"/>
          <w:szCs w:val="17"/>
          <w:u w:val="single" w:color="auto"/>
          <w:color w:val="auto"/>
        </w:rPr>
        <w:t>Articles</w:t>
      </w:r>
      <w:r>
        <w:rPr>
          <w:rFonts w:ascii="Arial" w:cs="Arial" w:eastAsia="Arial" w:hAnsi="Arial"/>
          <w:sz w:val="17"/>
          <w:szCs w:val="17"/>
          <w:color w:val="auto"/>
        </w:rPr>
        <w:t>”); (iii) minutes of a meeting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at which the filing of the Registration Statement and the actions to be taken in connection therewith were approved; (iv) the 2012 Plan (as defined below) and (v)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both"/>
        <w:ind w:firstLine="648"/>
        <w:spacing w:after="0" w:line="288"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minutes of meetings of the Board and the shareholders of the Company that have been provided to us are true and accurate and have been properly prepared in accordance with the Articles and all applicable laws. We have assumed, in addition, that at the time of the execution and delivery of any definitive purchase, underwriting or similar agreement between the Company and any third party pursuant to which any of the Securities may be issued (a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Securities Agreement will be the valid and legally binding obligation of such third party, enforceable against such third party in accordance with its terms. We have further assumed that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firstLine="656"/>
        <w:spacing w:after="0" w:line="288" w:lineRule="auto"/>
        <w:tabs>
          <w:tab w:leader="none" w:pos="11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 respect to the Primary Shares, assuming (a) the taking of all necessary corporate action to authorize and approve the issuance of any Primary Shares, the terms of the offering thereof and related matters (for purposes of this paragraph 1,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(b) the effectiveness of the Registration Statement, and any amendments thereto (including any post-effective amendments), and that such effectiveness shall not have been terminated or rescinded, (c) the delivery and filing of an appropriate prospectus supplement with respect to the offering of the Primary Shares in compliance with the Securities Act and the applicable rules and regulations thereunder, (d) approval by the Board of, and entry by the Company into, and performance by the Company under, any applicable Securities Agreement, in the form filed as an exhibit to the Registration Statement, any post-effective amendment thereto or to a Report of Foreign Private Issuer on Form 6-K, pursuant to which the Primary Shares may be issued and sold, and (e) receipt by the Company of the consideration for the Primary Shares as provided for in the Authorizing Resolutions and in accordance with the provisions of any such Securities Agreement and the applicable convertible Securities, if any, pursuant to which the Primary Shares may be issued, such Primary Shares, including any Ordinary Shares issued upon exercise or conversion of any Securities, will be validly issued, fully paid and non-assessable.</w:t>
      </w:r>
    </w:p>
    <w:p>
      <w:pPr>
        <w:spacing w:after="0" w:line="169" w:lineRule="exact"/>
        <w:rPr>
          <w:rFonts w:ascii="Arial" w:cs="Arial" w:eastAsia="Arial" w:hAnsi="Arial"/>
          <w:sz w:val="16"/>
          <w:szCs w:val="16"/>
          <w:color w:val="auto"/>
        </w:rPr>
      </w:pPr>
    </w:p>
    <w:p>
      <w:pPr>
        <w:jc w:val="both"/>
        <w:ind w:firstLine="656"/>
        <w:spacing w:after="0" w:line="268" w:lineRule="auto"/>
        <w:tabs>
          <w:tab w:leader="none" w:pos="1123"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respect to the Warrants, assuming the (a) taking of all necessary corporate action to authorize and approve the issuance and terms of any Warrants, the terms of the offering thereof and related matters (for purposes of this paragraph 2, the “</w:t>
      </w:r>
      <w:r>
        <w:rPr>
          <w:rFonts w:ascii="Arial" w:cs="Arial" w:eastAsia="Arial" w:hAnsi="Arial"/>
          <w:sz w:val="17"/>
          <w:szCs w:val="17"/>
          <w:u w:val="single" w:color="auto"/>
          <w:color w:val="auto"/>
        </w:rPr>
        <w:t>Authorizing Resolutions</w:t>
      </w:r>
      <w:r>
        <w:rPr>
          <w:rFonts w:ascii="Arial" w:cs="Arial" w:eastAsia="Arial" w:hAnsi="Arial"/>
          <w:sz w:val="17"/>
          <w:szCs w:val="17"/>
          <w:color w:val="auto"/>
        </w:rPr>
        <w:t>”), (b) the effectiveness of the Registration Statement, and any amendments thereto (including any post-effective amendments), and that such effectiveness shall not have been terminated or rescinded, (c) the due authorization, execution and delivery of (i) the warrant agreement to be dated on or about the date of the first issuance of the applicable Warrants thereunder, by and between the Company and a warrant agent to be selected by the Company (each, a “</w:t>
      </w:r>
      <w:r>
        <w:rPr>
          <w:rFonts w:ascii="Arial" w:cs="Arial" w:eastAsia="Arial" w:hAnsi="Arial"/>
          <w:sz w:val="17"/>
          <w:szCs w:val="17"/>
          <w:u w:val="single" w:color="auto"/>
          <w:color w:val="auto"/>
        </w:rPr>
        <w:t>Warrant Agreement</w:t>
      </w:r>
      <w:r>
        <w:rPr>
          <w:rFonts w:ascii="Arial" w:cs="Arial" w:eastAsia="Arial" w:hAnsi="Arial"/>
          <w:sz w:val="17"/>
          <w:szCs w:val="17"/>
          <w:color w:val="auto"/>
        </w:rPr>
        <w:t>”) and (ii) any certificates relating to the Warrants, (d) the delivery and filing of an appropriate prospectus supplement with respect to the offering of the Warrants in compliance with the Securities Act and the applicable rules and regulations thereunder, (e) entry by the Company into, and performance by the Company under, any applicable Warrant Agreement, in the form filed as an exhibit to the Registration Statement, any post-effective amendment thereto or to a Report of Foreign Private Issuer on Form 6-K, pursuant to which the Warrants may be issued and sold, (f) due establishment by all necessary corporate action and in conformity with the Articles (as then in effect), the Warrant Agreement and any warrant certificates, of the terms of the Warrants and of their issuance and sale, (g) due execution and counter-signature, in accordance with the provisions of the Warrant Agreement, and due issuance, sale and delivery, in accordance with the provisions of any such Warrant Agreement, the Registration Statement and the prospectus included therein, of the Warrants and (h) receipt by the Company of the consideration for the Warrants as provided for in the Authorizing Resolutions and in accordance with the provisions of any such Securities Agreement, such Warrants, including any Ordinary Shares issued upon exercise or conversion of any Warrants, will constitute valid and legally binding obligations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56"/>
        <w:spacing w:after="0" w:line="286" w:lineRule="auto"/>
        <w:tabs>
          <w:tab w:leader="none" w:pos="11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 respect to the Rights, assuming the (a) taking of all necessary corporate action to authorize and approve the issuance and the terms of the Rights, the terms of the offering thereof and related matters (for purposes of this paragraph 3,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(b) the effectiveness (without termination or rescindment) of the Registration Statement, as finally amended (including any post-effective amendments), under the Securities Act, (c) the due authorization, execution and delivery of (i) the rights agreement to be dated on or about the date of the first issuance of the applicable Rights thereunder, by and between the Company and a rights agent to be selected by the Company (a “Rights Agreement”) and (ii) any certificates relating to the Rights, (d) the delivery and filing of an appropriate prospectus supplement with respect to the offering of the Rights in compliance with the Securities Act and the applicable rules and regulations thereunder, (e) approval by the Board of, and entry by the Company into, and performance by the Company under, any applicable Securities Agreement, in the form filed as an exhibit to the Registration Statement, any post-effective amendment thereto or to a Report of Foreign Private Issuer on Form 6-K, pursuant to which the Rights may be issued and sold, (f) due establishment by all necessary corporate action and in conformity with the Articles (as then in effect) and the Rights Agreement and any rights certificates, of the terms of the Rights and of their issuance and sale, (g) due execution and counter-signature, in accordance with the provisions of the Rights Agreement, and due issuance, sale and delivery, in accordance with the provisions of any such Securities Agreement, the Registration Statement and the prospectus included therein, of the Rights and (h) receipt by the Company of the consideration for the Rights as provided for in the Authorizing Resolutions and in accordance with the provisions of any such Securities Agreement, such Rights will constitute valid and legally binding obligations of the Company.</w:t>
      </w:r>
    </w:p>
    <w:p>
      <w:pPr>
        <w:spacing w:after="0" w:line="171" w:lineRule="exact"/>
        <w:rPr>
          <w:rFonts w:ascii="Arial" w:cs="Arial" w:eastAsia="Arial" w:hAnsi="Arial"/>
          <w:sz w:val="16"/>
          <w:szCs w:val="16"/>
          <w:color w:val="auto"/>
        </w:rPr>
      </w:pPr>
    </w:p>
    <w:p>
      <w:pPr>
        <w:jc w:val="both"/>
        <w:ind w:firstLine="656"/>
        <w:spacing w:after="0" w:line="312" w:lineRule="auto"/>
        <w:tabs>
          <w:tab w:leader="none" w:pos="1144"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Secondary Shares that have been issued are duly authorized, validly issued, fully paid and non-assessable and the Secondary Shares that have not been issued but are issuable upon the exercise of options granted prior to the date hereof under the Company’s 2012 Share Incentive Plan (the “2012 Plan”), have been duly authorized and reserved for issuance and, when issued and paid for, will be validly issued, fully paid and non-assessable.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corporate approval documents and operative documents pursuant to which such Securities are to be issued (including an appropriate prospectus supplement), and we will file such supplement or amendment to this opinion (if any) as we may reasonably consider necessary or appropriate by reason of the terms of such Securities.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With respect to our opinion as to the Primary Shares, including any Ordinary Shares issued upon exercise or conversion of any Securities, we have assumed that, at the time of issuance and sale and to the extent any such issuance would exceed the maximum share capital of the Company currently authorized, the number of Ordinary Shares that the Company is authorized to issue shall have been increased in accordance with the Company’s Articles and as described in the Registration Statement such that a sufficient number of Ordinary Shares are authorized and available for issuance under the Articles.</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appearing under the caption “Legal Matters” and “Enforcement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Afek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4824096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Kornit Digital Ltd. – Registration Statement on Form F-3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acted as U.S. counsel for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of a registration statement on Form F-3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January 3, 2017, as thereafter amended or supplemented. The Registration Statement relates to the proposed offer and sale by the Company from time to time, as set forth in the prospectus contained in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 as shall be set forth in one or more supplements to the Prospectus (each, a “</w:t>
      </w:r>
      <w:r>
        <w:rPr>
          <w:rFonts w:ascii="Arial" w:cs="Arial" w:eastAsia="Arial" w:hAnsi="Arial"/>
          <w:sz w:val="16"/>
          <w:szCs w:val="16"/>
          <w:b w:val="1"/>
          <w:bCs w:val="1"/>
          <w:color w:val="auto"/>
        </w:rPr>
        <w:t>Prospectus Supplement</w:t>
      </w:r>
      <w:r>
        <w:rPr>
          <w:rFonts w:ascii="Arial" w:cs="Arial" w:eastAsia="Arial" w:hAnsi="Arial"/>
          <w:sz w:val="16"/>
          <w:szCs w:val="16"/>
          <w:color w:val="auto"/>
        </w:rPr>
        <w:t>”), of up to a $100,000,000 aggregate amount of ordinary shares, par value NIS 0.01 per share (“</w:t>
      </w:r>
      <w:r>
        <w:rPr>
          <w:rFonts w:ascii="Arial" w:cs="Arial" w:eastAsia="Arial" w:hAnsi="Arial"/>
          <w:sz w:val="16"/>
          <w:szCs w:val="16"/>
          <w:b w:val="1"/>
          <w:bCs w:val="1"/>
          <w:color w:val="auto"/>
        </w:rPr>
        <w:t>Ordinary Shares</w:t>
      </w:r>
      <w:r>
        <w:rPr>
          <w:rFonts w:ascii="Arial" w:cs="Arial" w:eastAsia="Arial" w:hAnsi="Arial"/>
          <w:sz w:val="16"/>
          <w:szCs w:val="16"/>
          <w:color w:val="auto"/>
        </w:rPr>
        <w:t>”), by the Company, warrants to purchase Ordinary Shares, rights and/or securities and units comprised of, or other combinations of, the foregoing securities, and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In addition, the Registration Statement relates to the resale from time to time by selling shareholders of up to 15,127,481 Ordinary Shares.</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series of Debt Securities will be issued under an indenture substantially in the form of the exhibit to the Registration Statement, as amended or supplemented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a trustee named in the applicable Prospectus Supplement (each, a “</w:t>
      </w:r>
      <w:r>
        <w:rPr>
          <w:rFonts w:ascii="Arial" w:cs="Arial" w:eastAsia="Arial" w:hAnsi="Arial"/>
          <w:sz w:val="18"/>
          <w:szCs w:val="18"/>
          <w:b w:val="1"/>
          <w:bCs w:val="1"/>
          <w:color w:val="auto"/>
        </w:rPr>
        <w:t>Trustee</w:t>
      </w:r>
      <w:r>
        <w:rPr>
          <w:rFonts w:ascii="Arial" w:cs="Arial" w:eastAsia="Arial" w:hAnsi="Arial"/>
          <w:sz w:val="18"/>
          <w:szCs w:val="18"/>
          <w:color w:val="auto"/>
        </w:rPr>
        <w:t>”). This opinion letter is rendered pursuant to Item 601(b)(5) of Regulation S-K.</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examined such certificates of public officials and certificates of officers of the Company, and the originals (or copies thereof, certified or otherwise identified to our satisfaction) of such corporate documents, records and papers of the Company, and such other documents, records and papers as we have deemed relevant and necessary as a basis for the opinions hereinafter set forth. In this connection, we have assumed the genuineness of signatures, the authenticity of all documents submitted to us as originals and the conformity to authentic original documents of all documents submitted to us as certified, conformed, facsimile or photostatic copies. In addition, we have relied, to the extent that we deem such reliance proper, upon such certificates of public officials and of officers of the Company with respect to the accuracy of material factual matters contained therein which were not independently established.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opinions set forth herein are limited to the laws of the State of New York and we do not express any opinion herein concerning any other laws. Various issues concerning the laws of the State of Israel are addressed in the opinion of Meitar Liquornik Geva Leshem Tal, separately provided to you. We express no opinion with respect to those matters, except as expressly set forth herein, and to the extent elements of those opinions are necessary to the conclusions expressed herein, we have, with your consent, assumed such matters.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Based upon the foregoing, and subject to the limitations, qualifications, exceptions and assumptions set forth herein, we are of the opinion that when executed by the Company and authenticated by the Trustee in accordance with the provisions of the Indenture, and duly delivered by or on behalf of the Company against payment therefor in accordance with the Indenture and in the manner contemplated by the Registration Statement, the Prospectus and the applicable Prospectus Supplement and pursuant to any corporate action necessary to authorize and approve the issuance and terms of any Debt Securities, the Debt Securities will constitute valid and binding obligations of the Company enforceable against the Company in accordance with their terms, except as the enforcement thereof may be limited by bankruptcy, insolvency, reorganization or other similar laws affecting the enforcement of creditors’ rights or by general equitable principles (whether applied by a court of law or equity).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your consent, we have assumed (a) that the Indenture will be authorized, executed and delivered by the parties thereto, (b) that the Company is validly existing and has the power to enter into the Indenture under the laws of the State of Israel, (c) that the Indenture will constitute a legally valid and binding obligation of the parties thereto other than the Company, enforceable against such parties in accordance with its respective terms, and (d) that the status of the Indenture as a legally valid and binding obligation of the parties will not be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appearing under the caption “Legal Matters”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White &amp;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White &amp; Case LLP</w:t>
      </w:r>
    </w:p>
    <w:p>
      <w:pPr>
        <w:sectPr>
          <w:pgSz w:w="11900" w:h="16838" w:orient="portrait"/>
          <w:cols w:equalWidth="0" w:num="1">
            <w:col w:w="11420"/>
          </w:cols>
          <w:pgMar w:left="240" w:top="121" w:right="239" w:bottom="1440" w:gutter="0" w:footer="0" w:header="0"/>
        </w:sectPr>
      </w:pPr>
    </w:p>
    <w:bookmarkStart w:id="74" w:name="page75"/>
    <w:bookmarkEnd w:id="74"/>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earnings to fixed charges for each of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charges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earnings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FIXED CHARGES: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Amortized premium</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portion of operating lease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fixed charges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computing the ratio of earnings to fixed charges, earnings consist of loss before income taxes plus fixed charges. Fixed charges consist of the portion of rental expense that management believes is representative of the interest component. Earnings were insufficient to cover combined fixed charges by the following amounts (in thousands): $455, $556, $624 and $706 for the years ended 2012, 2013, 2014 and 2015, respectively, and by $761 for the nine month period ended September 30, 2016.</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F-3) and the related Prospectus of Kornit Digital Ltd. for the registration of $100,000,000 of Ordinary Shares, Warrants, Rights, Debt Securities and/or Units offered by Kornit Digital Ltd. and up to 15,127,481 Ordinary Shares offered by the Selling Shareholders and to the incorporation by reference therein of our report dated March 17, 2016, with respect to the consolidated financial statements of Kornit Digital Ltd. included in its Annual Report (Form 20-F) for the year ended December 31, 2015, filed with the Securities and Exchange Commission.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vMerge w:val="restart"/>
          </w:tcPr>
          <w:p>
            <w:pPr>
              <w:spacing w:after="0"/>
              <w:rPr>
                <w:sz w:val="20"/>
                <w:szCs w:val="20"/>
                <w:color w:val="auto"/>
              </w:rPr>
            </w:pPr>
            <w:r>
              <w:rPr>
                <w:rFonts w:ascii="Arial" w:cs="Arial" w:eastAsia="Arial" w:hAnsi="Arial"/>
                <w:sz w:val="18"/>
                <w:szCs w:val="18"/>
                <w:color w:val="auto"/>
              </w:rPr>
              <w:t>Tel Aviv, Israel</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c>
          <w:tcPr>
            <w:tcW w:w="0" w:type="dxa"/>
            <w:vAlign w:val="bottom"/>
          </w:tcPr>
          <w:p>
            <w:pPr>
              <w:spacing w:after="0"/>
              <w:rPr>
                <w:sz w:val="1"/>
                <w:szCs w:val="1"/>
                <w:color w:val="auto"/>
              </w:rPr>
            </w:pPr>
          </w:p>
        </w:tc>
      </w:tr>
      <w:tr>
        <w:trPr>
          <w:trHeight w:val="188"/>
        </w:trPr>
        <w:tc>
          <w:tcPr>
            <w:tcW w:w="6860" w:type="dxa"/>
            <w:vAlign w:val="bottom"/>
            <w:vMerge w:val="continue"/>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KOST, FORER, GABBAY &amp; KASIERER</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January 3, 2017</w:t>
            </w:r>
          </w:p>
        </w:tc>
        <w:tc>
          <w:tcPr>
            <w:tcW w:w="4560" w:type="dxa"/>
            <w:vAlign w:val="bottom"/>
          </w:tcPr>
          <w:p>
            <w:pPr>
              <w:spacing w:after="0"/>
              <w:rPr>
                <w:sz w:val="20"/>
                <w:szCs w:val="20"/>
                <w:color w:val="auto"/>
              </w:rPr>
            </w:pPr>
            <w:r>
              <w:rPr>
                <w:rFonts w:ascii="Arial" w:cs="Arial" w:eastAsia="Arial" w:hAnsi="Arial"/>
                <w:sz w:val="18"/>
                <w:szCs w:val="18"/>
                <w:color w:val="auto"/>
              </w:rPr>
              <w:t>A Member of EY Global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
    <w:nsid w:val="580BD78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153EA438"/>
    <w:multiLevelType w:val="hybridMultilevel"/>
    <w:lvl w:ilvl="0">
      <w:lvlJc w:val="left"/>
      <w:lvlText w:val="(%1)"/>
      <w:numFmt w:val="decimal"/>
      <w:start w:val="3"/>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3"/>
    </w:lvl>
  </w:abstractNum>
  <w:abstractNum w:abstractNumId="25">
    <w:nsid w:val="1D4ED43B"/>
    <w:multiLevelType w:val="hybridMultilevel"/>
    <w:lvl w:ilvl="0">
      <w:lvlJc w:val="left"/>
      <w:lvlText w:val="(%1)"/>
      <w:numFmt w:val="lowerLetter"/>
      <w:start w:val="17"/>
    </w:lvl>
  </w:abstractNum>
  <w:abstractNum w:abstractNumId="26">
    <w:nsid w:val="725A06FB"/>
    <w:multiLevelType w:val="hybridMultilevel"/>
    <w:lvl w:ilvl="0">
      <w:lvlJc w:val="left"/>
      <w:lvlText w:val="%1"/>
      <w:numFmt w:val="lowerLetter"/>
      <w:start w:val="1"/>
    </w:lvl>
    <w:lvl w:ilvl="1">
      <w:lvlJc w:val="left"/>
      <w:lvlText w:val="(%2)"/>
      <w:numFmt w:val="lowerLetter"/>
      <w:start w:val="1"/>
    </w:lvl>
  </w:abstractNum>
  <w:abstractNum w:abstractNumId="27">
    <w:nsid w:val="2CD89A32"/>
    <w:multiLevelType w:val="hybridMultilevel"/>
    <w:lvl w:ilvl="0">
      <w:lvlJc w:val="left"/>
      <w:lvlText w:val="(%1)"/>
      <w:numFmt w:val="lowerLetter"/>
      <w:start w:val="35"/>
    </w:lvl>
    <w:lvl w:ilvl="1">
      <w:lvlJc w:val="left"/>
      <w:lvlText w:val="%2"/>
      <w:numFmt w:val="lowerLetter"/>
      <w:start w:val="1"/>
    </w:lvl>
  </w:abstractNum>
  <w:abstractNum w:abstractNumId="28">
    <w:nsid w:val="57E4CCAF"/>
    <w:multiLevelType w:val="hybridMultilevel"/>
    <w:lvl w:ilvl="0">
      <w:lvlJc w:val="left"/>
      <w:lvlText w:val="(%1)"/>
      <w:numFmt w:val="lowerLetter"/>
      <w:start w:val="2"/>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5"/>
    </w:lvl>
  </w:abstractNum>
  <w:abstractNum w:abstractNumId="31">
    <w:nsid w:val="542289EC"/>
    <w:multiLevelType w:val="hybridMultilevel"/>
    <w:lvl w:ilvl="0">
      <w:lvlJc w:val="left"/>
      <w:lvlText w:val="(%1)"/>
      <w:numFmt w:val="lowerLetter"/>
      <w:start w:val="1"/>
    </w:lvl>
    <w:lvl w:ilvl="1">
      <w:lvlJc w:val="left"/>
      <w:lvlText w:val="(%2)"/>
      <w:numFmt w:val="lowerRoman"/>
      <w:start w:val="1"/>
    </w:lvl>
  </w:abstractNum>
  <w:abstractNum w:abstractNumId="32">
    <w:nsid w:val="6DE91B18"/>
    <w:multiLevelType w:val="hybridMultilevel"/>
    <w:lvl w:ilvl="0">
      <w:lvlJc w:val="left"/>
      <w:lvlText w:val="(%1)"/>
      <w:numFmt w:val="lowerRoman"/>
      <w:start w:val="6"/>
    </w:lvl>
  </w:abstractNum>
  <w:abstractNum w:abstractNumId="33">
    <w:nsid w:val="38437FDB"/>
    <w:multiLevelType w:val="hybridMultilevel"/>
    <w:lvl w:ilvl="0">
      <w:lvlJc w:val="left"/>
      <w:lvlText w:val="(%1)"/>
      <w:numFmt w:val="decimal"/>
      <w:start w:val="30"/>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lvl w:ilvl="1">
      <w:lvlJc w:val="left"/>
      <w:lvlText w:val="(%2)"/>
      <w:numFmt w:val="lowerLetter"/>
      <w:start w:val="9"/>
    </w:lvl>
  </w:abstractNum>
  <w:abstractNum w:abstractNumId="36">
    <w:nsid w:val="684A481A"/>
    <w:multiLevelType w:val="hybridMultilevel"/>
    <w:lvl w:ilvl="0">
      <w:lvlJc w:val="left"/>
      <w:lvlText w:val="%1"/>
      <w:numFmt w:val="lowerLetter"/>
      <w:start w:val="1"/>
    </w:lvl>
    <w:lvl w:ilvl="1">
      <w:lvlJc w:val="left"/>
      <w:lvlText w:val="(%2)"/>
      <w:numFmt w:val="lowerRoman"/>
      <w:start w:val="2"/>
    </w:lvl>
  </w:abstractNum>
  <w:abstractNum w:abstractNumId="37">
    <w:nsid w:val="579478FE"/>
    <w:multiLevelType w:val="hybridMultilevel"/>
    <w:lvl w:ilvl="0">
      <w:lvlJc w:val="left"/>
      <w:lvlText w:val="(%1)"/>
      <w:numFmt w:val="lowerLetter"/>
      <w:start w:val="5"/>
    </w:lvl>
    <w:lvl w:ilvl="1">
      <w:lvlJc w:val="left"/>
      <w:lvlText w:val="(%2)"/>
      <w:numFmt w:val="lowerRoman"/>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lvl w:ilvl="1">
      <w:lvlJc w:val="left"/>
      <w:lvlText w:val="(%2)"/>
      <w:numFmt w:val="lowerRoman"/>
      <w:start w:val="1"/>
    </w:lvl>
  </w:abstractNum>
  <w:abstractNum w:abstractNumId="42">
    <w:nsid w:val="75C6C33A"/>
    <w:multiLevelType w:val="hybridMultilevel"/>
    <w:lvl w:ilvl="0">
      <w:lvlJc w:val="left"/>
      <w:lvlText w:val="(%1)"/>
      <w:numFmt w:val="lowerLetter"/>
      <w:start w:val="8"/>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lvl w:ilvl="1">
      <w:lvlJc w:val="left"/>
      <w:lvlText w:val="(%2)"/>
      <w:numFmt w:val="lowerRoman"/>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4"/>
    </w:lvl>
  </w:abstractNum>
  <w:abstractNum w:abstractNumId="50">
    <w:nsid w:val="275AC794"/>
    <w:multiLevelType w:val="hybridMultilevel"/>
    <w:lvl w:ilvl="0">
      <w:lvlJc w:val="left"/>
      <w:lvlText w:val="%1"/>
      <w:numFmt w:val="lowerLetter"/>
      <w:start w:val="1"/>
    </w:lvl>
    <w:lvl w:ilvl="1">
      <w:lvlJc w:val="left"/>
      <w:lvlText w:val="(%2)"/>
      <w:numFmt w:val="lowerLetter"/>
      <w:start w:val="1"/>
    </w:lvl>
  </w:abstractNum>
  <w:abstractNum w:abstractNumId="51">
    <w:nsid w:val="39386575"/>
    <w:multiLevelType w:val="hybridMultilevel"/>
    <w:lvl w:ilvl="0">
      <w:lvlJc w:val="left"/>
      <w:lvlText w:val="(%1)"/>
      <w:numFmt w:val="lowerLetter"/>
      <w:start w:val="35"/>
    </w:lvl>
    <w:lvl w:ilvl="1">
      <w:lvlJc w:val="left"/>
      <w:lvlText w:val="(%2)"/>
      <w:numFmt w:val="lowerLetter"/>
      <w:start w:val="2"/>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2"/>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2019-12-08T01:28:02Z</dcterms:created>
  <dcterms:modified xsi:type="dcterms:W3CDTF">2019-12-08T01:28:02Z</dcterms:modified>
</cp:coreProperties>
</file>