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198"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PURSUANT TO RULE 13a-16 OR 15d-16 OF</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 xml:space="preserve">For the month of </w:t>
      </w:r>
      <w:r>
        <w:rPr>
          <w:rFonts w:ascii="Times New Roman" w:cs="Times New Roman" w:eastAsia="Times New Roman" w:hAnsi="Times New Roman"/>
          <w:sz w:val="16"/>
          <w:szCs w:val="16"/>
          <w:b w:val="1"/>
          <w:bCs w:val="1"/>
          <w:color w:val="auto"/>
        </w:rPr>
        <w:t>November 2025</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001-36903</w:t>
      </w:r>
    </w:p>
    <w:p>
      <w:pPr>
        <w:spacing w:after="0" w:line="17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9"/>
          <w:szCs w:val="29"/>
          <w:b w:val="1"/>
          <w:bCs w:val="1"/>
          <w:color w:val="auto"/>
        </w:rPr>
        <w:t>KORNIT DIGITAL LTD.</w:t>
      </w:r>
    </w:p>
    <w:p>
      <w:pPr>
        <w:spacing w:after="0" w:line="3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7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12 Ha’Amal Street</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Park Afek</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Rosh Ha’Ayin 4824096 Israel</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174" w:lineRule="exact"/>
        <w:rPr>
          <w:sz w:val="24"/>
          <w:szCs w:val="24"/>
          <w:color w:val="auto"/>
        </w:rPr>
      </w:pPr>
    </w:p>
    <w:p>
      <w:pPr>
        <w:ind w:left="4580"/>
        <w:spacing w:after="0" w:line="184" w:lineRule="exact"/>
        <w:tabs>
          <w:tab w:leader="none" w:pos="578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Form 40-F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182245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576580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6"/>
          <w:szCs w:val="16"/>
          <w:b w:val="1"/>
          <w:bCs w:val="1"/>
          <w:color w:val="auto"/>
        </w:rPr>
        <w:t>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Results of Operations and Financial Condition- Quarter Ended September 30, 2025</w:t>
      </w:r>
    </w:p>
    <w:p>
      <w:pPr>
        <w:spacing w:after="0" w:line="200" w:lineRule="exact"/>
        <w:rPr>
          <w:sz w:val="20"/>
          <w:szCs w:val="20"/>
          <w:color w:val="auto"/>
        </w:rPr>
      </w:pPr>
    </w:p>
    <w:p>
      <w:pPr>
        <w:jc w:val="both"/>
        <w:ind w:right="20" w:firstLine="565"/>
        <w:spacing w:after="0" w:line="283" w:lineRule="auto"/>
        <w:rPr>
          <w:sz w:val="20"/>
          <w:szCs w:val="20"/>
          <w:color w:val="auto"/>
        </w:rPr>
      </w:pPr>
      <w:r>
        <w:rPr>
          <w:rFonts w:ascii="Times New Roman" w:cs="Times New Roman" w:eastAsia="Times New Roman" w:hAnsi="Times New Roman"/>
          <w:sz w:val="16"/>
          <w:szCs w:val="16"/>
          <w:color w:val="auto"/>
        </w:rPr>
        <w:t>On November 5, 2025, Kornit Digital Ltd. (“</w:t>
      </w:r>
      <w:r>
        <w:rPr>
          <w:rFonts w:ascii="Times New Roman" w:cs="Times New Roman" w:eastAsia="Times New Roman" w:hAnsi="Times New Roman"/>
          <w:sz w:val="16"/>
          <w:szCs w:val="16"/>
          <w:b w:val="1"/>
          <w:bCs w:val="1"/>
          <w:color w:val="auto"/>
        </w:rPr>
        <w:t>Kornit</w:t>
      </w:r>
      <w:r>
        <w:rPr>
          <w:rFonts w:ascii="Times New Roman" w:cs="Times New Roman" w:eastAsia="Times New Roman" w:hAnsi="Times New Roman"/>
          <w:sz w:val="16"/>
          <w:szCs w:val="16"/>
          <w:color w:val="auto"/>
        </w:rPr>
        <w:t xml:space="preserve">”) issued a press release entitled “Kornit Digital Reports Third Quarter 2025 Results,” in which Kornit reported its results of operations for the third quarter ended September 30, 2025. A copy of that press release is furnished as </w:t>
      </w:r>
      <w:r>
        <w:rPr>
          <w:rFonts w:ascii="Times New Roman" w:cs="Times New Roman" w:eastAsia="Times New Roman" w:hAnsi="Times New Roman"/>
          <w:sz w:val="16"/>
          <w:szCs w:val="16"/>
          <w:u w:val="single" w:color="auto"/>
          <w:color w:val="auto"/>
        </w:rPr>
        <w:t>Exhibit 99.1</w:t>
      </w:r>
      <w:r>
        <w:rPr>
          <w:rFonts w:ascii="Times New Roman" w:cs="Times New Roman" w:eastAsia="Times New Roman" w:hAnsi="Times New Roman"/>
          <w:sz w:val="16"/>
          <w:szCs w:val="16"/>
          <w:color w:val="auto"/>
        </w:rPr>
        <w:t xml:space="preserve"> hereto.</w:t>
      </w:r>
    </w:p>
    <w:p>
      <w:pPr>
        <w:spacing w:after="0" w:line="142" w:lineRule="exact"/>
        <w:rPr>
          <w:sz w:val="20"/>
          <w:szCs w:val="20"/>
          <w:color w:val="auto"/>
        </w:rPr>
      </w:pPr>
    </w:p>
    <w:p>
      <w:pPr>
        <w:jc w:val="both"/>
        <w:ind w:right="20" w:firstLine="565"/>
        <w:spacing w:after="0" w:line="265" w:lineRule="auto"/>
        <w:rPr>
          <w:sz w:val="20"/>
          <w:szCs w:val="20"/>
          <w:color w:val="auto"/>
        </w:rPr>
      </w:pPr>
      <w:r>
        <w:rPr>
          <w:rFonts w:ascii="Times New Roman" w:cs="Times New Roman" w:eastAsia="Times New Roman" w:hAnsi="Times New Roman"/>
          <w:sz w:val="16"/>
          <w:szCs w:val="16"/>
          <w:color w:val="auto"/>
        </w:rPr>
        <w:t xml:space="preserve">Kornit is holding a conference call on November 5, 2025, to discuss its results for the quarter ended September 30, 2025, and, in connection with that call, will make available to its investors a slide presentation to provide additional information regarding its business and its financial results. That slide presentation is attached as </w:t>
      </w:r>
      <w:r>
        <w:rPr>
          <w:rFonts w:ascii="Times New Roman" w:cs="Times New Roman" w:eastAsia="Times New Roman" w:hAnsi="Times New Roman"/>
          <w:sz w:val="16"/>
          <w:szCs w:val="16"/>
          <w:u w:val="single" w:color="auto"/>
          <w:color w:val="auto"/>
        </w:rPr>
        <w:t>Exhibit 99.2</w:t>
      </w:r>
      <w:r>
        <w:rPr>
          <w:rFonts w:ascii="Times New Roman" w:cs="Times New Roman" w:eastAsia="Times New Roman" w:hAnsi="Times New Roman"/>
          <w:sz w:val="16"/>
          <w:szCs w:val="16"/>
          <w:color w:val="auto"/>
        </w:rPr>
        <w:t xml:space="preserve"> to this Report of Foreign Private Issuer on Form 6-K (this “</w:t>
      </w:r>
      <w:r>
        <w:rPr>
          <w:rFonts w:ascii="Times New Roman" w:cs="Times New Roman" w:eastAsia="Times New Roman" w:hAnsi="Times New Roman"/>
          <w:sz w:val="16"/>
          <w:szCs w:val="16"/>
          <w:b w:val="1"/>
          <w:bCs w:val="1"/>
          <w:color w:val="auto"/>
        </w:rPr>
        <w:t>Form 6-K</w:t>
      </w:r>
      <w:r>
        <w:rPr>
          <w:rFonts w:ascii="Times New Roman" w:cs="Times New Roman" w:eastAsia="Times New Roman" w:hAnsi="Times New Roman"/>
          <w:sz w:val="16"/>
          <w:szCs w:val="16"/>
          <w:color w:val="auto"/>
        </w:rPr>
        <w:t>”) and is incorporated herein by reference.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Exhibits</w:t>
            </w:r>
          </w:p>
        </w:tc>
        <w:tc>
          <w:tcPr>
            <w:tcW w:w="1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98"/>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20" w:type="dxa"/>
            <w:vAlign w:val="bottom"/>
            <w:tcBorders>
              <w:bottom w:val="single" w:sz="8" w:color="CCEEFF"/>
            </w:tcBorders>
          </w:tcPr>
          <w:p>
            <w:pPr>
              <w:spacing w:after="0"/>
              <w:rPr>
                <w:sz w:val="24"/>
                <w:szCs w:val="24"/>
                <w:color w:val="auto"/>
              </w:rPr>
            </w:pPr>
          </w:p>
        </w:tc>
        <w:tc>
          <w:tcPr>
            <w:tcW w:w="10120" w:type="dxa"/>
            <w:vAlign w:val="bottom"/>
            <w:tcBorders>
              <w:bottom w:val="single" w:sz="8" w:color="auto"/>
            </w:tcBorders>
            <w:gridSpan w:val="3"/>
          </w:tcPr>
          <w:p>
            <w:pPr>
              <w:ind w:left="46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1"/>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shd w:val="clear" w:color="auto" w:fill="CCEEFF"/>
          </w:tcPr>
          <w:p>
            <w:pPr>
              <w:spacing w:after="0"/>
              <w:rPr>
                <w:sz w:val="14"/>
                <w:szCs w:val="14"/>
                <w:color w:val="auto"/>
              </w:rPr>
            </w:pPr>
          </w:p>
        </w:tc>
        <w:tc>
          <w:tcPr>
            <w:tcW w:w="1012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Press release, dated November 5, 2025, titled “Kornit Digital Reports Third Quarter 2025 Results”</w:t>
            </w:r>
          </w:p>
        </w:tc>
      </w:tr>
      <w:tr>
        <w:trPr>
          <w:trHeight w:val="191"/>
        </w:trPr>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280" w:type="dxa"/>
            <w:vAlign w:val="bottom"/>
            <w:tcBorders>
              <w:top w:val="single" w:sz="8" w:color="0000EE"/>
            </w:tcBorders>
          </w:tcPr>
          <w:p>
            <w:pPr>
              <w:spacing w:after="0"/>
              <w:rPr>
                <w:sz w:val="16"/>
                <w:szCs w:val="16"/>
                <w:color w:val="auto"/>
              </w:rPr>
            </w:pPr>
          </w:p>
        </w:tc>
        <w:tc>
          <w:tcPr>
            <w:tcW w:w="294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r>
      <w:tr>
        <w:trPr>
          <w:trHeight w:val="155"/>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0240" w:type="dxa"/>
            <w:vAlign w:val="bottom"/>
            <w:gridSpan w:val="4"/>
            <w:shd w:val="clear" w:color="auto" w:fill="CCEEFF"/>
          </w:tcPr>
          <w:p>
            <w:pPr>
              <w:ind w:left="120"/>
              <w:spacing w:after="0" w:line="155" w:lineRule="exact"/>
              <w:rPr>
                <w:sz w:val="20"/>
                <w:szCs w:val="20"/>
                <w:color w:val="auto"/>
              </w:rPr>
            </w:pPr>
            <w:r>
              <w:rPr>
                <w:rFonts w:ascii="Times New Roman" w:cs="Times New Roman" w:eastAsia="Times New Roman" w:hAnsi="Times New Roman"/>
                <w:sz w:val="16"/>
                <w:szCs w:val="16"/>
                <w:color w:val="0000EE"/>
              </w:rPr>
              <w:t>Slide presentation for conference call of Kornit held on November 5, 2025, discussing financial results for the quarter ended September 30, 2025</w:t>
            </w:r>
          </w:p>
        </w:tc>
      </w:tr>
      <w:tr>
        <w:trPr>
          <w:trHeight w:val="36"/>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80" w:type="dxa"/>
            <w:vAlign w:val="bottom"/>
            <w:shd w:val="clear" w:color="auto" w:fill="0000EE"/>
          </w:tcPr>
          <w:p>
            <w:pPr>
              <w:spacing w:after="0"/>
              <w:rPr>
                <w:sz w:val="3"/>
                <w:szCs w:val="3"/>
                <w:color w:val="auto"/>
              </w:rPr>
            </w:pPr>
          </w:p>
        </w:tc>
        <w:tc>
          <w:tcPr>
            <w:tcW w:w="2940" w:type="dxa"/>
            <w:vAlign w:val="bottom"/>
            <w:shd w:val="clear" w:color="auto" w:fill="0000EE"/>
          </w:tcPr>
          <w:p>
            <w:pPr>
              <w:spacing w:after="0"/>
              <w:rPr>
                <w:sz w:val="3"/>
                <w:szCs w:val="3"/>
                <w:color w:val="auto"/>
              </w:rPr>
            </w:pPr>
          </w:p>
        </w:tc>
        <w:tc>
          <w:tcPr>
            <w:tcW w:w="90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Incorporation by Reference</w:t>
      </w:r>
    </w:p>
    <w:p>
      <w:pPr>
        <w:spacing w:after="0" w:line="202" w:lineRule="exact"/>
        <w:rPr>
          <w:sz w:val="20"/>
          <w:szCs w:val="20"/>
          <w:color w:val="auto"/>
        </w:rPr>
      </w:pPr>
    </w:p>
    <w:p>
      <w:pPr>
        <w:jc w:val="both"/>
        <w:ind w:firstLine="565"/>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Kornit’s Registration Statements on Form S-8 (File No.’s </w:t>
      </w:r>
      <w:hyperlink r:id="rId13">
        <w:r>
          <w:rPr>
            <w:rFonts w:ascii="Times New Roman" w:cs="Times New Roman" w:eastAsia="Times New Roman" w:hAnsi="Times New Roman"/>
            <w:sz w:val="16"/>
            <w:szCs w:val="16"/>
            <w:u w:val="single" w:color="auto"/>
            <w:color w:val="0000EE"/>
          </w:rPr>
          <w:t>333-203970</w:t>
        </w:r>
      </w:hyperlink>
      <w:r>
        <w:rPr>
          <w:rFonts w:ascii="Times New Roman" w:cs="Times New Roman" w:eastAsia="Times New Roman" w:hAnsi="Times New Roman"/>
          <w:sz w:val="16"/>
          <w:szCs w:val="16"/>
          <w:color w:val="auto"/>
        </w:rPr>
        <w:t xml:space="preserve">, </w:t>
      </w:r>
      <w:hyperlink r:id="rId14">
        <w:r>
          <w:rPr>
            <w:rFonts w:ascii="Times New Roman" w:cs="Times New Roman" w:eastAsia="Times New Roman" w:hAnsi="Times New Roman"/>
            <w:sz w:val="16"/>
            <w:szCs w:val="16"/>
            <w:u w:val="single" w:color="auto"/>
            <w:color w:val="0000EE"/>
          </w:rPr>
          <w:t>333-214015</w:t>
        </w:r>
      </w:hyperlink>
      <w:r>
        <w:rPr>
          <w:rFonts w:ascii="Times New Roman" w:cs="Times New Roman" w:eastAsia="Times New Roman" w:hAnsi="Times New Roman"/>
          <w:sz w:val="16"/>
          <w:szCs w:val="16"/>
          <w:color w:val="auto"/>
        </w:rPr>
        <w:t xml:space="preserve">, </w:t>
      </w:r>
      <w:hyperlink r:id="rId15">
        <w:r>
          <w:rPr>
            <w:rFonts w:ascii="Times New Roman" w:cs="Times New Roman" w:eastAsia="Times New Roman" w:hAnsi="Times New Roman"/>
            <w:sz w:val="16"/>
            <w:szCs w:val="16"/>
            <w:u w:val="single" w:color="auto"/>
            <w:color w:val="0000EE"/>
          </w:rPr>
          <w:t>333-217039</w:t>
        </w:r>
      </w:hyperlink>
      <w:r>
        <w:rPr>
          <w:rFonts w:ascii="Times New Roman" w:cs="Times New Roman" w:eastAsia="Times New Roman" w:hAnsi="Times New Roman"/>
          <w:sz w:val="16"/>
          <w:szCs w:val="16"/>
          <w:color w:val="auto"/>
        </w:rPr>
        <w:t xml:space="preserve">, </w:t>
      </w:r>
      <w:hyperlink r:id="rId16">
        <w:r>
          <w:rPr>
            <w:rFonts w:ascii="Times New Roman" w:cs="Times New Roman" w:eastAsia="Times New Roman" w:hAnsi="Times New Roman"/>
            <w:sz w:val="16"/>
            <w:szCs w:val="16"/>
            <w:u w:val="single" w:color="auto"/>
            <w:color w:val="0000EE"/>
          </w:rPr>
          <w:t>333-223794</w:t>
        </w:r>
      </w:hyperlink>
      <w:r>
        <w:rPr>
          <w:rFonts w:ascii="Times New Roman" w:cs="Times New Roman" w:eastAsia="Times New Roman" w:hAnsi="Times New Roman"/>
          <w:sz w:val="16"/>
          <w:szCs w:val="16"/>
          <w:color w:val="auto"/>
        </w:rPr>
        <w:t xml:space="preserve">, </w:t>
      </w:r>
      <w:hyperlink r:id="rId17">
        <w:r>
          <w:rPr>
            <w:rFonts w:ascii="Times New Roman" w:cs="Times New Roman" w:eastAsia="Times New Roman" w:hAnsi="Times New Roman"/>
            <w:sz w:val="16"/>
            <w:szCs w:val="16"/>
            <w:u w:val="single" w:color="auto"/>
            <w:color w:val="0000EE"/>
          </w:rPr>
          <w:t>333-230567</w:t>
        </w:r>
      </w:hyperlink>
      <w:r>
        <w:rPr>
          <w:rFonts w:ascii="Times New Roman" w:cs="Times New Roman" w:eastAsia="Times New Roman" w:hAnsi="Times New Roman"/>
          <w:sz w:val="16"/>
          <w:szCs w:val="16"/>
          <w:color w:val="auto"/>
        </w:rPr>
        <w:t xml:space="preserve">, </w:t>
      </w:r>
      <w:hyperlink r:id="rId18">
        <w:r>
          <w:rPr>
            <w:rFonts w:ascii="Times New Roman" w:cs="Times New Roman" w:eastAsia="Times New Roman" w:hAnsi="Times New Roman"/>
            <w:sz w:val="16"/>
            <w:szCs w:val="16"/>
            <w:u w:val="single" w:color="auto"/>
            <w:color w:val="0000EE"/>
          </w:rPr>
          <w:t>333-237346</w:t>
        </w:r>
      </w:hyperlink>
      <w:r>
        <w:rPr>
          <w:rFonts w:ascii="Times New Roman" w:cs="Times New Roman" w:eastAsia="Times New Roman" w:hAnsi="Times New Roman"/>
          <w:sz w:val="16"/>
          <w:szCs w:val="16"/>
          <w:color w:val="auto"/>
        </w:rPr>
        <w:t xml:space="preserve">, </w:t>
      </w:r>
      <w:hyperlink r:id="rId19">
        <w:r>
          <w:rPr>
            <w:rFonts w:ascii="Times New Roman" w:cs="Times New Roman" w:eastAsia="Times New Roman" w:hAnsi="Times New Roman"/>
            <w:sz w:val="16"/>
            <w:szCs w:val="16"/>
            <w:u w:val="single" w:color="auto"/>
            <w:color w:val="0000EE"/>
          </w:rPr>
          <w:t>333-254749</w:t>
        </w:r>
      </w:hyperlink>
      <w:r>
        <w:rPr>
          <w:rFonts w:ascii="Times New Roman" w:cs="Times New Roman" w:eastAsia="Times New Roman" w:hAnsi="Times New Roman"/>
          <w:sz w:val="16"/>
          <w:szCs w:val="16"/>
          <w:color w:val="auto"/>
        </w:rPr>
        <w:t xml:space="preserve">, </w:t>
      </w:r>
      <w:hyperlink r:id="rId20">
        <w:r>
          <w:rPr>
            <w:rFonts w:ascii="Times New Roman" w:cs="Times New Roman" w:eastAsia="Times New Roman" w:hAnsi="Times New Roman"/>
            <w:sz w:val="16"/>
            <w:szCs w:val="16"/>
            <w:u w:val="single" w:color="auto"/>
            <w:color w:val="0000EE"/>
          </w:rPr>
          <w:t>333-263975</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and </w:t>
      </w:r>
      <w:hyperlink r:id="rId21">
        <w:r>
          <w:rPr>
            <w:rFonts w:ascii="Times New Roman" w:cs="Times New Roman" w:eastAsia="Times New Roman" w:hAnsi="Times New Roman"/>
            <w:sz w:val="16"/>
            <w:szCs w:val="16"/>
            <w:u w:val="single" w:color="auto"/>
            <w:color w:val="0000EE"/>
          </w:rPr>
          <w:t>333-286158</w:t>
        </w:r>
      </w:hyperlink>
      <w:r>
        <w:rPr>
          <w:rFonts w:ascii="Times New Roman" w:cs="Times New Roman" w:eastAsia="Times New Roman" w:hAnsi="Times New Roman"/>
          <w:sz w:val="16"/>
          <w:szCs w:val="16"/>
          <w:color w:val="auto"/>
        </w:rPr>
        <w:t>).</w:t>
      </w:r>
    </w:p>
    <w:p>
      <w:pPr>
        <w:spacing w:after="0" w:line="338" w:lineRule="exact"/>
        <w:rPr>
          <w:rFonts w:ascii="Times New Roman" w:cs="Times New Roman" w:eastAsia="Times New Roman" w:hAnsi="Times New Roman"/>
          <w:sz w:val="16"/>
          <w:szCs w:val="16"/>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right="20" w:firstLine="565"/>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80" w:type="dxa"/>
            <w:vAlign w:val="bottom"/>
          </w:tcPr>
          <w:p>
            <w:pPr>
              <w:spacing w:after="0"/>
              <w:rPr>
                <w:sz w:val="18"/>
                <w:szCs w:val="18"/>
                <w:color w:val="auto"/>
              </w:rPr>
            </w:pPr>
          </w:p>
        </w:tc>
        <w:tc>
          <w:tcPr>
            <w:tcW w:w="7680" w:type="dxa"/>
            <w:vAlign w:val="bottom"/>
            <w:gridSpan w:val="2"/>
          </w:tcPr>
          <w:p>
            <w:pPr>
              <w:ind w:left="3180"/>
              <w:spacing w:after="0"/>
              <w:rPr>
                <w:sz w:val="20"/>
                <w:szCs w:val="20"/>
                <w:color w:val="auto"/>
              </w:rPr>
            </w:pPr>
            <w:r>
              <w:rPr>
                <w:rFonts w:ascii="Times New Roman" w:cs="Times New Roman" w:eastAsia="Times New Roman" w:hAnsi="Times New Roman"/>
                <w:sz w:val="16"/>
                <w:szCs w:val="16"/>
                <w:color w:val="auto"/>
              </w:rPr>
              <w:t>KORNIT DIGITAL LTD.</w:t>
            </w:r>
          </w:p>
        </w:tc>
      </w:tr>
      <w:tr>
        <w:trPr>
          <w:trHeight w:val="386"/>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5, 2025</w:t>
            </w:r>
          </w:p>
        </w:tc>
        <w:tc>
          <w:tcPr>
            <w:tcW w:w="374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Lauri Hanover</w:t>
            </w:r>
          </w:p>
        </w:tc>
      </w:tr>
      <w:tr>
        <w:trPr>
          <w:trHeight w:val="175"/>
        </w:trPr>
        <w:tc>
          <w:tcPr>
            <w:tcW w:w="3580" w:type="dxa"/>
            <w:vAlign w:val="bottom"/>
          </w:tcPr>
          <w:p>
            <w:pPr>
              <w:spacing w:after="0"/>
              <w:rPr>
                <w:sz w:val="15"/>
                <w:szCs w:val="15"/>
                <w:color w:val="auto"/>
              </w:rPr>
            </w:pPr>
          </w:p>
        </w:tc>
        <w:tc>
          <w:tcPr>
            <w:tcW w:w="3740" w:type="dxa"/>
            <w:vAlign w:val="bottom"/>
          </w:tcPr>
          <w:p>
            <w:pPr>
              <w:ind w:left="318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Lauri Hanover</w:t>
            </w:r>
          </w:p>
        </w:tc>
      </w:tr>
      <w:tr>
        <w:trPr>
          <w:trHeight w:val="208"/>
        </w:trPr>
        <w:tc>
          <w:tcPr>
            <w:tcW w:w="3580" w:type="dxa"/>
            <w:vAlign w:val="bottom"/>
          </w:tcPr>
          <w:p>
            <w:pPr>
              <w:spacing w:after="0"/>
              <w:rPr>
                <w:sz w:val="18"/>
                <w:szCs w:val="18"/>
                <w:color w:val="auto"/>
              </w:rPr>
            </w:pPr>
          </w:p>
        </w:tc>
        <w:tc>
          <w:tcPr>
            <w:tcW w:w="374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577"/>
        </w:trPr>
        <w:tc>
          <w:tcPr>
            <w:tcW w:w="35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6"/>
                <w:szCs w:val="16"/>
                <w:color w:val="auto"/>
              </w:rPr>
              <w:t>2</w:t>
            </w: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Investor Contact:</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Jared Maymon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Global Head of Investor Relations &amp; Strategic Finance</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Jared.Maymon@Kornit.com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1092835" cy="614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092835" cy="61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Kornit Digital Reports Third Quarter 2025 Results</w:t>
      </w:r>
    </w:p>
    <w:p>
      <w:pPr>
        <w:spacing w:after="0" w:line="198" w:lineRule="exact"/>
        <w:rPr>
          <w:sz w:val="20"/>
          <w:szCs w:val="20"/>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Revenue of </w:t>
      </w:r>
      <w:r>
        <w:rPr>
          <w:rFonts w:ascii="Times New Roman" w:cs="Times New Roman" w:eastAsia="Times New Roman" w:hAnsi="Times New Roman"/>
          <w:sz w:val="16"/>
          <w:szCs w:val="16"/>
          <w:b w:val="1"/>
          <w:bCs w:val="1"/>
          <w:color w:val="auto"/>
        </w:rPr>
        <w:t>$53.1 million</w:t>
      </w:r>
      <w:r>
        <w:rPr>
          <w:rFonts w:ascii="Times New Roman" w:cs="Times New Roman" w:eastAsia="Times New Roman" w:hAnsi="Times New Roman"/>
          <w:sz w:val="16"/>
          <w:szCs w:val="16"/>
          <w:color w:val="auto"/>
        </w:rPr>
        <w:t xml:space="preserve">, up </w:t>
      </w:r>
      <w:r>
        <w:rPr>
          <w:rFonts w:ascii="Times New Roman" w:cs="Times New Roman" w:eastAsia="Times New Roman" w:hAnsi="Times New Roman"/>
          <w:sz w:val="16"/>
          <w:szCs w:val="16"/>
          <w:b w:val="1"/>
          <w:bCs w:val="1"/>
          <w:color w:val="auto"/>
        </w:rPr>
        <w:t>5% year over year</w:t>
      </w:r>
      <w:r>
        <w:rPr>
          <w:rFonts w:ascii="Times New Roman" w:cs="Times New Roman" w:eastAsia="Times New Roman" w:hAnsi="Times New Roman"/>
          <w:sz w:val="16"/>
          <w:szCs w:val="16"/>
          <w:color w:val="auto"/>
        </w:rPr>
        <w:t>, above the midpoint of guidance</w:t>
      </w:r>
    </w:p>
    <w:p>
      <w:pPr>
        <w:spacing w:after="0" w:line="222"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Positive </w:t>
      </w: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$1.1 million or 2% adjusted EBITDA margin</w:t>
      </w:r>
    </w:p>
    <w:p>
      <w:pPr>
        <w:spacing w:after="0" w:line="224"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Continued to generate cash from operations</w:t>
      </w:r>
    </w:p>
    <w:p>
      <w:pPr>
        <w:spacing w:after="0" w:line="220"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Expansion of </w:t>
      </w:r>
      <w:r>
        <w:rPr>
          <w:rFonts w:ascii="Times New Roman" w:cs="Times New Roman" w:eastAsia="Times New Roman" w:hAnsi="Times New Roman"/>
          <w:sz w:val="16"/>
          <w:szCs w:val="16"/>
          <w:b w:val="1"/>
          <w:bCs w:val="1"/>
          <w:color w:val="auto"/>
        </w:rPr>
        <w:t>Apollo and Atlas MAX PLUS installations</w:t>
      </w:r>
      <w:r>
        <w:rPr>
          <w:rFonts w:ascii="Times New Roman" w:cs="Times New Roman" w:eastAsia="Times New Roman" w:hAnsi="Times New Roman"/>
          <w:sz w:val="16"/>
          <w:szCs w:val="16"/>
          <w:color w:val="auto"/>
        </w:rPr>
        <w:t>, driving growth in bulk apparel production</w:t>
      </w:r>
    </w:p>
    <w:p>
      <w:pPr>
        <w:spacing w:after="0" w:line="222"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Annual recurring revenue from AIC </w:t>
      </w:r>
      <w:r>
        <w:rPr>
          <w:rFonts w:ascii="Times New Roman" w:cs="Times New Roman" w:eastAsia="Times New Roman" w:hAnsi="Times New Roman"/>
          <w:sz w:val="16"/>
          <w:szCs w:val="16"/>
          <w:color w:val="auto"/>
        </w:rPr>
        <w:t>grew to</w:t>
      </w:r>
      <w:r>
        <w:rPr>
          <w:rFonts w:ascii="Times New Roman" w:cs="Times New Roman" w:eastAsia="Times New Roman" w:hAnsi="Times New Roman"/>
          <w:sz w:val="16"/>
          <w:szCs w:val="16"/>
          <w:b w:val="1"/>
          <w:bCs w:val="1"/>
          <w:color w:val="auto"/>
        </w:rPr>
        <w:t xml:space="preserve"> $21.5 million </w:t>
      </w:r>
      <w:r>
        <w:rPr>
          <w:rFonts w:ascii="Times New Roman" w:cs="Times New Roman" w:eastAsia="Times New Roman" w:hAnsi="Times New Roman"/>
          <w:sz w:val="16"/>
          <w:szCs w:val="16"/>
          <w:color w:val="auto"/>
        </w:rPr>
        <w:t>in Q3 and</w:t>
      </w:r>
      <w:r>
        <w:rPr>
          <w:rFonts w:ascii="Times New Roman" w:cs="Times New Roman" w:eastAsia="Times New Roman" w:hAnsi="Times New Roman"/>
          <w:sz w:val="16"/>
          <w:szCs w:val="16"/>
          <w:b w:val="1"/>
          <w:bCs w:val="1"/>
          <w:color w:val="auto"/>
        </w:rPr>
        <w:t xml:space="preserve"> $23.1 million </w:t>
      </w:r>
      <w:r>
        <w:rPr>
          <w:rFonts w:ascii="Times New Roman" w:cs="Times New Roman" w:eastAsia="Times New Roman" w:hAnsi="Times New Roman"/>
          <w:sz w:val="16"/>
          <w:szCs w:val="16"/>
          <w:color w:val="auto"/>
        </w:rPr>
        <w:t>to date, reflecting continued adoption of Kornit’s usage-based revenue model</w:t>
      </w:r>
    </w:p>
    <w:p>
      <w:pPr>
        <w:spacing w:after="0" w:line="198" w:lineRule="exact"/>
        <w:rPr>
          <w:sz w:val="20"/>
          <w:szCs w:val="20"/>
          <w:color w:val="auto"/>
        </w:rPr>
      </w:pPr>
    </w:p>
    <w:p>
      <w:pPr>
        <w:jc w:val="both"/>
        <w:ind w:left="4" w:right="20"/>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Rosh-Ha`Ayin, Israel – November 5, 2025, </w:t>
      </w:r>
      <w:r>
        <w:rPr>
          <w:rFonts w:ascii="Times New Roman" w:cs="Times New Roman" w:eastAsia="Times New Roman" w:hAnsi="Times New Roman"/>
          <w:sz w:val="16"/>
          <w:szCs w:val="16"/>
          <w:color w:val="auto"/>
        </w:rPr>
        <w:t>Kornit Digital Ltd. (“Kornit” or the “Company”) (NASDAQ: KRNT), a global leader in sustainable, on-demand digital fashion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textile production, today announced financial results for the third quarter ended September 30, 2025. The results reflect Kornit’s consistent execution of its strategy to accelerate digital adoption in mass apparel production, expand recurring revenues under the All-Inclusive Click (AIC) model, and strengthen its leadership in replacing traditional screen printing with agile, on-demand digital solutions.</w:t>
      </w:r>
    </w:p>
    <w:p>
      <w:pPr>
        <w:spacing w:after="0" w:line="161"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6"/>
          <w:szCs w:val="16"/>
          <w:color w:val="auto"/>
        </w:rPr>
        <w:t>“This quarter, we delivered results above the midpoint of our guidance, achieving year-over-year revenue growth and positive cash flow from operations,” said Ronen Samuel, Chief Executive Officer of Kornit Digital. “We continue to build momentum in penetrating the bulk apparel market and accelerating the replacement of traditional screen printing with our Apollo and Atlas MAX PLUS systems. In parallel, we are expanding our recurring revenues through our innovative All-Inclusive Click (AIC) model, which is gaining traction across regions and becoming the preferred business model for customers scaling digital production.”</w:t>
      </w:r>
    </w:p>
    <w:p>
      <w:pPr>
        <w:spacing w:after="0" w:line="162"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Mr. Samuel continued, “We are also extending our reach into high-potential markets such as footwear, where our breakthrough digital solution is already producing more than one million pairs of shoes for leading brands. These achievements reflect the strength of our technology, the scalability of our model, and the execution of our strategy. Kornit is executing with discipline, building a profitable, cash-generating, and recurring business that is shaping the future of on-demand fashion and textile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367030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6"/>
          <w:szCs w:val="16"/>
          <w:b w:val="1"/>
          <w:bCs w:val="1"/>
          <w:color w:val="auto"/>
        </w:rPr>
        <w:t>Third Quarter 2025 Results of Operations</w:t>
      </w:r>
    </w:p>
    <w:p>
      <w:pPr>
        <w:spacing w:after="0" w:line="200" w:lineRule="exact"/>
        <w:rPr>
          <w:sz w:val="20"/>
          <w:szCs w:val="20"/>
          <w:color w:val="auto"/>
        </w:rPr>
      </w:pPr>
    </w:p>
    <w:p>
      <w:pPr>
        <w:ind w:left="284" w:hanging="284"/>
        <w:spacing w:after="0"/>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revenue for the third quarter of 2025 was $53.1 million compared with $50.7 million in the prior year period.</w:t>
      </w:r>
    </w:p>
    <w:p>
      <w:pPr>
        <w:spacing w:after="0" w:line="198"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gross profit margin for the third quarter of 2025 was 43.5% compared with 47.7% in the prior year period. On a non-GAAP basis, gross profit margin was 45.8% compared with 50.3% in the prior year period.</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operating expenses for the third quarter of 2025 were $31.1 million compared with $31.3 million in the prior year period. On a non-GAAP basis, operating expenses decreased by 3.7% to $25.8 million compared with the prior year period.</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net loss for the third quarter of 2025 was $2.6 million, or ($0.06) per share, compared with net loss of $0.9 million, or ($0.02) per share, for the third quarter of 2024.</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income for the third quarter of 2025 was $4.2 million, or $0.09 per share, compared with non-GAAP net income of $5.5 million, or $0.11 per share, for the third quarter of 2024.</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for the third quarter of 2025 was $1.1 million compared with adjusted EBITDA of $1.5 million for the third quarter of 2024. Adjusted EBITDA margin for the third quarter of 2025 was 2.0% compared with 2.9% for the third quarter of 2024.</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Fourth Quarter 2025 Guidance</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For the fourth quarter of 2025, the Company expects revenues to be in the range of $56 million to $60 million and adjusted EBITDA margin between 7% and 10%.</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Third Quarter Earnings Conference Call Information</w:t>
      </w:r>
    </w:p>
    <w:p>
      <w:pPr>
        <w:spacing w:after="0" w:line="200"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The Company will host a conference call today at 8:30 a.m. ET, or 3:30 p.m. Israel time, to discuss the results, followed by a question-and-answer session with the investor community.</w:t>
      </w:r>
    </w:p>
    <w:p>
      <w:pPr>
        <w:spacing w:after="0" w:line="142" w:lineRule="exact"/>
        <w:rPr>
          <w:sz w:val="20"/>
          <w:szCs w:val="20"/>
          <w:color w:val="auto"/>
        </w:rPr>
      </w:pPr>
    </w:p>
    <w:p>
      <w:pPr>
        <w:jc w:val="both"/>
        <w:ind w:left="4"/>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A live webcast of the call </w:t>
      </w:r>
      <w:r>
        <w:rPr>
          <w:rFonts w:ascii="Times New Roman" w:cs="Times New Roman" w:eastAsia="Times New Roman" w:hAnsi="Times New Roman"/>
          <w:sz w:val="16"/>
          <w:szCs w:val="16"/>
          <w:color w:val="auto"/>
        </w:rPr>
        <w:t>can be accessed at ir.kornit.com. To access the call, participants may dial toll-free at 1-877-407-0792 or 1-201-689-8263. The Israel Toll free number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1-809-406-247.</w:t>
      </w:r>
    </w:p>
    <w:p>
      <w:pPr>
        <w:spacing w:after="0" w:line="140"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To listen to a replay </w:t>
      </w:r>
      <w:r>
        <w:rPr>
          <w:rFonts w:ascii="Times New Roman" w:cs="Times New Roman" w:eastAsia="Times New Roman" w:hAnsi="Times New Roman"/>
          <w:sz w:val="16"/>
          <w:szCs w:val="16"/>
          <w:color w:val="auto"/>
        </w:rPr>
        <w:t>of the conference call, dial toll-free 1-844-512-2921 or 1-412-317-6671 and enter access ID 13755781. The telephonic replay will be available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approximately three hours after the completion of the live call until 11:59 pm ET on November 19, 2025. The call will also be available for replay via the webcast link on Kornit’s Investor Relations website.</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About Kornit Digital</w:t>
      </w:r>
    </w:p>
    <w:p>
      <w:pPr>
        <w:spacing w:after="0" w:line="200" w:lineRule="exact"/>
        <w:rPr>
          <w:sz w:val="20"/>
          <w:szCs w:val="20"/>
          <w:color w:val="auto"/>
        </w:rPr>
      </w:pPr>
    </w:p>
    <w:p>
      <w:pPr>
        <w:jc w:val="both"/>
        <w:ind w:left="4" w:right="20"/>
        <w:spacing w:after="0" w:line="259" w:lineRule="auto"/>
        <w:rPr>
          <w:sz w:val="20"/>
          <w:szCs w:val="20"/>
          <w:color w:val="auto"/>
        </w:rPr>
      </w:pPr>
      <w:r>
        <w:rPr>
          <w:rFonts w:ascii="Times New Roman" w:cs="Times New Roman" w:eastAsia="Times New Roman" w:hAnsi="Times New Roman"/>
          <w:sz w:val="16"/>
          <w:szCs w:val="16"/>
          <w:color w:val="auto"/>
        </w:rPr>
        <w:t>Kornit Digital (NASDAQ: KRNT) is a worldwide market leader in sustainable, on-demand, digital fashion, and textile production technologies. The company offers end-to-end solutions including digital printing systems, inks, consumables, software, and fulfillment services through its global fulfillment network. Headquartered in Israel with offices in the USA, Europe, and Asia Pacific, Kornit Digital serves customers in more than 100 countries and states worldwide. To learn more about how Kornit Digital is boldly transforming the world of fashion and textiles, visit www.kornit.com.</w:t>
      </w:r>
    </w:p>
    <w:p>
      <w:pPr>
        <w:spacing w:after="0" w:line="3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duration and severity of adverse macro-economic headwinds that were caused by inflationary pressures and higher interest rates, which have impacted, and may continue to impact, in an adverse manner, the Company’s operations, financial position and cash flows, in part due to the adverse impact on the Company’s customers and suppliers; the Company’s degree of success in developing, introducing and selling new or improved products and product enhancements including specifically the Company’s Poly Pro and Presto products, and the Company’s Apollo direct-to-garment platform; the extent of the Company’s ability to consummate sales to large accounts with multi-system delivery plans; the degree of the Company’s ability to fill orders for its systems and consumables; the extent of the Company’s ability to increase sales of its systems, ink and consumables; the extent of the Company’s ability to leverage its global infrastructure build-out; the development of the market for digital textile printing; the availability of alternative ink; competition; sales concentration; changes to the Company’s relationships with suppliers; the extent of the Company’s success in marketing; and those additional factors referred to under “Risk Factors” in Item 3.D of the Company’s Annual Report on Form 20-F for the year ended December 31, 2024, filed with the SEC on March 28, 2025. Any forward-looking statements in this press release are made as of the date hereof, whether as a result of new information, future events or otherwise, except as required by law.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Discussion Disclosure</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Company presents certain non-GAAP financial measures, in this press release and in the accompanying conference call to discuss the Company’s quarterly results. These non-GAAP financial measures reflect adjustments to corresponding GAAP financial measures in order to exclude the impact of the following: share-based compensation expenses; amortization of intangible assets; restructuring expenses; foreign exchange differences associated with ASC 842; and non-cash deferred tax income.</w:t>
      </w:r>
    </w:p>
    <w:p>
      <w:pPr>
        <w:spacing w:after="0" w:line="15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Company defines “Adjusted EBITDA” as non-GAAP operating income (loss), which reflects the adjustments described in the preceding paragraph, as further adjusted to exclude depreciation expense.</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purpose of the foregoing non-GAAP financial measures is to convey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reconciliation tables included below present a reconciliation of our non-GAAP financial measures to the most directly comparable GAAP financial measures.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6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20" w:type="dxa"/>
            <w:vAlign w:val="bottom"/>
          </w:tcPr>
          <w:p>
            <w:pPr>
              <w:spacing w:after="0"/>
              <w:rPr>
                <w:sz w:val="18"/>
                <w:szCs w:val="18"/>
                <w:color w:val="auto"/>
              </w:rPr>
            </w:pPr>
          </w:p>
        </w:tc>
      </w:tr>
      <w:tr>
        <w:trPr>
          <w:trHeight w:val="195"/>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120" w:type="dxa"/>
            <w:vAlign w:val="bottom"/>
          </w:tcPr>
          <w:p>
            <w:pPr>
              <w:spacing w:after="0"/>
              <w:rPr>
                <w:sz w:val="16"/>
                <w:szCs w:val="16"/>
                <w:color w:val="auto"/>
              </w:rPr>
            </w:pPr>
          </w:p>
        </w:tc>
      </w:tr>
      <w:tr>
        <w:trPr>
          <w:trHeight w:val="175"/>
        </w:trPr>
        <w:tc>
          <w:tcPr>
            <w:tcW w:w="606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ASSETS</w:t>
            </w:r>
          </w:p>
        </w:tc>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8"/>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38,255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35,003</w:t>
            </w: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bank deposit</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337,803</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205,934</w:t>
            </w: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67,292</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222,937</w:t>
            </w: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receivables, net</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64,728</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65,459</w:t>
            </w: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49,002</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60,342</w:t>
            </w:r>
          </w:p>
        </w:tc>
      </w:tr>
      <w:tr>
        <w:trPr>
          <w:trHeight w:val="207"/>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accounts receivable and prepaid expenses</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31,593</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25,714</w:t>
            </w:r>
          </w:p>
        </w:tc>
      </w:tr>
      <w:tr>
        <w:trPr>
          <w:trHeight w:val="195"/>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6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588,673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615,389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ASSETS:</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46,455</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48,086</w:t>
            </w: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 and other long-term assets</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14,274</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10,542</w:t>
            </w: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Severance pay fund</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361</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306</w:t>
            </w: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Property,plant and equipment, net</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65,979</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59,222</w:t>
            </w: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17,711</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19,054</w:t>
            </w: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7,194</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5,721</w:t>
            </w:r>
          </w:p>
        </w:tc>
      </w:tr>
      <w:tr>
        <w:trPr>
          <w:trHeight w:val="207"/>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29,164</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29,164</w:t>
            </w:r>
          </w:p>
        </w:tc>
      </w:tr>
      <w:tr>
        <w:trPr>
          <w:trHeight w:val="195"/>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long-term assets</w:t>
            </w:r>
          </w:p>
        </w:tc>
        <w:tc>
          <w:tcPr>
            <w:tcW w:w="26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181,138</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172,095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769,811</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787,484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187"/>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payables</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5,959</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9,019</w:t>
            </w: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Employees and payroll accruals</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12,462</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13,101</w:t>
            </w: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revenues and advances from customers</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1,732</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2,339</w:t>
            </w: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3,741</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3,311</w:t>
            </w:r>
          </w:p>
        </w:tc>
      </w:tr>
      <w:tr>
        <w:trPr>
          <w:trHeight w:val="207"/>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21,863</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16,561</w:t>
            </w:r>
          </w:p>
        </w:tc>
      </w:tr>
      <w:tr>
        <w:trPr>
          <w:trHeight w:val="195"/>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44,331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severance pay</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1,363</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1,051</w:t>
            </w: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14,953</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15,065</w:t>
            </w:r>
          </w:p>
        </w:tc>
      </w:tr>
      <w:tr>
        <w:trPr>
          <w:trHeight w:val="207"/>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138</w:t>
            </w:r>
          </w:p>
        </w:tc>
      </w:tr>
      <w:tr>
        <w:trPr>
          <w:trHeight w:val="195"/>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26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16,408</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707,646</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726,899</w:t>
            </w:r>
          </w:p>
        </w:tc>
      </w:tr>
      <w:tr>
        <w:trPr>
          <w:trHeight w:val="191"/>
        </w:trPr>
        <w:tc>
          <w:tcPr>
            <w:tcW w:w="6060" w:type="dxa"/>
            <w:vAlign w:val="bottom"/>
            <w:tcBorders>
              <w:top w:val="single" w:sz="8" w:color="CCEEFF"/>
            </w:tcBorders>
          </w:tcPr>
          <w:p>
            <w:pPr>
              <w:spacing w:after="0"/>
              <w:rPr>
                <w:sz w:val="16"/>
                <w:szCs w:val="16"/>
                <w:color w:val="auto"/>
              </w:rPr>
            </w:pPr>
          </w:p>
        </w:tc>
        <w:tc>
          <w:tcPr>
            <w:tcW w:w="26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3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769,811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787,484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 w:name="page8"/>
    <w:bookmarkEnd w:id="7"/>
    <w:p>
      <w:pPr>
        <w:ind w:left="474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(U.S. dollars in thousands, except share and per share data)</w:t>
      </w:r>
    </w:p>
    <w:p>
      <w:pPr>
        <w:sectPr>
          <w:pgSz w:w="11900" w:h="16838" w:orient="portrait"/>
          <w:cols w:equalWidth="0" w:num="1">
            <w:col w:w="11260"/>
          </w:cols>
          <w:pgMar w:left="320" w:top="814" w:right="319" w:bottom="1440" w:gutter="0" w:footer="0" w:header="0"/>
        </w:sectPr>
      </w:pPr>
    </w:p>
    <w:p>
      <w:pPr>
        <w:spacing w:after="0" w:line="191"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12065</wp:posOffset>
            </wp:positionV>
            <wp:extent cx="159321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6" w:lineRule="exact"/>
        <w:rPr>
          <w:sz w:val="20"/>
          <w:szCs w:val="20"/>
          <w:color w:val="auto"/>
        </w:rPr>
      </w:pPr>
    </w:p>
    <w:p>
      <w:pPr>
        <w:ind w:left="6380"/>
        <w:spacing w:after="0"/>
        <w:tabs>
          <w:tab w:leader="none" w:pos="774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16510</wp:posOffset>
            </wp:positionV>
            <wp:extent cx="159321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12065</wp:posOffset>
            </wp:positionV>
            <wp:extent cx="154813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1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2025</w:t>
      </w:r>
      <w:r>
        <w:rPr>
          <w:sz w:val="20"/>
          <w:szCs w:val="20"/>
          <w:color w:val="auto"/>
        </w:rPr>
        <w:tab/>
      </w:r>
      <w:r>
        <w:rPr>
          <w:rFonts w:ascii="Times New Roman" w:cs="Times New Roman" w:eastAsia="Times New Roman" w:hAnsi="Times New Roman"/>
          <w:sz w:val="15"/>
          <w:szCs w:val="15"/>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23495</wp:posOffset>
            </wp:positionV>
            <wp:extent cx="154813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6" w:lineRule="exact"/>
        <w:rPr>
          <w:sz w:val="20"/>
          <w:szCs w:val="20"/>
          <w:color w:val="auto"/>
        </w:rPr>
      </w:pPr>
    </w:p>
    <w:p>
      <w:pPr>
        <w:sectPr>
          <w:pgSz w:w="11900" w:h="16838" w:orient="portrait"/>
          <w:cols w:equalWidth="0" w:num="2">
            <w:col w:w="8380" w:space="720"/>
            <w:col w:w="2160"/>
          </w:cols>
          <w:pgMar w:left="320" w:top="814" w:right="31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38,134</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36,996</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110,412</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100,375</w:t>
            </w:r>
          </w:p>
        </w:tc>
        <w:tc>
          <w:tcPr>
            <w:tcW w:w="100" w:type="dxa"/>
            <w:vAlign w:val="bottom"/>
            <w:shd w:val="clear" w:color="auto" w:fill="CCEEFF"/>
          </w:tcPr>
          <w:p>
            <w:pPr>
              <w:spacing w:after="0"/>
              <w:rPr>
                <w:sz w:val="16"/>
                <w:szCs w:val="16"/>
                <w:color w:val="auto"/>
              </w:rPr>
            </w:pPr>
          </w:p>
        </w:tc>
      </w:tr>
      <w:tr>
        <w:trPr>
          <w:trHeight w:val="207"/>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15,000</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13,736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38,933</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42,754</w:t>
            </w:r>
          </w:p>
        </w:tc>
        <w:tc>
          <w:tcPr>
            <w:tcW w:w="100" w:type="dxa"/>
            <w:vAlign w:val="bottom"/>
          </w:tcPr>
          <w:p>
            <w:pPr>
              <w:spacing w:after="0"/>
              <w:rPr>
                <w:sz w:val="18"/>
                <w:szCs w:val="18"/>
                <w:color w:val="auto"/>
              </w:rPr>
            </w:pPr>
          </w:p>
        </w:tc>
      </w:tr>
      <w:tr>
        <w:trPr>
          <w:trHeight w:val="191"/>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53,134</w:t>
            </w: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50,732</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149,345</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143,129</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16,155</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14,647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49,735</w:t>
            </w:r>
          </w:p>
        </w:tc>
        <w:tc>
          <w:tcPr>
            <w:tcW w:w="2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43,609</w:t>
            </w:r>
          </w:p>
        </w:tc>
        <w:tc>
          <w:tcPr>
            <w:tcW w:w="100" w:type="dxa"/>
            <w:vAlign w:val="bottom"/>
          </w:tcPr>
          <w:p>
            <w:pPr>
              <w:spacing w:after="0"/>
              <w:rPr>
                <w:sz w:val="16"/>
                <w:szCs w:val="16"/>
                <w:color w:val="auto"/>
              </w:rPr>
            </w:pPr>
          </w:p>
        </w:tc>
      </w:tr>
      <w:tr>
        <w:trPr>
          <w:trHeight w:val="223"/>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13,890</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35,977</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38,887</w:t>
            </w:r>
          </w:p>
        </w:tc>
        <w:tc>
          <w:tcPr>
            <w:tcW w:w="100" w:type="dxa"/>
            <w:vAlign w:val="bottom"/>
            <w:shd w:val="clear" w:color="auto" w:fill="CCEEFF"/>
          </w:tcPr>
          <w:p>
            <w:pPr>
              <w:spacing w:after="0"/>
              <w:rPr>
                <w:sz w:val="19"/>
                <w:szCs w:val="19"/>
                <w:color w:val="auto"/>
              </w:rPr>
            </w:pPr>
          </w:p>
        </w:tc>
      </w:tr>
      <w:tr>
        <w:trPr>
          <w:trHeight w:val="175"/>
        </w:trPr>
        <w:tc>
          <w:tcPr>
            <w:tcW w:w="598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 cost of revenues</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30,045</w:t>
            </w:r>
          </w:p>
        </w:tc>
        <w:tc>
          <w:tcPr>
            <w:tcW w:w="2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26,522</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85,712</w:t>
            </w: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82,496</w:t>
            </w: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91"/>
        </w:trPr>
        <w:tc>
          <w:tcPr>
            <w:tcW w:w="5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23,089</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24,210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63,633</w:t>
            </w:r>
          </w:p>
        </w:tc>
        <w:tc>
          <w:tcPr>
            <w:tcW w:w="2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60,633</w:t>
            </w: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 net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9,013</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27,434</w:t>
            </w: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31,797</w:t>
            </w: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14,221</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14,441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44,163</w:t>
            </w:r>
          </w:p>
        </w:tc>
        <w:tc>
          <w:tcPr>
            <w:tcW w:w="2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43,213</w:t>
            </w:r>
          </w:p>
        </w:tc>
        <w:tc>
          <w:tcPr>
            <w:tcW w:w="100" w:type="dxa"/>
            <w:vAlign w:val="bottom"/>
          </w:tcPr>
          <w:p>
            <w:pPr>
              <w:spacing w:after="0"/>
              <w:rPr>
                <w:sz w:val="16"/>
                <w:szCs w:val="16"/>
                <w:color w:val="auto"/>
              </w:rPr>
            </w:pPr>
          </w:p>
        </w:tc>
      </w:tr>
      <w:tr>
        <w:trPr>
          <w:trHeight w:val="223"/>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7,907</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23,025</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21,728</w:t>
            </w:r>
          </w:p>
        </w:tc>
        <w:tc>
          <w:tcPr>
            <w:tcW w:w="100" w:type="dxa"/>
            <w:vAlign w:val="bottom"/>
            <w:shd w:val="clear" w:color="auto" w:fill="CCEEFF"/>
          </w:tcPr>
          <w:p>
            <w:pPr>
              <w:spacing w:after="0"/>
              <w:rPr>
                <w:sz w:val="19"/>
                <w:szCs w:val="19"/>
                <w:color w:val="auto"/>
              </w:rPr>
            </w:pPr>
          </w:p>
        </w:tc>
      </w:tr>
      <w:tr>
        <w:trPr>
          <w:trHeight w:val="175"/>
        </w:trPr>
        <w:tc>
          <w:tcPr>
            <w:tcW w:w="598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31,141</w:t>
            </w:r>
          </w:p>
        </w:tc>
        <w:tc>
          <w:tcPr>
            <w:tcW w:w="2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31,333</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94,622</w:t>
            </w: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96,738</w:t>
            </w: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91"/>
        </w:trPr>
        <w:tc>
          <w:tcPr>
            <w:tcW w:w="5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(8,052)</w:t>
            </w:r>
          </w:p>
        </w:tc>
        <w:tc>
          <w:tcPr>
            <w:tcW w:w="2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(30,989)</w:t>
            </w:r>
          </w:p>
        </w:tc>
        <w:tc>
          <w:tcPr>
            <w:tcW w:w="240" w:type="dxa"/>
            <w:vAlign w:val="bottom"/>
          </w:tcPr>
          <w:p>
            <w:pPr>
              <w:spacing w:after="0"/>
              <w:rPr>
                <w:sz w:val="16"/>
                <w:szCs w:val="16"/>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(36,105)</w:t>
            </w:r>
          </w:p>
        </w:tc>
      </w:tr>
      <w:tr>
        <w:trPr>
          <w:trHeight w:val="191"/>
        </w:trPr>
        <w:tc>
          <w:tcPr>
            <w:tcW w:w="5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 net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5,540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16,388</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18,501</w:t>
            </w:r>
          </w:p>
        </w:tc>
        <w:tc>
          <w:tcPr>
            <w:tcW w:w="100" w:type="dxa"/>
            <w:vAlign w:val="bottom"/>
          </w:tcPr>
          <w:p>
            <w:pPr>
              <w:spacing w:after="0"/>
              <w:rPr>
                <w:sz w:val="18"/>
                <w:szCs w:val="18"/>
                <w:color w:val="auto"/>
              </w:rPr>
            </w:pPr>
          </w:p>
        </w:tc>
      </w:tr>
      <w:tr>
        <w:trPr>
          <w:trHeight w:val="191"/>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taxes on income</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(14,601)</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(17,604)</w:t>
            </w:r>
          </w:p>
        </w:tc>
        <w:tc>
          <w:tcPr>
            <w:tcW w:w="120" w:type="dxa"/>
            <w:vAlign w:val="bottom"/>
            <w:tcBorders>
              <w:top w:val="single" w:sz="8" w:color="CCEEFF"/>
            </w:tcBorders>
            <w:gridSpan w:val="2"/>
            <w:shd w:val="clear" w:color="auto" w:fill="CCEEFF"/>
          </w:tcPr>
          <w:p>
            <w:pPr>
              <w:spacing w:after="0"/>
              <w:rPr>
                <w:sz w:val="16"/>
                <w:szCs w:val="16"/>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on income</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80</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568</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100" w:type="dxa"/>
            <w:vAlign w:val="bottom"/>
            <w:shd w:val="clear" w:color="auto" w:fill="CCEEFF"/>
          </w:tcPr>
          <w:p>
            <w:pPr>
              <w:spacing w:after="0"/>
              <w:rPr>
                <w:sz w:val="19"/>
                <w:szCs w:val="19"/>
                <w:color w:val="auto"/>
              </w:rPr>
            </w:pPr>
          </w:p>
        </w:tc>
      </w:tr>
      <w:tr>
        <w:trPr>
          <w:trHeight w:val="243"/>
        </w:trPr>
        <w:tc>
          <w:tcPr>
            <w:tcW w:w="59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(2,592</w:t>
            </w:r>
          </w:p>
        </w:tc>
        <w:tc>
          <w:tcPr>
            <w:tcW w:w="240" w:type="dxa"/>
            <w:vAlign w:val="bottom"/>
            <w:tcBorders>
              <w:top w:val="single" w:sz="8" w:color="CCEEFF"/>
              <w:bottom w:val="single" w:sz="8" w:color="CCEEFF"/>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4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(15,169</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(19,016</w:t>
            </w:r>
          </w:p>
        </w:tc>
        <w:tc>
          <w:tcPr>
            <w:tcW w:w="120" w:type="dxa"/>
            <w:vAlign w:val="bottom"/>
            <w:tcBorders>
              <w:top w:val="single" w:sz="8" w:color="CCEEFF"/>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r>
      <w:tr>
        <w:trPr>
          <w:trHeight w:val="187"/>
        </w:trPr>
        <w:tc>
          <w:tcPr>
            <w:tcW w:w="5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7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Basic loss per share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(0.06)</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(0.33)</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(0.40)</w:t>
            </w: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7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shares used in computing basic net loss per share</w:t>
            </w:r>
          </w:p>
        </w:tc>
        <w:tc>
          <w:tcPr>
            <w:tcW w:w="2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44,908,580</w:t>
            </w:r>
          </w:p>
        </w:tc>
        <w:tc>
          <w:tcPr>
            <w:tcW w:w="26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47,604,224</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45,291,359</w:t>
            </w:r>
          </w:p>
        </w:tc>
        <w:tc>
          <w:tcPr>
            <w:tcW w:w="24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47,583,631</w:t>
            </w:r>
          </w:p>
        </w:tc>
        <w:tc>
          <w:tcPr>
            <w:tcW w:w="100" w:type="dxa"/>
            <w:vAlign w:val="bottom"/>
          </w:tcPr>
          <w:p>
            <w:pPr>
              <w:spacing w:after="0"/>
              <w:rPr>
                <w:sz w:val="23"/>
                <w:szCs w:val="23"/>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7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Diluted loss per share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(0.06)</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(0.33)</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(0.40)</w:t>
            </w: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shares used in computing diluted net loss per share</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44,908,580</w:t>
            </w: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47,604,224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45,291,359</w:t>
            </w: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47,583,631</w:t>
            </w:r>
          </w:p>
        </w:tc>
        <w:tc>
          <w:tcPr>
            <w:tcW w:w="100" w:type="dxa"/>
            <w:vAlign w:val="bottom"/>
          </w:tcPr>
          <w:p>
            <w:pPr>
              <w:spacing w:after="0"/>
              <w:rPr>
                <w:sz w:val="20"/>
                <w:szCs w:val="20"/>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type w:val="continuous"/>
        </w:sectPr>
      </w:pPr>
    </w:p>
    <w:bookmarkStart w:id="8" w:name="page9"/>
    <w:bookmarkEnd w:id="8"/>
    <w:p>
      <w:pPr>
        <w:spacing w:after="0" w:line="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RECONCILIATION OF GAAP TO NON-GAAP 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ectPr>
          <w:pgSz w:w="11900" w:h="16919" w:orient="portrait"/>
          <w:cols w:equalWidth="0" w:num="1">
            <w:col w:w="11260"/>
          </w:cols>
          <w:pgMar w:left="320" w:top="814" w:right="319" w:bottom="0" w:gutter="0" w:footer="0" w:header="0"/>
        </w:sectPr>
      </w:pPr>
    </w:p>
    <w:p>
      <w:pPr>
        <w:spacing w:after="0" w:line="180"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12065</wp:posOffset>
            </wp:positionV>
            <wp:extent cx="159321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6" w:lineRule="exact"/>
        <w:rPr>
          <w:sz w:val="20"/>
          <w:szCs w:val="20"/>
          <w:color w:val="auto"/>
        </w:rPr>
      </w:pPr>
    </w:p>
    <w:p>
      <w:pPr>
        <w:ind w:left="6400"/>
        <w:spacing w:after="0"/>
        <w:tabs>
          <w:tab w:leader="none" w:pos="774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16510</wp:posOffset>
            </wp:positionV>
            <wp:extent cx="159321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12065</wp:posOffset>
            </wp:positionV>
            <wp:extent cx="154813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1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2025</w:t>
      </w:r>
      <w:r>
        <w:rPr>
          <w:sz w:val="20"/>
          <w:szCs w:val="20"/>
          <w:color w:val="auto"/>
        </w:rPr>
        <w:tab/>
      </w:r>
      <w:r>
        <w:rPr>
          <w:rFonts w:ascii="Times New Roman" w:cs="Times New Roman" w:eastAsia="Times New Roman" w:hAnsi="Times New Roman"/>
          <w:sz w:val="15"/>
          <w:szCs w:val="15"/>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23495</wp:posOffset>
            </wp:positionV>
            <wp:extent cx="154813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46" w:lineRule="exact"/>
        <w:rPr>
          <w:sz w:val="20"/>
          <w:szCs w:val="20"/>
          <w:color w:val="auto"/>
        </w:rPr>
      </w:pPr>
    </w:p>
    <w:p>
      <w:pPr>
        <w:sectPr>
          <w:pgSz w:w="11900" w:h="16919" w:orient="portrait"/>
          <w:cols w:equalWidth="0" w:num="2">
            <w:col w:w="8380" w:space="720"/>
            <w:col w:w="2160"/>
          </w:cols>
          <w:pgMar w:left="320" w:top="814" w:right="319" w:bottom="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14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53,134</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143,129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cost of revenues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30,045</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26,522</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85,712</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82,496</w:t>
            </w:r>
          </w:p>
        </w:tc>
        <w:tc>
          <w:tcPr>
            <w:tcW w:w="0" w:type="dxa"/>
            <w:vAlign w:val="bottom"/>
          </w:tcPr>
          <w:p>
            <w:pPr>
              <w:spacing w:after="0"/>
              <w:rPr>
                <w:sz w:val="1"/>
                <w:szCs w:val="1"/>
                <w:color w:val="auto"/>
              </w:rPr>
            </w:pPr>
          </w:p>
        </w:tc>
      </w:tr>
      <w:tr>
        <w:trPr>
          <w:trHeight w:val="191"/>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Cost of product recorded for share-based compensation (1)</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(526)</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(1,587)</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(1,494)</w:t>
            </w:r>
          </w:p>
        </w:tc>
        <w:tc>
          <w:tcPr>
            <w:tcW w:w="0" w:type="dxa"/>
            <w:vAlign w:val="bottom"/>
          </w:tcPr>
          <w:p>
            <w:pPr>
              <w:spacing w:after="0"/>
              <w:rPr>
                <w:sz w:val="1"/>
                <w:szCs w:val="1"/>
                <w:color w:val="auto"/>
              </w:rPr>
            </w:pPr>
          </w:p>
        </w:tc>
      </w:tr>
      <w:tr>
        <w:trPr>
          <w:trHeight w:val="19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service recorded for share-based compensation (1)</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(394)</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(1,193)</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(1,294)</w:t>
            </w:r>
          </w:p>
        </w:tc>
        <w:tc>
          <w:tcPr>
            <w:tcW w:w="0" w:type="dxa"/>
            <w:vAlign w:val="bottom"/>
          </w:tcPr>
          <w:p>
            <w:pPr>
              <w:spacing w:after="0"/>
              <w:rPr>
                <w:sz w:val="1"/>
                <w:szCs w:val="1"/>
                <w:color w:val="auto"/>
              </w:rPr>
            </w:pPr>
          </w:p>
        </w:tc>
      </w:tr>
      <w:tr>
        <w:trPr>
          <w:trHeight w:val="191"/>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amortization on cost of product (2)</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(152)</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(450)</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(760)</w:t>
            </w:r>
          </w:p>
        </w:tc>
        <w:tc>
          <w:tcPr>
            <w:tcW w:w="0" w:type="dxa"/>
            <w:vAlign w:val="bottom"/>
          </w:tcPr>
          <w:p>
            <w:pPr>
              <w:spacing w:after="0"/>
              <w:rPr>
                <w:sz w:val="1"/>
                <w:szCs w:val="1"/>
                <w:color w:val="auto"/>
              </w:rPr>
            </w:pPr>
          </w:p>
        </w:tc>
      </w:tr>
      <w:tr>
        <w:trPr>
          <w:trHeight w:val="19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amortization on cost of service (2)</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(159)</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(479)</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expenses (3)</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(1,055)</w:t>
            </w: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(914)</w:t>
            </w:r>
          </w:p>
        </w:tc>
        <w:tc>
          <w:tcPr>
            <w:tcW w:w="0" w:type="dxa"/>
            <w:vAlign w:val="bottom"/>
          </w:tcPr>
          <w:p>
            <w:pPr>
              <w:spacing w:after="0"/>
              <w:rPr>
                <w:sz w:val="1"/>
                <w:szCs w:val="1"/>
                <w:color w:val="auto"/>
              </w:rPr>
            </w:pPr>
          </w:p>
        </w:tc>
      </w:tr>
      <w:tr>
        <w:trPr>
          <w:trHeight w:val="24"/>
        </w:trPr>
        <w:tc>
          <w:tcPr>
            <w:tcW w:w="5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cost of revenues</w:t>
            </w:r>
          </w:p>
        </w:tc>
        <w:tc>
          <w:tcPr>
            <w:tcW w:w="8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140" w:type="dxa"/>
            <w:vAlign w:val="bottom"/>
            <w:vMerge w:val="continue"/>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80,948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77,554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gross profit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23,089</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24,210</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63,633</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60,633</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adjustments</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4,942</w:t>
            </w:r>
          </w:p>
        </w:tc>
        <w:tc>
          <w:tcPr>
            <w:tcW w:w="0" w:type="dxa"/>
            <w:vAlign w:val="bottom"/>
          </w:tcPr>
          <w:p>
            <w:pPr>
              <w:spacing w:after="0"/>
              <w:rPr>
                <w:sz w:val="1"/>
                <w:szCs w:val="1"/>
                <w:color w:val="auto"/>
              </w:rPr>
            </w:pPr>
          </w:p>
        </w:tc>
      </w:tr>
      <w:tr>
        <w:trPr>
          <w:trHeight w:val="24"/>
        </w:trPr>
        <w:tc>
          <w:tcPr>
            <w:tcW w:w="5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gross profit</w:t>
            </w:r>
          </w:p>
        </w:tc>
        <w:tc>
          <w:tcPr>
            <w:tcW w:w="8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140" w:type="dxa"/>
            <w:vAlign w:val="bottom"/>
            <w:vMerge w:val="continue"/>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68,397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65,575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operating expenses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31,141</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31,333</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94,622</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96,738</w:t>
            </w:r>
          </w:p>
        </w:tc>
        <w:tc>
          <w:tcPr>
            <w:tcW w:w="0" w:type="dxa"/>
            <w:vAlign w:val="bottom"/>
          </w:tcPr>
          <w:p>
            <w:pPr>
              <w:spacing w:after="0"/>
              <w:rPr>
                <w:sz w:val="1"/>
                <w:szCs w:val="1"/>
                <w:color w:val="auto"/>
              </w:rPr>
            </w:pPr>
          </w:p>
        </w:tc>
      </w:tr>
      <w:tr>
        <w:trPr>
          <w:trHeight w:val="191"/>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(1)</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(4,704)</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(13,920)</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(13,884)</w:t>
            </w:r>
          </w:p>
        </w:tc>
        <w:tc>
          <w:tcPr>
            <w:tcW w:w="0" w:type="dxa"/>
            <w:vAlign w:val="bottom"/>
          </w:tcPr>
          <w:p>
            <w:pPr>
              <w:spacing w:after="0"/>
              <w:rPr>
                <w:sz w:val="1"/>
                <w:szCs w:val="1"/>
                <w:color w:val="auto"/>
              </w:rPr>
            </w:pPr>
          </w:p>
        </w:tc>
      </w:tr>
      <w:tr>
        <w:trPr>
          <w:trHeight w:val="19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amortization (2)</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(75)</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(223)</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expenses (3)</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(547)</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(547)</w:t>
            </w: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(757)</w:t>
            </w:r>
          </w:p>
        </w:tc>
        <w:tc>
          <w:tcPr>
            <w:tcW w:w="0" w:type="dxa"/>
            <w:vAlign w:val="bottom"/>
          </w:tcPr>
          <w:p>
            <w:pPr>
              <w:spacing w:after="0"/>
              <w:rPr>
                <w:sz w:val="1"/>
                <w:szCs w:val="1"/>
                <w:color w:val="auto"/>
              </w:rPr>
            </w:pPr>
          </w:p>
        </w:tc>
      </w:tr>
      <w:tr>
        <w:trPr>
          <w:trHeight w:val="24"/>
        </w:trPr>
        <w:tc>
          <w:tcPr>
            <w:tcW w:w="5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8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140" w:type="dxa"/>
            <w:vAlign w:val="bottom"/>
            <w:vMerge w:val="continue"/>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79,932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81,835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Financial income, net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5,540</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6,720</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16,388</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18,501</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losses associated with ASC 842</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4"/>
        </w:trPr>
        <w:tc>
          <w:tcPr>
            <w:tcW w:w="5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Financial income, net</w:t>
            </w:r>
          </w:p>
        </w:tc>
        <w:tc>
          <w:tcPr>
            <w:tcW w:w="8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140" w:type="dxa"/>
            <w:vAlign w:val="bottom"/>
            <w:vMerge w:val="continue"/>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19,058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Taxes on income</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80</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505</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568</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1,412</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Non-cash deferred tax income</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Taxes on income</w:t>
            </w:r>
          </w:p>
        </w:tc>
        <w:tc>
          <w:tcPr>
            <w:tcW w:w="8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140" w:type="dxa"/>
            <w:vAlign w:val="bottom"/>
            <w:vMerge w:val="continue"/>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1,412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Net loss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(2,592)</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(908)</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(15,169)</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(19,016)</w:t>
            </w:r>
          </w:p>
        </w:tc>
        <w:tc>
          <w:tcPr>
            <w:tcW w:w="0" w:type="dxa"/>
            <w:vAlign w:val="bottom"/>
          </w:tcPr>
          <w:p>
            <w:pPr>
              <w:spacing w:after="0"/>
              <w:rPr>
                <w:sz w:val="1"/>
                <w:szCs w:val="1"/>
                <w:color w:val="auto"/>
              </w:rPr>
            </w:pPr>
          </w:p>
        </w:tc>
      </w:tr>
      <w:tr>
        <w:trPr>
          <w:trHeight w:val="191"/>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(1)</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5,624</w:t>
            </w: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5,355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16,700</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16,672</w:t>
            </w:r>
          </w:p>
        </w:tc>
        <w:tc>
          <w:tcPr>
            <w:tcW w:w="0" w:type="dxa"/>
            <w:vAlign w:val="bottom"/>
          </w:tcPr>
          <w:p>
            <w:pPr>
              <w:spacing w:after="0"/>
              <w:rPr>
                <w:sz w:val="1"/>
                <w:szCs w:val="1"/>
                <w:color w:val="auto"/>
              </w:rPr>
            </w:pPr>
          </w:p>
        </w:tc>
      </w:tr>
      <w:tr>
        <w:trPr>
          <w:trHeight w:val="19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amortization (2)</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386</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1,502</w:t>
            </w:r>
          </w:p>
        </w:tc>
        <w:tc>
          <w:tcPr>
            <w:tcW w:w="0" w:type="dxa"/>
            <w:vAlign w:val="bottom"/>
          </w:tcPr>
          <w:p>
            <w:pPr>
              <w:spacing w:after="0"/>
              <w:rPr>
                <w:sz w:val="1"/>
                <w:szCs w:val="1"/>
                <w:color w:val="auto"/>
              </w:rPr>
            </w:pPr>
          </w:p>
        </w:tc>
      </w:tr>
      <w:tr>
        <w:trPr>
          <w:trHeight w:val="191"/>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expenses (3)</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576</w:t>
            </w: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1,671</w:t>
            </w:r>
          </w:p>
        </w:tc>
        <w:tc>
          <w:tcPr>
            <w:tcW w:w="0" w:type="dxa"/>
            <w:vAlign w:val="bottom"/>
          </w:tcPr>
          <w:p>
            <w:pPr>
              <w:spacing w:after="0"/>
              <w:rPr>
                <w:sz w:val="1"/>
                <w:szCs w:val="1"/>
                <w:color w:val="auto"/>
              </w:rPr>
            </w:pPr>
          </w:p>
        </w:tc>
      </w:tr>
      <w:tr>
        <w:trPr>
          <w:trHeight w:val="19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losses associated with ASC 842</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201</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07"/>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Non-cash deferred tax income</w:t>
            </w:r>
          </w:p>
        </w:tc>
        <w:tc>
          <w:tcPr>
            <w:tcW w:w="8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4,195</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5,539</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1,386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diluted loss per share</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(0.06)</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(0.02)</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(0.33)</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(0.40)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income per share</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0.09</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0.11</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0.13</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shares</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in computing GAAP diluted net loss per share</w:t>
            </w: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44,908,580</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47,604,224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45,291,359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47,583,631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in computing Non-GAAP diluted net income per share</w:t>
            </w: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45,241,853</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49,988,803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45,701,943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49,166,345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 Share-based compensation</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product revenues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526</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220" w:type="dxa"/>
            <w:vAlign w:val="bottom"/>
          </w:tcPr>
          <w:p>
            <w:pPr>
              <w:spacing w:after="0"/>
              <w:rPr>
                <w:sz w:val="16"/>
                <w:szCs w:val="16"/>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1,494</w:t>
            </w:r>
          </w:p>
        </w:tc>
        <w:tc>
          <w:tcPr>
            <w:tcW w:w="0" w:type="dxa"/>
            <w:vAlign w:val="bottom"/>
          </w:tcPr>
          <w:p>
            <w:pPr>
              <w:spacing w:after="0"/>
              <w:rPr>
                <w:sz w:val="1"/>
                <w:szCs w:val="1"/>
                <w:color w:val="auto"/>
              </w:rPr>
            </w:pPr>
          </w:p>
        </w:tc>
      </w:tr>
      <w:tr>
        <w:trPr>
          <w:trHeight w:val="191"/>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394</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1,294</w:t>
            </w:r>
          </w:p>
        </w:tc>
        <w:tc>
          <w:tcPr>
            <w:tcW w:w="0" w:type="dxa"/>
            <w:vAlign w:val="bottom"/>
          </w:tcPr>
          <w:p>
            <w:pPr>
              <w:spacing w:after="0"/>
              <w:rPr>
                <w:sz w:val="1"/>
                <w:szCs w:val="1"/>
                <w:color w:val="auto"/>
              </w:rPr>
            </w:pPr>
          </w:p>
        </w:tc>
      </w:tr>
      <w:tr>
        <w:trPr>
          <w:trHeight w:val="191"/>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1,194</w:t>
            </w: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1,384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4,055</w:t>
            </w:r>
          </w:p>
        </w:tc>
        <w:tc>
          <w:tcPr>
            <w:tcW w:w="0" w:type="dxa"/>
            <w:vAlign w:val="bottom"/>
          </w:tcPr>
          <w:p>
            <w:pPr>
              <w:spacing w:after="0"/>
              <w:rPr>
                <w:sz w:val="1"/>
                <w:szCs w:val="1"/>
                <w:color w:val="auto"/>
              </w:rPr>
            </w:pPr>
          </w:p>
        </w:tc>
      </w:tr>
      <w:tr>
        <w:trPr>
          <w:trHeight w:val="191"/>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1,730</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1,650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5,016</w:t>
            </w:r>
          </w:p>
        </w:tc>
        <w:tc>
          <w:tcPr>
            <w:tcW w:w="0" w:type="dxa"/>
            <w:vAlign w:val="bottom"/>
          </w:tcPr>
          <w:p>
            <w:pPr>
              <w:spacing w:after="0"/>
              <w:rPr>
                <w:sz w:val="1"/>
                <w:szCs w:val="1"/>
                <w:color w:val="auto"/>
              </w:rPr>
            </w:pPr>
          </w:p>
        </w:tc>
      </w:tr>
      <w:tr>
        <w:trPr>
          <w:trHeight w:val="203"/>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4,813</w:t>
            </w:r>
          </w:p>
        </w:tc>
        <w:tc>
          <w:tcPr>
            <w:tcW w:w="0" w:type="dxa"/>
            <w:vAlign w:val="bottom"/>
          </w:tcPr>
          <w:p>
            <w:pPr>
              <w:spacing w:after="0"/>
              <w:rPr>
                <w:sz w:val="1"/>
                <w:szCs w:val="1"/>
                <w:color w:val="auto"/>
              </w:rPr>
            </w:pPr>
          </w:p>
        </w:tc>
      </w:tr>
      <w:tr>
        <w:trPr>
          <w:trHeight w:val="24"/>
        </w:trPr>
        <w:tc>
          <w:tcPr>
            <w:tcW w:w="5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16,672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 Intangible assets amortization</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product revenues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152</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231</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450</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760</w:t>
            </w:r>
          </w:p>
        </w:tc>
        <w:tc>
          <w:tcPr>
            <w:tcW w:w="0" w:type="dxa"/>
            <w:vAlign w:val="bottom"/>
          </w:tcPr>
          <w:p>
            <w:pPr>
              <w:spacing w:after="0"/>
              <w:rPr>
                <w:sz w:val="1"/>
                <w:szCs w:val="1"/>
                <w:color w:val="auto"/>
              </w:rPr>
            </w:pPr>
          </w:p>
        </w:tc>
      </w:tr>
      <w:tr>
        <w:trPr>
          <w:trHeight w:val="191"/>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159</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479</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203"/>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4"/>
        </w:trPr>
        <w:tc>
          <w:tcPr>
            <w:tcW w:w="5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 Restructuring expenses</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product revenues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220" w:type="dxa"/>
            <w:vAlign w:val="bottom"/>
          </w:tcPr>
          <w:p>
            <w:pPr>
              <w:spacing w:after="0"/>
              <w:rPr>
                <w:sz w:val="16"/>
                <w:szCs w:val="16"/>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865</w:t>
            </w:r>
          </w:p>
        </w:tc>
        <w:tc>
          <w:tcPr>
            <w:tcW w:w="0" w:type="dxa"/>
            <w:vAlign w:val="bottom"/>
          </w:tcPr>
          <w:p>
            <w:pPr>
              <w:spacing w:after="0"/>
              <w:rPr>
                <w:sz w:val="1"/>
                <w:szCs w:val="1"/>
                <w:color w:val="auto"/>
              </w:rPr>
            </w:pPr>
          </w:p>
        </w:tc>
      </w:tr>
      <w:tr>
        <w:trPr>
          <w:trHeight w:val="191"/>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44</w:t>
            </w: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191"/>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374</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374</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08"/>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129</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129</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bl>
    <w:p>
      <w:pPr>
        <w:sectPr>
          <w:pgSz w:w="11900" w:h="16919" w:orient="portrait"/>
          <w:cols w:equalWidth="0" w:num="1">
            <w:col w:w="11260"/>
          </w:cols>
          <w:pgMar w:left="320" w:top="814" w:right="319" w:bottom="0" w:gutter="0" w:footer="0" w:header="0"/>
          <w:type w:val="continuous"/>
        </w:sectPr>
      </w:pPr>
    </w:p>
    <w:bookmarkStart w:id="9" w:name="page10"/>
    <w:bookmarkEnd w:id="9"/>
    <w:p>
      <w:pPr>
        <w:ind w:left="4860"/>
        <w:spacing w:after="0"/>
        <w:tabs>
          <w:tab w:leader="none" w:pos="5740" w:val="left"/>
          <w:tab w:leader="none" w:pos="6220" w:val="left"/>
          <w:tab w:leader="none" w:pos="7300" w:val="left"/>
          <w:tab w:leader="none" w:pos="7560" w:val="left"/>
          <w:tab w:leader="none" w:pos="8320" w:val="left"/>
          <w:tab w:leader="none" w:pos="8900" w:val="left"/>
          <w:tab w:leader="none" w:pos="964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148195" cy="167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48195" cy="16700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6"/>
          <w:szCs w:val="16"/>
          <w:color w:val="auto"/>
        </w:rPr>
        <w:t>576</w:t>
        <w:tab/>
        <w:t>$</w:t>
      </w:r>
      <w:r>
        <w:rPr>
          <w:sz w:val="20"/>
          <w:szCs w:val="20"/>
          <w:color w:val="auto"/>
        </w:rPr>
        <w:tab/>
      </w: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1,602</w:t>
        <w:tab/>
        <w:t>$</w:t>
      </w:r>
      <w:r>
        <w:rPr>
          <w:sz w:val="20"/>
          <w:szCs w:val="20"/>
          <w:color w:val="auto"/>
        </w:rPr>
        <w:tab/>
      </w:r>
      <w:r>
        <w:rPr>
          <w:rFonts w:ascii="Times New Roman" w:cs="Times New Roman" w:eastAsia="Times New Roman" w:hAnsi="Times New Roman"/>
          <w:sz w:val="16"/>
          <w:szCs w:val="16"/>
          <w:color w:val="auto"/>
        </w:rPr>
        <w:t>1,671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38100</wp:posOffset>
            </wp:positionV>
            <wp:extent cx="327787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277870" cy="15240"/>
                    </a:xfrm>
                    <a:prstGeom prst="rect">
                      <a:avLst/>
                    </a:prstGeom>
                    <a:noFill/>
                  </pic:spPr>
                </pic:pic>
              </a:graphicData>
            </a:graphic>
          </wp:anchor>
        </w:drawing>
      </w:r>
    </w:p>
    <w:p>
      <w:pPr>
        <w:sectPr>
          <w:pgSz w:w="11900" w:h="16838" w:orient="portrait"/>
          <w:cols w:equalWidth="0" w:num="1">
            <w:col w:w="10020"/>
          </w:cols>
          <w:pgMar w:left="1440" w:top="171" w:right="4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13970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020"/>
          </w:cols>
          <w:pgMar w:left="1440" w:top="171" w:right="4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ectPr>
          <w:pgSz w:w="11900" w:h="16838" w:orient="portrait"/>
          <w:cols w:equalWidth="0" w:num="1">
            <w:col w:w="11260"/>
          </w:cols>
          <w:pgMar w:left="320" w:top="814" w:right="319" w:bottom="1440" w:gutter="0" w:footer="0" w:header="0"/>
        </w:sectPr>
      </w:pPr>
    </w:p>
    <w:p>
      <w:pPr>
        <w:spacing w:after="0" w:line="180"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12065</wp:posOffset>
            </wp:positionV>
            <wp:extent cx="159321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6" w:lineRule="exact"/>
        <w:rPr>
          <w:sz w:val="20"/>
          <w:szCs w:val="20"/>
          <w:color w:val="auto"/>
        </w:rPr>
      </w:pPr>
    </w:p>
    <w:p>
      <w:pPr>
        <w:ind w:left="6380"/>
        <w:spacing w:after="0"/>
        <w:tabs>
          <w:tab w:leader="none" w:pos="774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16510</wp:posOffset>
            </wp:positionV>
            <wp:extent cx="159321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12065</wp:posOffset>
            </wp:positionV>
            <wp:extent cx="154813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1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2025</w:t>
      </w:r>
      <w:r>
        <w:rPr>
          <w:sz w:val="20"/>
          <w:szCs w:val="20"/>
          <w:color w:val="auto"/>
        </w:rPr>
        <w:tab/>
      </w:r>
      <w:r>
        <w:rPr>
          <w:rFonts w:ascii="Times New Roman" w:cs="Times New Roman" w:eastAsia="Times New Roman" w:hAnsi="Times New Roman"/>
          <w:sz w:val="15"/>
          <w:szCs w:val="15"/>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23495</wp:posOffset>
            </wp:positionV>
            <wp:extent cx="154813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6" w:lineRule="exact"/>
        <w:rPr>
          <w:sz w:val="20"/>
          <w:szCs w:val="20"/>
          <w:color w:val="auto"/>
        </w:rPr>
      </w:pPr>
    </w:p>
    <w:p>
      <w:pPr>
        <w:sectPr>
          <w:pgSz w:w="11900" w:h="16838" w:orient="portrait"/>
          <w:cols w:equalWidth="0" w:num="2">
            <w:col w:w="8380" w:space="720"/>
            <w:col w:w="2160"/>
          </w:cols>
          <w:pgMar w:left="320" w:top="814" w:right="319" w:bottom="1440" w:gutter="0" w:footer="0" w:header="0"/>
          <w:type w:val="continuous"/>
        </w:sectPr>
      </w:pPr>
    </w:p>
    <w:tbl>
      <w:tblPr>
        <w:tblLayout w:type="fixed"/>
        <w:tblInd w:w="0" w:type="dxa"/>
        <w:tblCellMar>
          <w:top w:w="0" w:type="dxa"/>
          <w:left w:w="0" w:type="dxa"/>
          <w:bottom w:w="0" w:type="dxa"/>
          <w:right w:w="0" w:type="dxa"/>
        </w:tblCellMar>
      </w:tblPr>
      <w:tr>
        <w:trPr>
          <w:trHeight w:val="159"/>
        </w:trPr>
        <w:tc>
          <w:tcPr>
            <w:tcW w:w="5980" w:type="dxa"/>
            <w:vAlign w:val="bottom"/>
            <w:gridSpan w:val="4"/>
          </w:tcPr>
          <w:p>
            <w:pPr>
              <w:spacing w:after="0" w:line="159"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3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(2,592)</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(15,169)</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(19,016)</w:t>
            </w:r>
          </w:p>
        </w:tc>
        <w:tc>
          <w:tcPr>
            <w:tcW w:w="0" w:type="dxa"/>
            <w:vAlign w:val="bottom"/>
          </w:tcPr>
          <w:p>
            <w:pPr>
              <w:spacing w:after="0"/>
              <w:rPr>
                <w:sz w:val="1"/>
                <w:szCs w:val="1"/>
                <w:color w:val="auto"/>
              </w:rPr>
            </w:pP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2,931</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8,707</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9,734</w:t>
            </w:r>
          </w:p>
        </w:tc>
        <w:tc>
          <w:tcPr>
            <w:tcW w:w="0" w:type="dxa"/>
            <w:vAlign w:val="bottom"/>
          </w:tcPr>
          <w:p>
            <w:pPr>
              <w:spacing w:after="0"/>
              <w:rPr>
                <w:sz w:val="1"/>
                <w:szCs w:val="1"/>
                <w:color w:val="auto"/>
              </w:rPr>
            </w:pP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Fair value of warrants deducted from revenues</w:t>
            </w:r>
          </w:p>
        </w:tc>
        <w:tc>
          <w:tcPr>
            <w:tcW w:w="3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3,273</w:t>
            </w: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5,624</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16,700</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16,672</w:t>
            </w:r>
          </w:p>
        </w:tc>
        <w:tc>
          <w:tcPr>
            <w:tcW w:w="0" w:type="dxa"/>
            <w:vAlign w:val="bottom"/>
          </w:tcPr>
          <w:p>
            <w:pPr>
              <w:spacing w:after="0"/>
              <w:rPr>
                <w:sz w:val="1"/>
                <w:szCs w:val="1"/>
                <w:color w:val="auto"/>
              </w:rPr>
            </w:pP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Amortization of premium and accretion of discount on marketable securities, net</w:t>
            </w:r>
          </w:p>
        </w:tc>
        <w:tc>
          <w:tcPr>
            <w:tcW w:w="3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(224)</w:t>
            </w:r>
          </w:p>
        </w:tc>
        <w:tc>
          <w:tcPr>
            <w:tcW w:w="3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(774)</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Realized loss on sale and redemption of marketable securities</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Loss from disposal of property and Equipments</w:t>
            </w:r>
          </w:p>
        </w:tc>
        <w:tc>
          <w:tcPr>
            <w:tcW w:w="3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156</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98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Change in operating assets and liabilities:</w:t>
            </w: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6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Trade receivables, net</w:t>
            </w:r>
          </w:p>
        </w:tc>
        <w:tc>
          <w:tcPr>
            <w:tcW w:w="33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(271)</w:t>
            </w:r>
          </w:p>
        </w:tc>
        <w:tc>
          <w:tcPr>
            <w:tcW w:w="3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5,329</w:t>
            </w: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731</w:t>
            </w:r>
          </w:p>
        </w:tc>
        <w:tc>
          <w:tcPr>
            <w:tcW w:w="3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19,500</w:t>
            </w: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accounts receivables and prepaid expenses</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(3,007)</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(5,879)</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1,037</w:t>
            </w:r>
          </w:p>
        </w:tc>
        <w:tc>
          <w:tcPr>
            <w:tcW w:w="0" w:type="dxa"/>
            <w:vAlign w:val="bottom"/>
          </w:tcPr>
          <w:p>
            <w:pPr>
              <w:spacing w:after="0"/>
              <w:rPr>
                <w:sz w:val="1"/>
                <w:szCs w:val="1"/>
                <w:color w:val="auto"/>
              </w:rPr>
            </w:pP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3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675</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8,275</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leases right-of-use assets and liabilities, net</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231</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Deposits and other long term assets</w:t>
            </w:r>
          </w:p>
        </w:tc>
        <w:tc>
          <w:tcPr>
            <w:tcW w:w="3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(185)</w:t>
            </w:r>
          </w:p>
        </w:tc>
        <w:tc>
          <w:tcPr>
            <w:tcW w:w="3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(3,732)</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payables</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(4,045)</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(3,952)</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0" w:type="dxa"/>
            <w:vAlign w:val="bottom"/>
          </w:tcPr>
          <w:p>
            <w:pPr>
              <w:spacing w:after="0"/>
              <w:rPr>
                <w:sz w:val="1"/>
                <w:szCs w:val="1"/>
                <w:color w:val="auto"/>
              </w:rPr>
            </w:pP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Employees and payroll accruals</w:t>
            </w:r>
          </w:p>
        </w:tc>
        <w:tc>
          <w:tcPr>
            <w:tcW w:w="3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(666)</w:t>
            </w:r>
          </w:p>
        </w:tc>
        <w:tc>
          <w:tcPr>
            <w:tcW w:w="3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914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988</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1,436</w:t>
            </w: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revenues and advances from customers</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166</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(607)</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0" w:type="dxa"/>
            <w:vAlign w:val="bottom"/>
          </w:tcPr>
          <w:p>
            <w:pPr>
              <w:spacing w:after="0"/>
              <w:rPr>
                <w:sz w:val="1"/>
                <w:szCs w:val="1"/>
                <w:color w:val="auto"/>
              </w:rPr>
            </w:pP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3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4,885</w:t>
            </w:r>
          </w:p>
        </w:tc>
        <w:tc>
          <w:tcPr>
            <w:tcW w:w="3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6,584</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(6,070)</w:t>
            </w: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severance pay, net</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874</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257</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7"/>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Other long - term liabilities</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w:t>
            </w: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95"/>
        </w:trPr>
        <w:tc>
          <w:tcPr>
            <w:tcW w:w="59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4,348</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98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340" w:type="dxa"/>
            <w:vAlign w:val="bottom"/>
            <w:tcBorders>
              <w:top w:val="single" w:sz="8" w:color="auto"/>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3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plant and equipment and capitalized software development costs</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(3,557)</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(13,136)</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(13,220)</w:t>
            </w:r>
          </w:p>
        </w:tc>
        <w:tc>
          <w:tcPr>
            <w:tcW w:w="0" w:type="dxa"/>
            <w:vAlign w:val="bottom"/>
          </w:tcPr>
          <w:p>
            <w:pPr>
              <w:spacing w:after="0"/>
              <w:rPr>
                <w:sz w:val="1"/>
                <w:szCs w:val="1"/>
                <w:color w:val="auto"/>
              </w:rPr>
            </w:pP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Proceeds from (investment in) short-term bank deposits, net</w:t>
            </w:r>
          </w:p>
        </w:tc>
        <w:tc>
          <w:tcPr>
            <w:tcW w:w="3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(31,366)</w:t>
            </w:r>
          </w:p>
        </w:tc>
        <w:tc>
          <w:tcPr>
            <w:tcW w:w="3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73,995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(131,869)</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66,199</w:t>
            </w: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sales and redemption of marketable securities</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7,000</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13,060</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10,494</w:t>
            </w:r>
          </w:p>
        </w:tc>
        <w:tc>
          <w:tcPr>
            <w:tcW w:w="0" w:type="dxa"/>
            <w:vAlign w:val="bottom"/>
          </w:tcPr>
          <w:p>
            <w:pPr>
              <w:spacing w:after="0"/>
              <w:rPr>
                <w:sz w:val="1"/>
                <w:szCs w:val="1"/>
                <w:color w:val="auto"/>
              </w:rPr>
            </w:pP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3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64,278</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207,400</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44,629</w:t>
            </w:r>
          </w:p>
        </w:tc>
        <w:tc>
          <w:tcPr>
            <w:tcW w:w="0" w:type="dxa"/>
            <w:vAlign w:val="bottom"/>
          </w:tcPr>
          <w:p>
            <w:pPr>
              <w:spacing w:after="0"/>
              <w:rPr>
                <w:sz w:val="1"/>
                <w:szCs w:val="1"/>
                <w:color w:val="auto"/>
              </w:rPr>
            </w:pPr>
          </w:p>
        </w:tc>
      </w:tr>
      <w:tr>
        <w:trPr>
          <w:trHeight w:val="223"/>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 marketable securities</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(27,648)</w:t>
            </w: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(60,226)</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(45,901)</w:t>
            </w:r>
          </w:p>
        </w:tc>
        <w:tc>
          <w:tcPr>
            <w:tcW w:w="0" w:type="dxa"/>
            <w:vAlign w:val="bottom"/>
          </w:tcPr>
          <w:p>
            <w:pPr>
              <w:spacing w:after="0"/>
              <w:rPr>
                <w:sz w:val="1"/>
                <w:szCs w:val="1"/>
                <w:color w:val="auto"/>
              </w:rPr>
            </w:pPr>
          </w:p>
        </w:tc>
      </w:tr>
      <w:tr>
        <w:trPr>
          <w:trHeight w:val="179"/>
        </w:trPr>
        <w:tc>
          <w:tcPr>
            <w:tcW w:w="5980" w:type="dxa"/>
            <w:vAlign w:val="bottom"/>
            <w:tcBorders>
              <w:top w:val="single" w:sz="8" w:color="CCEEFF"/>
              <w:bottom w:val="single" w:sz="8" w:color="CCEEFF"/>
            </w:tcBorders>
            <w:gridSpan w:val="4"/>
          </w:tcPr>
          <w:p>
            <w:pPr>
              <w:spacing w:after="0" w:line="175" w:lineRule="exact"/>
              <w:rPr>
                <w:sz w:val="20"/>
                <w:szCs w:val="20"/>
                <w:color w:val="auto"/>
              </w:rPr>
            </w:pPr>
            <w:r>
              <w:rPr>
                <w:rFonts w:ascii="Times New Roman" w:cs="Times New Roman" w:eastAsia="Times New Roman" w:hAnsi="Times New Roman"/>
                <w:sz w:val="16"/>
                <w:szCs w:val="16"/>
                <w:color w:val="auto"/>
              </w:rPr>
              <w:t>Net cash provided by investing activities</w:t>
            </w:r>
          </w:p>
        </w:tc>
        <w:tc>
          <w:tcPr>
            <w:tcW w:w="3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8,707</w:t>
            </w:r>
          </w:p>
        </w:tc>
        <w:tc>
          <w:tcPr>
            <w:tcW w:w="240" w:type="dxa"/>
            <w:vAlign w:val="bottom"/>
            <w:tcBorders>
              <w:top w:val="single" w:sz="8" w:color="CCEEFF"/>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77,966</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15,229</w:t>
            </w:r>
          </w:p>
        </w:tc>
        <w:tc>
          <w:tcPr>
            <w:tcW w:w="220" w:type="dxa"/>
            <w:vAlign w:val="bottom"/>
            <w:tcBorders>
              <w:top w:val="single" w:sz="8" w:color="CCEEFF"/>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62,201</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3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98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3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Exercise of employee stock options</w:t>
            </w:r>
          </w:p>
        </w:tc>
        <w:tc>
          <w:tcPr>
            <w:tcW w:w="3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w:t>
            </w:r>
          </w:p>
        </w:tc>
        <w:tc>
          <w:tcPr>
            <w:tcW w:w="3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808</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related to shares withheld for taxes</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(258)</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(1,627)</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0" w:type="dxa"/>
            <w:vAlign w:val="bottom"/>
          </w:tcPr>
          <w:p>
            <w:pPr>
              <w:spacing w:after="0"/>
              <w:rPr>
                <w:sz w:val="1"/>
                <w:szCs w:val="1"/>
                <w:color w:val="auto"/>
              </w:rPr>
            </w:pPr>
          </w:p>
        </w:tc>
      </w:tr>
      <w:tr>
        <w:trPr>
          <w:trHeight w:val="207"/>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Repurchase of ordinary shares</w:t>
            </w: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(25,000)</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(9,055)</w:t>
            </w:r>
          </w:p>
        </w:tc>
        <w:tc>
          <w:tcPr>
            <w:tcW w:w="0" w:type="dxa"/>
            <w:vAlign w:val="bottom"/>
          </w:tcPr>
          <w:p>
            <w:pPr>
              <w:spacing w:after="0"/>
              <w:rPr>
                <w:sz w:val="1"/>
                <w:szCs w:val="1"/>
                <w:color w:val="auto"/>
              </w:rPr>
            </w:pPr>
          </w:p>
        </w:tc>
      </w:tr>
      <w:tr>
        <w:trPr>
          <w:trHeight w:val="195"/>
        </w:trPr>
        <w:tc>
          <w:tcPr>
            <w:tcW w:w="59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(25,819</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31"/>
        </w:trPr>
        <w:tc>
          <w:tcPr>
            <w:tcW w:w="2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cash and cash equivalents</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12,837</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91,339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74,256</w:t>
            </w:r>
          </w:p>
        </w:tc>
        <w:tc>
          <w:tcPr>
            <w:tcW w:w="0" w:type="dxa"/>
            <w:vAlign w:val="bottom"/>
          </w:tcPr>
          <w:p>
            <w:pPr>
              <w:spacing w:after="0"/>
              <w:rPr>
                <w:sz w:val="1"/>
                <w:szCs w:val="1"/>
                <w:color w:val="auto"/>
              </w:rPr>
            </w:pPr>
          </w:p>
        </w:tc>
      </w:tr>
      <w:tr>
        <w:trPr>
          <w:trHeight w:val="203"/>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3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25,418</w:t>
            </w:r>
          </w:p>
        </w:tc>
        <w:tc>
          <w:tcPr>
            <w:tcW w:w="3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22,522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35,003</w:t>
            </w:r>
          </w:p>
        </w:tc>
        <w:tc>
          <w:tcPr>
            <w:tcW w:w="3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39,605</w:t>
            </w:r>
          </w:p>
        </w:tc>
        <w:tc>
          <w:tcPr>
            <w:tcW w:w="0" w:type="dxa"/>
            <w:vAlign w:val="bottom"/>
          </w:tcPr>
          <w:p>
            <w:pPr>
              <w:spacing w:after="0"/>
              <w:rPr>
                <w:sz w:val="1"/>
                <w:szCs w:val="1"/>
                <w:color w:val="auto"/>
              </w:rPr>
            </w:pPr>
          </w:p>
        </w:tc>
      </w:tr>
      <w:tr>
        <w:trPr>
          <w:trHeight w:val="24"/>
        </w:trPr>
        <w:tc>
          <w:tcPr>
            <w:tcW w:w="598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the end of the period</w:t>
            </w: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gridSpan w:val="4"/>
            <w:vMerge w:val="continue"/>
            <w:shd w:val="clear" w:color="auto" w:fill="CCEEFF"/>
          </w:tcPr>
          <w:p>
            <w:pPr>
              <w:spacing w:after="0"/>
              <w:rPr>
                <w:sz w:val="19"/>
                <w:szCs w:val="19"/>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38,255</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113,861</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38,255</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113,861</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and equipment on credit</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1,139</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Inventory transferred to be used as property and equipment</w:t>
            </w:r>
          </w:p>
        </w:tc>
        <w:tc>
          <w:tcPr>
            <w:tcW w:w="3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346</w:t>
            </w:r>
          </w:p>
        </w:tc>
        <w:tc>
          <w:tcPr>
            <w:tcW w:w="3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1,576</w:t>
            </w: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 transferred to be used as inventory</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234</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08"/>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175</w:t>
            </w: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0" w:type="dxa"/>
            <w:vAlign w:val="bottom"/>
          </w:tcPr>
          <w:p>
            <w:pPr>
              <w:spacing w:after="0"/>
              <w:rPr>
                <w:sz w:val="1"/>
                <w:szCs w:val="1"/>
                <w:color w:val="auto"/>
              </w:rPr>
            </w:pPr>
          </w:p>
        </w:tc>
      </w:tr>
    </w:tbl>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Revenues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Net loss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Taxes on income</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Financial income</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Share-based compensation</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Intangible assets amortization</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Restructuring expenses</w:t>
      </w:r>
    </w:p>
    <w:p>
      <w:pPr>
        <w:spacing w:after="0" w:line="20" w:lineRule="exact"/>
        <w:rPr>
          <w:sz w:val="20"/>
          <w:szCs w:val="20"/>
          <w:color w:val="auto"/>
        </w:rPr>
      </w:pPr>
      <w:r>
        <w:rPr>
          <w:sz w:val="20"/>
          <w:szCs w:val="20"/>
          <w:color w:val="auto"/>
        </w:rPr>
        <w:br w:type="column"/>
      </w:r>
    </w:p>
    <w:p>
      <w:pPr>
        <w:jc w:val="center"/>
        <w:ind w:right="310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5"/>
          <w:szCs w:val="15"/>
          <w:b w:val="1"/>
          <w:bCs w:val="1"/>
          <w:color w:val="auto"/>
        </w:rPr>
        <w:t>RECONCILIATION OF GAAP NET INCOME TO ADJUSTED EBITDA</w:t>
      </w:r>
    </w:p>
    <w:p>
      <w:pPr>
        <w:spacing w:after="0" w:line="19"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80" w:lineRule="exact"/>
        <w:rPr>
          <w:sz w:val="20"/>
          <w:szCs w:val="20"/>
          <w:color w:val="auto"/>
        </w:rPr>
      </w:pPr>
    </w:p>
    <w:tbl>
      <w:tblPr>
        <w:tblLayout w:type="fixed"/>
        <w:tblInd w:w="288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6"/>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r>
      <w:tr>
        <w:trPr>
          <w:trHeight w:val="214"/>
        </w:trPr>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7"/>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1"/>
        </w:trPr>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53,134</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50,732</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149,345</w:t>
            </w:r>
          </w:p>
        </w:tc>
        <w:tc>
          <w:tcPr>
            <w:tcW w:w="220" w:type="dxa"/>
            <w:vAlign w:val="bottom"/>
          </w:tcPr>
          <w:p>
            <w:pPr>
              <w:spacing w:after="0"/>
              <w:rPr>
                <w:sz w:val="20"/>
                <w:szCs w:val="20"/>
                <w:color w:val="auto"/>
              </w:rPr>
            </w:pP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143,129</w:t>
            </w:r>
          </w:p>
        </w:tc>
        <w:tc>
          <w:tcPr>
            <w:tcW w:w="40" w:type="dxa"/>
            <w:vAlign w:val="bottom"/>
          </w:tcPr>
          <w:p>
            <w:pPr>
              <w:spacing w:after="0"/>
              <w:rPr>
                <w:sz w:val="20"/>
                <w:szCs w:val="20"/>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2"/>
        </w:trPr>
        <w:tc>
          <w:tcPr>
            <w:tcW w:w="24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(2,592)</w:t>
            </w:r>
          </w:p>
        </w:tc>
        <w:tc>
          <w:tcPr>
            <w:tcW w:w="4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(908)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(15,169)</w:t>
            </w:r>
          </w:p>
        </w:tc>
        <w:tc>
          <w:tcPr>
            <w:tcW w:w="38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(19,016)</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80</w:t>
            </w:r>
          </w:p>
        </w:tc>
        <w:tc>
          <w:tcPr>
            <w:tcW w:w="4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568</w:t>
            </w:r>
          </w:p>
        </w:tc>
        <w:tc>
          <w:tcPr>
            <w:tcW w:w="38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1,412</w:t>
            </w:r>
          </w:p>
        </w:tc>
        <w:tc>
          <w:tcPr>
            <w:tcW w:w="40" w:type="dxa"/>
            <w:vAlign w:val="bottom"/>
          </w:tcPr>
          <w:p>
            <w:pPr>
              <w:spacing w:after="0"/>
              <w:rPr>
                <w:sz w:val="16"/>
                <w:szCs w:val="16"/>
                <w:color w:val="auto"/>
              </w:rPr>
            </w:pP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(5,540)</w:t>
            </w:r>
          </w:p>
        </w:tc>
        <w:tc>
          <w:tcPr>
            <w:tcW w:w="4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(16,388)</w:t>
            </w:r>
          </w:p>
        </w:tc>
        <w:tc>
          <w:tcPr>
            <w:tcW w:w="38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(18,501)</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5,624</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16,700</w:t>
            </w:r>
          </w:p>
        </w:tc>
        <w:tc>
          <w:tcPr>
            <w:tcW w:w="38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16,672</w:t>
            </w:r>
          </w:p>
        </w:tc>
        <w:tc>
          <w:tcPr>
            <w:tcW w:w="40" w:type="dxa"/>
            <w:vAlign w:val="bottom"/>
          </w:tcPr>
          <w:p>
            <w:pPr>
              <w:spacing w:after="0"/>
              <w:rPr>
                <w:sz w:val="16"/>
                <w:szCs w:val="16"/>
                <w:color w:val="auto"/>
              </w:rPr>
            </w:pPr>
          </w:p>
        </w:tc>
      </w:tr>
      <w:tr>
        <w:trPr>
          <w:trHeight w:val="203"/>
        </w:trPr>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386</w:t>
            </w:r>
          </w:p>
        </w:tc>
        <w:tc>
          <w:tcPr>
            <w:tcW w:w="4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1,502</w:t>
            </w:r>
          </w:p>
        </w:tc>
        <w:tc>
          <w:tcPr>
            <w:tcW w:w="40" w:type="dxa"/>
            <w:vAlign w:val="bottom"/>
          </w:tcPr>
          <w:p>
            <w:pPr>
              <w:spacing w:after="0"/>
              <w:rPr>
                <w:sz w:val="17"/>
                <w:szCs w:val="17"/>
                <w:color w:val="auto"/>
              </w:rPr>
            </w:pPr>
          </w:p>
        </w:tc>
      </w:tr>
      <w:tr>
        <w:trPr>
          <w:trHeight w:val="208"/>
        </w:trPr>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576</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1,671</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-1970405</wp:posOffset>
            </wp:positionH>
            <wp:positionV relativeFrom="paragraph">
              <wp:posOffset>-1046480</wp:posOffset>
            </wp:positionV>
            <wp:extent cx="7148195" cy="167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-735330</wp:posOffset>
            </wp:positionV>
            <wp:extent cx="7148195" cy="1212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-492760</wp:posOffset>
            </wp:positionV>
            <wp:extent cx="7148195" cy="1212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-249555</wp:posOffset>
            </wp:positionV>
            <wp:extent cx="7148195" cy="121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380" w:space="720"/>
            <w:col w:w="8160"/>
          </w:cols>
          <w:pgMar w:left="320" w:top="814" w:right="319" w:bottom="1440" w:gutter="0" w:footer="0" w:header="0"/>
        </w:sectPr>
      </w:pPr>
    </w:p>
    <w:tbl>
      <w:tblPr>
        <w:tblLayout w:type="fixed"/>
        <w:tblInd w:w="0" w:type="dxa"/>
        <w:tblCellMar>
          <w:top w:w="0" w:type="dxa"/>
          <w:left w:w="0" w:type="dxa"/>
          <w:bottom w:w="0" w:type="dxa"/>
          <w:right w:w="0" w:type="dxa"/>
        </w:tblCellMar>
      </w:tblPr>
      <w:tr>
        <w:trPr>
          <w:trHeight w:val="20"/>
        </w:trPr>
        <w:tc>
          <w:tcPr>
            <w:tcW w:w="366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6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Non-GAAP Operating loss</w:t>
            </w:r>
          </w:p>
        </w:tc>
        <w:tc>
          <w:tcPr>
            <w:tcW w:w="2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(1,466)</w:t>
            </w:r>
          </w:p>
        </w:tc>
        <w:tc>
          <w:tcPr>
            <w:tcW w:w="4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(1,290)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(11,535)</w:t>
            </w:r>
          </w:p>
        </w:tc>
        <w:tc>
          <w:tcPr>
            <w:tcW w:w="3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(16,260)</w:t>
            </w:r>
          </w:p>
        </w:tc>
        <w:tc>
          <w:tcPr>
            <w:tcW w:w="0" w:type="dxa"/>
            <w:vAlign w:val="bottom"/>
          </w:tcPr>
          <w:p>
            <w:pPr>
              <w:spacing w:after="0"/>
              <w:rPr>
                <w:sz w:val="1"/>
                <w:szCs w:val="1"/>
                <w:color w:val="auto"/>
              </w:rPr>
            </w:pPr>
          </w:p>
        </w:tc>
      </w:tr>
      <w:tr>
        <w:trPr>
          <w:trHeight w:val="20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2,545</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7,555</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8,232</w:t>
            </w:r>
          </w:p>
        </w:tc>
        <w:tc>
          <w:tcPr>
            <w:tcW w:w="0" w:type="dxa"/>
            <w:vAlign w:val="bottom"/>
          </w:tcPr>
          <w:p>
            <w:pPr>
              <w:spacing w:after="0"/>
              <w:rPr>
                <w:sz w:val="1"/>
                <w:szCs w:val="1"/>
                <w:color w:val="auto"/>
              </w:rPr>
            </w:pPr>
          </w:p>
        </w:tc>
      </w:tr>
      <w:tr>
        <w:trPr>
          <w:trHeight w:val="24"/>
        </w:trPr>
        <w:tc>
          <w:tcPr>
            <w:tcW w:w="3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3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9"/>
        </w:trPr>
        <w:tc>
          <w:tcPr>
            <w:tcW w:w="3660" w:type="dxa"/>
            <w:vAlign w:val="bottom"/>
            <w:vMerge w:val="continue"/>
            <w:shd w:val="clear" w:color="auto" w:fill="CCEEFF"/>
          </w:tcPr>
          <w:p>
            <w:pPr>
              <w:spacing w:after="0"/>
              <w:rPr>
                <w:sz w:val="19"/>
                <w:szCs w:val="19"/>
                <w:color w:val="auto"/>
              </w:rPr>
            </w:pPr>
          </w:p>
        </w:tc>
        <w:tc>
          <w:tcPr>
            <w:tcW w:w="2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1,079</w:t>
            </w: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(3,980</w:t>
            </w:r>
          </w:p>
        </w:tc>
        <w:tc>
          <w:tcPr>
            <w:tcW w:w="22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(8,028</w:t>
            </w:r>
          </w:p>
        </w:tc>
        <w:tc>
          <w:tcPr>
            <w:tcW w:w="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8</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36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type w:val="continuous"/>
        </w:sectPr>
      </w:pPr>
    </w:p>
    <w:bookmarkStart w:id="12" w:name="page13"/>
    <w:bookmarkEnd w:id="12"/>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43173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jpe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13" Type="http://schemas.openxmlformats.org/officeDocument/2006/relationships/hyperlink" Target="http://www.sec.gov/Archives/edgar/data/1625791/000161577415000908/s101052_forms8.htm" TargetMode="External"/><Relationship Id="rId14" Type="http://schemas.openxmlformats.org/officeDocument/2006/relationships/hyperlink" Target="http://www.sec.gov/Archives/edgar/data/1625791/000121390016017339/fs82016_kornitdigital.htm" TargetMode="External"/><Relationship Id="rId15" Type="http://schemas.openxmlformats.org/officeDocument/2006/relationships/hyperlink" Target="http://www.sec.gov/Archives/edgar/data/1625791/000121390017003012/fs82017_kornitdigital.htm" TargetMode="External"/><Relationship Id="rId16" Type="http://schemas.openxmlformats.org/officeDocument/2006/relationships/hyperlink" Target="http://www.sec.gov/Archives/edgar/data/1625791/000121390018003205/fs82018_kornitdigital.htm" TargetMode="External"/><Relationship Id="rId17" Type="http://schemas.openxmlformats.org/officeDocument/2006/relationships/hyperlink" Target="http://www.sec.gov/Archives/edgar/data/1625791/000121390019005079/fs82019_kornitdigitalltd.htm" TargetMode="External"/><Relationship Id="rId18" Type="http://schemas.openxmlformats.org/officeDocument/2006/relationships/hyperlink" Target="http://www.sec.gov/Archives/edgar/data/1625791/000121390020007116/ea119827-s8_kornitdigital.htm" TargetMode="External"/><Relationship Id="rId19" Type="http://schemas.openxmlformats.org/officeDocument/2006/relationships/hyperlink" Target="http://www.sec.gov/Archives/edgar/data/1625791/000121390021017777/ea138332-s8_kornitdigital.htm" TargetMode="External"/><Relationship Id="rId20" Type="http://schemas.openxmlformats.org/officeDocument/2006/relationships/hyperlink" Target="https://www.sec.gov/Archives/edgar/data/0001625791/000121390022016164/ea157447-s8_kornitdigital.htm" TargetMode="External"/><Relationship Id="rId21" Type="http://schemas.openxmlformats.org/officeDocument/2006/relationships/hyperlink" Target="http://www.sec.gov/Archives/edgar/data/1625791/000101376225003116/ea0235566-s8_korn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2025-11-05T07:47:17Z</dcterms:created>
  <dcterms:modified xsi:type="dcterms:W3CDTF">2025-11-05T07:47:17Z</dcterms:modified>
</cp:coreProperties>
</file>