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333-248784</w:t>
      </w:r>
    </w:p>
    <w:p>
      <w:pPr>
        <w:spacing w:after="0" w:line="203" w:lineRule="exact"/>
        <w:rPr>
          <w:sz w:val="24"/>
          <w:szCs w:val="24"/>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supplement is not complete and may be changed. This preliminary prospectus supplement is not an offer to sell these securities and is not soliciting an offer to buy these securities in any jurisdiction where the offer or sale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SEPTEMBER 14, 2020</w:t>
      </w:r>
    </w:p>
    <w:p>
      <w:pPr>
        <w:spacing w:after="0" w:line="29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(To prospectus dated September 14, 2020)</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3,600,000 Shares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5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97" w:lineRule="exact"/>
        <w:rPr>
          <w:sz w:val="24"/>
          <w:szCs w:val="24"/>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offering for sale 2,000,000 ordinary shares, par value NIS 0.01 per share. The selling shareholder identified in this prospectus supplement is offering an additional 1,600,000 ordinary shares. We will not receive any of the proceeds from the sale of shares being offered by the selling shareholder.</w:t>
      </w:r>
    </w:p>
    <w:p>
      <w:pPr>
        <w:spacing w:after="0" w:line="257" w:lineRule="exact"/>
        <w:rPr>
          <w:sz w:val="24"/>
          <w:szCs w:val="24"/>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“KRNT.” On September 11, 2020, the last reported sales price of our ordinary shares was $60.26 per share.</w:t>
      </w:r>
    </w:p>
    <w:p>
      <w:pPr>
        <w:spacing w:after="0" w:line="15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32"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4"/>
          <w:szCs w:val="24"/>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540,000 ordinary shares from us at the public offering price, less underwriting discounts and commissions, for 30 days after the date of this prospectus supplement.</w:t>
      </w:r>
    </w:p>
    <w:p>
      <w:pPr>
        <w:spacing w:after="0" w:line="253" w:lineRule="exact"/>
        <w:rPr>
          <w:sz w:val="24"/>
          <w:szCs w:val="24"/>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risks that are described in the “Risk Factors” section beginning on page S-7 of this prospectus supplement and in the documents incorporated by reference.</w:t>
      </w:r>
    </w:p>
    <w:p>
      <w:pPr>
        <w:spacing w:after="0" w:line="222" w:lineRule="exact"/>
        <w:rPr>
          <w:sz w:val="24"/>
          <w:szCs w:val="24"/>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24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310" w:lineRule="exact"/>
        <w:rPr>
          <w:sz w:val="24"/>
          <w:szCs w:val="24"/>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8"/>
          <w:szCs w:val="18"/>
          <w:color w:val="auto"/>
        </w:rPr>
        <w:t>The underwriters expect to deliver the ordinary shares to purchasers on or about September</w:t>
        <w:tab/>
        <w:t>, 2020.</w:t>
      </w:r>
    </w:p>
    <w:p>
      <w:pPr>
        <w:spacing w:after="0" w:line="28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ectPr>
          <w:pgSz w:w="11900" w:h="16838" w:orient="portrait"/>
          <w:cols w:equalWidth="0" w:num="1">
            <w:col w:w="9019"/>
          </w:cols>
          <w:pgMar w:left="1440" w:top="333" w:right="1440" w:bottom="1440" w:gutter="0" w:footer="0" w:header="0"/>
        </w:sectPr>
      </w:pPr>
    </w:p>
    <w:p>
      <w:pPr>
        <w:spacing w:after="0" w:line="17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191" w:lineRule="exact"/>
        <w:rPr>
          <w:sz w:val="24"/>
          <w:szCs w:val="24"/>
          <w:color w:val="auto"/>
        </w:rPr>
      </w:pPr>
    </w:p>
    <w:p>
      <w:pPr>
        <w:sectPr>
          <w:pgSz w:w="11900" w:h="16838" w:orient="portrait"/>
          <w:cols w:equalWidth="0" w:num="3">
            <w:col w:w="2360" w:space="720"/>
            <w:col w:w="1940" w:space="720"/>
            <w:col w:w="3279"/>
          </w:cols>
          <w:pgMar w:left="1440" w:top="333" w:right="1440"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21"/>
          <w:szCs w:val="21"/>
          <w:b w:val="1"/>
          <w:bCs w:val="1"/>
          <w:color w:val="auto"/>
        </w:rPr>
        <w:t>Needham &amp;</w:t>
      </w:r>
    </w:p>
    <w:p>
      <w:pPr>
        <w:spacing w:after="0" w:line="30"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b w:val="1"/>
          <w:bCs w:val="1"/>
          <w:color w:val="auto"/>
        </w:rPr>
        <w:t>Stifel</w:t>
        <w:tab/>
        <w:t>William Blair</w:t>
      </w:r>
    </w:p>
    <w:p>
      <w:pPr>
        <w:spacing w:after="0" w:line="20" w:lineRule="exact"/>
        <w:rPr>
          <w:sz w:val="24"/>
          <w:szCs w:val="24"/>
          <w:color w:val="auto"/>
        </w:rPr>
      </w:pPr>
      <w:r>
        <w:rPr>
          <w:sz w:val="24"/>
          <w:szCs w:val="24"/>
          <w:color w:val="auto"/>
        </w:rPr>
        <w:br w:type="column"/>
      </w:r>
    </w:p>
    <w:p>
      <w:pPr>
        <w:jc w:val="both"/>
        <w:ind w:right="200" w:firstLine="25"/>
        <w:spacing w:after="0" w:line="286" w:lineRule="auto"/>
        <w:rPr>
          <w:sz w:val="20"/>
          <w:szCs w:val="20"/>
          <w:color w:val="auto"/>
        </w:rPr>
      </w:pPr>
      <w:r>
        <w:rPr>
          <w:rFonts w:ascii="Times New Roman" w:cs="Times New Roman" w:eastAsia="Times New Roman" w:hAnsi="Times New Roman"/>
          <w:sz w:val="21"/>
          <w:szCs w:val="21"/>
          <w:b w:val="1"/>
          <w:bCs w:val="1"/>
          <w:color w:val="auto"/>
        </w:rPr>
        <w:t>Craig-Hallum Capital Group</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1"/>
          <w:szCs w:val="21"/>
          <w:b w:val="1"/>
          <w:bCs w:val="1"/>
          <w:color w:val="auto"/>
        </w:rPr>
        <w:t>CJS Securities</w:t>
      </w:r>
    </w:p>
    <w:p>
      <w:pPr>
        <w:spacing w:after="0" w:line="291" w:lineRule="exact"/>
        <w:rPr>
          <w:sz w:val="24"/>
          <w:szCs w:val="24"/>
          <w:color w:val="auto"/>
        </w:rPr>
      </w:pPr>
    </w:p>
    <w:p>
      <w:pPr>
        <w:sectPr>
          <w:pgSz w:w="11900" w:h="16838" w:orient="portrait"/>
          <w:cols w:equalWidth="0" w:num="4">
            <w:col w:w="1620" w:space="300"/>
            <w:col w:w="2060" w:space="420"/>
            <w:col w:w="1540" w:space="720"/>
            <w:col w:w="2359"/>
          </w:cols>
          <w:pgMar w:left="1440" w:top="333" w:right="1440" w:bottom="1440" w:gutter="0" w:footer="0" w:header="0"/>
          <w:type w:val="continuous"/>
        </w:sectPr>
      </w:pPr>
    </w:p>
    <w:p>
      <w:pPr>
        <w:spacing w:after="0" w:line="57"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57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_________________</w:t>
            </w:r>
          </w:p>
        </w:tc>
        <w:tc>
          <w:tcPr>
            <w:tcW w:w="2380" w:type="dxa"/>
            <w:vAlign w:val="bottom"/>
          </w:tcPr>
          <w:p>
            <w:pPr>
              <w:spacing w:after="0"/>
              <w:rPr>
                <w:sz w:val="20"/>
                <w:szCs w:val="20"/>
                <w:color w:val="auto"/>
              </w:rPr>
            </w:pPr>
          </w:p>
        </w:tc>
      </w:tr>
      <w:tr>
        <w:trPr>
          <w:trHeight w:val="499"/>
        </w:trPr>
        <w:tc>
          <w:tcPr>
            <w:tcW w:w="5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The date of this Prospectus Supplement is September</w:t>
            </w:r>
          </w:p>
        </w:tc>
        <w:tc>
          <w:tcPr>
            <w:tcW w:w="23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 2020.</w:t>
            </w:r>
          </w:p>
        </w:tc>
      </w:tr>
      <w:tr>
        <w:trPr>
          <w:trHeight w:val="392"/>
        </w:trPr>
        <w:tc>
          <w:tcPr>
            <w:tcW w:w="5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50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r>
      <w:tr>
        <w:trPr>
          <w:trHeight w:val="4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3"/>
        </w:trPr>
        <w:tc>
          <w:tcPr>
            <w:tcW w:w="740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S-ii</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Forward-Looking Statements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S-iii</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Use of Proceeds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S-10</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Capitalization</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S-11</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Selling Shareholder</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U.S. and Israeli Tax Considerations For Our Shareholders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Underwriting</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Legal Matters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S-26</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Experts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S-26</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Enforceability of Civil Liabilities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Where You Can Find More Information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S-28</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Documents By Reference</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S-29</w:t>
            </w:r>
          </w:p>
        </w:tc>
      </w:tr>
      <w:tr>
        <w:trPr>
          <w:trHeight w:val="426"/>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Prospectus</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5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r>
      <w:tr>
        <w:trPr>
          <w:trHeight w:val="243"/>
        </w:trPr>
        <w:tc>
          <w:tcPr>
            <w:tcW w:w="7400" w:type="dxa"/>
            <w:vAlign w:val="bottom"/>
            <w:tcBorders>
              <w:top w:val="single" w:sz="8" w:color="auto"/>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About this Prospectus</w:t>
              </w:r>
            </w:hyperlink>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Kornit Digital Ltd.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Forward-Looking Statements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Use of Proceeds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Description of Ordinary Shares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Plan of Distribution</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Legal Matters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Experts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Where You Can Find More Information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Incorporation of Certain Documents By Reference</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Enforceability of Civil Liabilities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We and the selling shareholder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2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including, without limitation, the impact of COVID-19 on our business.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including the COVID-19 pandemic,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83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7310" cy="7983220"/>
                    </a:xfrm>
                    <a:prstGeom prst="rect">
                      <a:avLst/>
                    </a:prstGeom>
                    <a:noFill/>
                  </pic:spPr>
                </pic:pic>
              </a:graphicData>
            </a:graphic>
          </wp:anchor>
        </w:drawing>
        <w:t>Prospectus Supplement Summary</w:t>
      </w:r>
    </w:p>
    <w:p>
      <w:pPr>
        <w:spacing w:after="0" w:line="14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9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vision is to create a world where everybody can bond, design and express their identities, one impression at a time.</w:t>
      </w:r>
    </w:p>
    <w:p>
      <w:pPr>
        <w:spacing w:after="0" w:line="8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1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focus on the rapidly growing high-throughput, direct-to-garment, or DTG, and direct-to-fabric, or DTF, segments of the printed and decorated textile industry. In the DTG segment, based on our extrapolations from third party market data, we project the number of annual impressions to grow from approximately 16 billion in 2018 to approximately 25 billion on an annualized run-rate basis by the end of 2023, without adjusting for the potential impact of the COVID-19 pandemic. Within the DTG market, without adjusting for the potential impact of the COVID-19 pandemic, we estimate that there were approximately 12.2 billion impressions in 2018 in brands and private labels making it the largest portion of this market, while we estimate that there were approximately 2.7 billion impressions in the promotional portion of the market and approximately 1.1 billion impressions in the customized design portion of the market. In the roll-to-roll market, based on our extrapolations from third party market data, we project the total square meters of fabric printed to grow from approximately 39 billion in 2018 to approximately 42 billion by the end of 2023, without adjusting for the potential impact of the COVID-19 pandemic.</w:t>
      </w:r>
    </w:p>
    <w:p>
      <w:pPr>
        <w:spacing w:after="0" w:line="12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07"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21"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have a worldwide sales, marketing and support infrastructure that is comprised of independent distributors and value added resellers, and our own personnel resulting in a sales, marketing and support presence in over 80 countries and 46 states in the United States.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383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7383145"/>
                    </a:xfrm>
                    <a:prstGeom prst="rect">
                      <a:avLst/>
                    </a:prstGeom>
                    <a:noFill/>
                  </pic:spPr>
                </pic:pic>
              </a:graphicData>
            </a:graphic>
          </wp:anchor>
        </w:drawing>
        <w:t>Recent Developments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Agreements with Amazon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January 2017, we entered into a Master Purchase Agreement (the “Purchase Agreement”) with Amazon Corporate LLC, a subsidiary of Amazon.com, Inc., or Amazon. Under the Purchase Agreement, as amended in March 2017, January 2018, June 2018 and May 2020, Amazon may purchase, and we have committed to supply, Kornit AVHD6 and Kornit Atlas digital direct-to-garment printers, NeoPigment ink and other consumables at agreed-upon prices that are subject to volume discounts. We also agreed to provide maintenance services and extended warranties to Amazon at agreed-upon prices.</w:t>
      </w:r>
    </w:p>
    <w:p>
      <w:pPr>
        <w:spacing w:after="0" w:line="12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We are required to notify Amazon 12 months in advance if we intend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we become insolvent. The Purchase Agreement also provides for penalties on a sliding scale in the case of late delivery or if our systems are unavailable for certain specific periods. There are no minimum spending commitments under the Purchase Agreement.</w:t>
      </w:r>
    </w:p>
    <w:p>
      <w:pPr>
        <w:spacing w:after="0" w:line="1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term of the Purchase Agreement is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Original Transaction Agreement and Original Warrant</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Purchase Agreement, we and Amazon entered into a Transaction Agreement (the “Original Transaction Agreement” pursuant to which we agreed to issue to an affiliate of Amazon a warrant, or the Warrant, as amended (the “Original Warrant”), to acquire up to 2,932,176 of our ordinary shares at a purchase price of $13.04 per share, which was based on the 30-trading day VWAP, as adjusted, prior to the execution of the Original Transaction Agreement. The Original Warrant also allows for cashless (net) exercise.</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shares underlying the Original Warrant are subject to vesting as a function of payments for purchased products and services of up to $150 million over a five-year period, with the shares vesting incrementally each time Amazon or its affiliates make a payment totaling $5 million to us. As of September 11, 2020, 2,052,507 shares underlying the Original Warrant were vested and exercisable. Amazon is exercising the Original Warrant on a cashless (net) exercise basis in connection with this offering resulting in the issuance to it, and the sale of, 1,600,000 ordinary shares.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New Transaction Agreement and New Warrant</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September 14, 2020, we and Amazon entered into a new Transaction Agreement (the “New Transaction Agreement”) pursuant to which we have agreed to issue to an affiliate of Amazon a warrant (the “New Warrant”) to acquire up to 3,401,028 of our ordinary shares at a purchase price of $59.26 per share, which is based on the 30-trading day VWAP prior to the execution of the New Transaction Agreement. The New Warrant also provides for cashless (net) exercise.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 w:name="page7"/>
    <w:bookmarkEnd w:id="6"/>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22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922895"/>
                    </a:xfrm>
                    <a:prstGeom prst="rect">
                      <a:avLst/>
                    </a:prstGeom>
                    <a:noFill/>
                  </pic:spPr>
                </pic:pic>
              </a:graphicData>
            </a:graphic>
          </wp:anchor>
        </w:drawing>
        <w:t>The shares underlying the New Warrant are subject to vesting as a function of payments up to an aggregate of $400 million by Amazon and its affiliates over a five-year period for two different categories of product lines and services as follows:</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3"/>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“Existing”</w:t>
            </w: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“New”</w:t>
            </w: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3"/>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Product Lines</w:t>
            </w: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Product Lines</w:t>
            </w:r>
          </w:p>
        </w:tc>
      </w:tr>
      <w:tr>
        <w:trPr>
          <w:trHeight w:val="212"/>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gridSpan w:val="3"/>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and Services</w:t>
            </w: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and Services</w:t>
            </w: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amount</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250 million</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million</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vesting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1,457,583</w:t>
            </w:r>
          </w:p>
        </w:tc>
      </w:tr>
      <w:tr>
        <w:trPr>
          <w:trHeight w:val="41"/>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vesting shares per $5 million payment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48,587</w:t>
            </w:r>
          </w:p>
        </w:tc>
      </w:tr>
      <w:tr>
        <w:trPr>
          <w:trHeight w:val="41"/>
        </w:trPr>
        <w:tc>
          <w:tcPr>
            <w:tcW w:w="4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refers to any product line that has not been purchased by Amazon before the date of the issuance of the New Warrants and may be purchased by Amazon in the future. “New” products includes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2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99"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9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ordinary shares issuable upon exercise of the New Warrant are subject to customary anti-dilution adjustments.</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95"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New Transaction Agreement includes customary representations, warranties and covenants of our company and Amazon. The New Transaction Agreement restricts any transfer of the New Warrant and ordinary shares thereunder, except under certain circumstances set forth in the New Transaction Agreement.</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shares issued under the New Warrant or that remain unexercised under the New Warrant represent less than 2% of our outstanding shares.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for Shares Underlying Warrants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Under the Original Transaction Agreement, Amazon is entitled to certain registration rights with respect to the shares underlying the Original Warrant. Amazon may request up to two times in any 12-month period that we file a shelf registration statement on Form F-3 or S-3, and we are required to keep the shelf registration effective for four 90-day periods. If we are ineligible to file a registration statement on Form F-3 or Form S-3, Amazon may request up to four times that we file a long form registration statement to facilitate the sale of its shares. In addition, Amazon is entitled to piggyback registration rights on underwritten offerings effected by us. We are subject to customary obligations upon Amazon’s request for registration, including cooperation in case of an underwritten offering. The ordinary shares being offered by Amazon under this prospectus supplement are being offered pursuant to Amazon’s foregoing registration rights. These registration rights also apply to our ordinary shares issuable under the New Warrant.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 w:name="page8"/>
    <w:bookmarkEnd w:id="7"/>
    <w:p>
      <w:pPr>
        <w:ind w:lef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62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162925"/>
                    </a:xfrm>
                    <a:prstGeom prst="rect">
                      <a:avLst/>
                    </a:prstGeom>
                    <a:noFill/>
                  </pic:spPr>
                </pic:pic>
              </a:graphicData>
            </a:graphic>
          </wp:anchor>
        </w:drawing>
        <w:t>Acquisition of Custom Gateway</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August 7, 2020, we closed the acquisition of Custom Gateway, a leading global provider of cloud-based software workflow solutions for both B2B and B2C business models. Custom Gateway has over 300 customers, including leading brands and retailers. The purchase price was approximately $17 million subject to pending working capital adjustments.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Custom Gateway offers a cloud-based platform that enables content sourcing, creation, management and display at the front end. An order management system captures orders and uses proprietary algorithms to direct them to the appropriate production site. On the production floor,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 end element, such as on-demand production and logistics operations.</w:t>
      </w:r>
    </w:p>
    <w:p>
      <w:pPr>
        <w:spacing w:after="0" w:line="12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believe this acquisition will strategically accelerate our broad-scale development effort and strengthen our value proposition for brands, retailers and fulfillers in the area of digital transformation. We expect the combination of Custom Gateway software workflow portfolio with our existing and future technologies to bring to the market an end-to-end solution for on-demand production.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Over the past several months, the COVID-19 pandemic has disrupted the global economy and adversely impacted our business, including demand for our products. At the start of the pandemic, we acted decisively to ensure the safety and health of our staff while maintaining business continuity. Our manufacturing sites and R&amp;D facilities operated in staggered shifts and our service teams worked closely with our customers, and our global staff shifted to work from home where needed. During the second quarter of 2020, all our manufacturing and R&amp;D sites returned to full service and our experience centers re-opened and continue to operate in line with safety guidelines of the local authorities.</w:t>
      </w:r>
    </w:p>
    <w:p>
      <w:pPr>
        <w:spacing w:after="0" w:line="12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experienced an adverse impact from COVID-19 on our results of operations starting in the quarter ended March 31, 2020 as the timing of the initial impact of COVID-19 resulted in significant deferrals of orders that we had expected that would otherwise be placed before the end of that quarter. Total revenue for the first quarter of 2020 decreased to $26.2 million, net of $0.6 million attributed to the non-cash impact of warrants, compared to $38.6 million, net of $0.6 million attributed to the non-cash impact of warrants in the prior year period. We experienced a meaningful rebound in orders during the quarter ended June 30, 2020 with total revenue of $37.4 million, net of $0.8 million attributed to the non-cash impact of warrants, compared to $45.3 million, net of $1.0 million attributed to the non-cash impact of warrants in the prior year period. We nevertheless continue to experience an impact on our sales and marketing activities due to the inability to hold in-person meetings and attend industry events which has resulted in longer sales cycles compared to before the pandemic.</w:t>
      </w:r>
    </w:p>
    <w:p>
      <w:pPr>
        <w:spacing w:after="0" w:line="12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COVID-19 also adversely impacted our cost of goods sold and our gross margin due to its impact on our supply chain. Although our products are manufactured solely at our facility in Israel, we source components from around the world, most notably from certain suppliers in China. Due to the impact of COVID -19, we paid additional fees to alternate suppliers, to expedite shipping and for increased costs related to shipments of spare parts. Our gross margin for the six months ended June 30, 2020 was 37.4% compared to 42.7% for the same period in 2019.</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Despite the adverse impact of COVID-19 on our recent results of operation, we believe that COVID-19 may be accelerating existing trends that are favorable to our business and prospects. COVID-19 has resulted in a significant increase in e-commerce. According to an August 2020 report by McKinsey, U.S. e-commerce penetration levels grew from 16% in 2019 to 33% in April 2020. In addition, given the disruption to global supply chains, fashion and apparel retailers have looked to “re-shore” a portion of their supply chain more locally which has accelerated the need for digital printing capabilities. Finally, customers’ increased focus on hygiene due to COVID-19 has also led to a focus on sustainability which is addressed by our digital printing systems due to their reduced industrial water consumption and discharge of toxic chemicals compared to analog systems. We believe that our business is in a strong position to take advantage of the acceleration in these trends as indicated by the significant increase in our revenues in the second quarter of 2020.</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8" w:name="page9"/>
    <w:bookmarkEnd w:id="8"/>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496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2496820"/>
                    </a:xfrm>
                    <a:prstGeom prst="rect">
                      <a:avLst/>
                    </a:prstGeom>
                    <a:noFill/>
                  </pic:spPr>
                </pic:pic>
              </a:graphicData>
            </a:graphic>
          </wp:anchor>
        </w:drawing>
        <w:t>In the final analysis, the extent of the impact of the COVID-19 outbreak on our operational and financial performance will depend on factors outside of our control, including the duration and spread of the outbreak, its impact on our customers and suppliers and the range of governmental and community reactions to the pandemic, which are uncertain and cannot be fully predicted at this time. We will continue to proactively respond to the situation and may take further actions that alter our business operations as may be required by governmental authorities or that we determine are in the best interests of our employees and customers.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incorporated under the laws of the State of Israel and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2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9029065"/>
                    </a:xfrm>
                    <a:prstGeom prst="rect">
                      <a:avLst/>
                    </a:prstGeom>
                    <a:noFill/>
                  </pic:spPr>
                </pic:pic>
              </a:graphicData>
            </a:graphic>
          </wp:anchor>
        </w:drawing>
        <w:t>The Offering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Ordinary shares being offered</w:t>
      </w:r>
    </w:p>
    <w:p>
      <w:pPr>
        <w:spacing w:after="0" w:line="27" w:lineRule="exact"/>
        <w:rPr>
          <w:sz w:val="20"/>
          <w:szCs w:val="20"/>
          <w:color w:val="auto"/>
        </w:rPr>
      </w:pPr>
    </w:p>
    <w:p>
      <w:pPr>
        <w:jc w:val="both"/>
        <w:ind w:left="3180" w:right="579" w:hanging="2465"/>
        <w:spacing w:after="0" w:line="255" w:lineRule="auto"/>
        <w:tabs>
          <w:tab w:leader="none" w:pos="3160" w:val="left"/>
        </w:tabs>
        <w:rPr>
          <w:sz w:val="20"/>
          <w:szCs w:val="20"/>
          <w:color w:val="auto"/>
        </w:rPr>
      </w:pPr>
      <w:r>
        <w:rPr>
          <w:rFonts w:ascii="Times New Roman" w:cs="Times New Roman" w:eastAsia="Times New Roman" w:hAnsi="Times New Roman"/>
          <w:sz w:val="18"/>
          <w:szCs w:val="18"/>
          <w:color w:val="auto"/>
        </w:rPr>
        <w:t>by us</w:t>
      </w:r>
      <w:r>
        <w:rPr>
          <w:sz w:val="20"/>
          <w:szCs w:val="20"/>
          <w:color w:val="auto"/>
        </w:rPr>
        <w:tab/>
      </w:r>
      <w:r>
        <w:rPr>
          <w:rFonts w:ascii="Times New Roman" w:cs="Times New Roman" w:eastAsia="Times New Roman" w:hAnsi="Times New Roman"/>
          <w:sz w:val="18"/>
          <w:szCs w:val="18"/>
          <w:color w:val="auto"/>
        </w:rPr>
        <w:t>2,000,000 ordinary shares (or 2,540,000 ordinary shares if the underwriters exercise in full their option to purchase additional ordinary shares).</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being offered by</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selling shareholder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1,600,000 ordinary shares.</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immediately prior to this</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40,941,575</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 upon</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completion of this offering</w:t>
            </w: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44,541,575  ordinary  shares  (or  45,081,575  ordinary  shares  if  the</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 ordinary</w:t>
            </w:r>
          </w:p>
        </w:tc>
      </w:tr>
      <w:tr>
        <w:trPr>
          <w:trHeight w:val="234"/>
        </w:trPr>
        <w:tc>
          <w:tcPr>
            <w:tcW w:w="25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We expect to receive net proceeds from this offering of approximately</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$115.1 million, based upon an assumed offering price of $60.26 per</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ordinary share, the last reported sales price of our ordinary shares on the</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Nasdaq Global Select Market on September 11, 2020, or approximately</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$146.3 million if the underwriters exercise in full their option to</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purchase  additional  ordinary  shares,  after  deducting  underwriting</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us. We intend to use the net proceeds from this offering for future</w:t>
            </w:r>
          </w:p>
        </w:tc>
      </w:tr>
      <w:tr>
        <w:trPr>
          <w:trHeight w:val="216"/>
        </w:trPr>
        <w:tc>
          <w:tcPr>
            <w:tcW w:w="254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potential</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complementary</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businesses,</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technologies or assets, and for general corporate purposes, including</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working capital and capital expenditures. We have no agreements or</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understandings with respect to any acquisition or investment at this time.</w:t>
            </w:r>
          </w:p>
        </w:tc>
      </w:tr>
      <w:tr>
        <w:trPr>
          <w:trHeight w:val="234"/>
        </w:trPr>
        <w:tc>
          <w:tcPr>
            <w:tcW w:w="254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“Use of Proceeds.”</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4"/>
                <w:szCs w:val="24"/>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by the</w:t>
            </w:r>
          </w:p>
        </w:tc>
      </w:tr>
      <w:tr>
        <w:trPr>
          <w:trHeight w:val="234"/>
        </w:trPr>
        <w:tc>
          <w:tcPr>
            <w:tcW w:w="254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shareholder.</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symbol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“KRNT”</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See “Risk Factors” and other information included and incorporated by</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reference  in  this  prospectus  supplement  and  the  accompanying</w:t>
            </w:r>
          </w:p>
        </w:tc>
      </w:tr>
      <w:tr>
        <w:trPr>
          <w:trHeight w:val="216"/>
        </w:trPr>
        <w:tc>
          <w:tcPr>
            <w:tcW w:w="2540" w:type="dxa"/>
            <w:vAlign w:val="bottom"/>
          </w:tcPr>
          <w:p>
            <w:pPr>
              <w:spacing w:after="0"/>
              <w:rPr>
                <w:sz w:val="18"/>
                <w:szCs w:val="18"/>
                <w:color w:val="auto"/>
              </w:rPr>
            </w:pPr>
          </w:p>
        </w:tc>
        <w:tc>
          <w:tcPr>
            <w:tcW w:w="5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w:t>
            </w:r>
          </w:p>
        </w:tc>
      </w:tr>
      <w:tr>
        <w:trPr>
          <w:trHeight w:val="234"/>
        </w:trPr>
        <w:tc>
          <w:tcPr>
            <w:tcW w:w="2540" w:type="dxa"/>
            <w:vAlign w:val="bottom"/>
          </w:tcPr>
          <w:p>
            <w:pPr>
              <w:spacing w:after="0"/>
              <w:rPr>
                <w:sz w:val="20"/>
                <w:szCs w:val="20"/>
                <w:color w:val="auto"/>
              </w:rPr>
            </w:pPr>
          </w:p>
        </w:tc>
        <w:tc>
          <w:tcPr>
            <w:tcW w:w="4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before deciding to invest in our ordinary shares.</w:t>
            </w:r>
          </w:p>
        </w:tc>
        <w:tc>
          <w:tcPr>
            <w:tcW w:w="960" w:type="dxa"/>
            <w:vAlign w:val="bottom"/>
          </w:tcPr>
          <w:p>
            <w:pPr>
              <w:spacing w:after="0"/>
              <w:rPr>
                <w:sz w:val="20"/>
                <w:szCs w:val="20"/>
                <w:color w:val="auto"/>
              </w:rPr>
            </w:pPr>
          </w:p>
        </w:tc>
      </w:tr>
    </w:tbl>
    <w:p>
      <w:pPr>
        <w:spacing w:after="0" w:line="19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number of ordinary shares outstanding before and after this offering is based on the number of ordinary shares outstanding as of June 30, 2020 and excludes as of that date:</w:t>
      </w:r>
    </w:p>
    <w:p>
      <w:pPr>
        <w:jc w:val="both"/>
        <w:ind w:left="540" w:right="559" w:firstLine="4"/>
        <w:spacing w:after="0" w:line="251" w:lineRule="auto"/>
        <w:tabs>
          <w:tab w:leader="none" w:pos="8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2,981,902 ordinary shares available for future awards under our equity incentive plans, (2) an additional 861,187 ordinary shares underlying outstanding options under our equity incentive plans, at a weighted average exercise price of $17.83 per share, and 920,239 shares issuable pursuant to restricted share units and performance share units outstanding under our equity incentive plans. It also excludes (1) 2,932,176 ordinary shares issuable pursuant the Original Warrant, 2,052,507 of which were vested and exercisable as of September 11, 2020 at an exercise price of $13.04 per share and (2) 3,401,028 ordinary shares issuable pursuant to the New Warrant, none of which were vested and exercisable as of September 11, 2020 at an exercise price of $59.26 per share. The selling shareholder is exercising the Original Warrant on a cashless (net) exercise basis in connection with this offering resulting in the issuance to it of 1,600,000 ordinary shares.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w:t>
      </w:r>
    </w:p>
    <w:p>
      <w:pPr>
        <w:spacing w:after="0" w:line="158" w:lineRule="exact"/>
        <w:rPr>
          <w:sz w:val="20"/>
          <w:szCs w:val="20"/>
          <w:color w:val="auto"/>
        </w:rPr>
      </w:pPr>
    </w:p>
    <w:p>
      <w:pPr>
        <w:ind w:left="1400" w:right="559" w:hanging="424"/>
        <w:spacing w:after="0" w:line="282" w:lineRule="auto"/>
        <w:tabs>
          <w:tab w:leader="none" w:pos="13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option granted to the underwriters to purchase from us up to 540,000 additional ordinary shares; and</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Original Warrant held by the selling shareholder on a cashless (net) basis using the 30-day trailing VWAP as of September 11, 2020, which will be updated to reflect the 30-day trailing VWAP as of the exercise date which is expected to be the date of pricing of this offering.</w:t>
      </w:r>
    </w:p>
    <w:p>
      <w:pPr>
        <w:sectPr>
          <w:pgSz w:w="11900" w:h="16838" w:orient="portrait"/>
          <w:cols w:equalWidth="0" w:num="1">
            <w:col w:w="9019"/>
          </w:cols>
          <w:pgMar w:left="1440" w:top="536" w:right="1440"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2 of our Annual Report on Form 20-F for the year ended December 31, 2019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Our Ordinary Shares and the Offering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this offering and future sales of our ordinary shares.</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the selling shareholder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upon exercise of currently outstanding options, warrants or rights, and with respect to our directors and executive officers, ordinary shares sold pursuant to pre-existing plans established pursuant to Rule 10b5-1 under the Exchange Act),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Barclays Capital Inc. and Goldman Sachs &amp; Co. LLC., who may, in their sole discretion and at any time without notice, release all or any portion of the shares subject to those lock-up agreements. See “Underwriting.”</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Amazon is entitled to certain registration rights with respect to shares underlying the new warrant, once vested. All shares sold pursuant to an offering covered by a registration statement will be freely transferable except if purchased by an affiliate.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as of June 30, 2020, 2,981,902 ordinary shares were available for future awards under our equity incentive plans, and an additional 861,187 ordinary shares were issuable pursuant to outstanding options granted under our equity incentive plans and 920,239 were issuable pursuant to restricted share units and performance share units under our equity incentive plans. We have filed registration statements on Form S-8 under the Securities Act registering ordinary shares that we may issue under our equity incentive plans. Shares included in such registration statements may be freely sold in the public market upon issuance, except for shares held by affiliates who have certain restrictions on their ability to sell.</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that we receive from this offering, and we may use them in ways that may not enhance our results of operations or the price of our ordinary shares.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that we receive from this offering for future acquisitions, including complementary businesses, technologies or assets, and for general corporate purposes, including working capital and capital expenditures. We have no agreements or understandings with respect to any acquisition or investment at this time.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shareholder.</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global COVID-19 outbreak has had, and could continue to have, harmful effects on our business and results of operations.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COVID-19 pandemic and efforts to control its spread have significantly curtailed the movement of people, goods and services worldwide, including in most or all of the regions in which we sell our products and services and conduct our business operations.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start of the pandemic, we acted decisively to ensure the safety and health of our staff while maintaining business continuity. In the second quarter of 2020, most of our offices were temporarily closed and most of our employees were working remotely as a precautionary measure intended to minimize the risk of the virus to them, our customers, partners and the communities in which we operate. In addition, our manufacturing sites and R&amp;D facilities operated in staggered shifts and our service teams worked closely with our customers, and our global staff shifted to work from home where needed. During the second quarter of 2020, all our manufacturing and R&amp;D sites returned to full service and our experience centers re-opened and continue to operate in line with safety guidelines of the local authorities. We cannot provide any assurance that our manufacturing and R&amp;D sites will continue to operate without interruption, particularly if there is a resurgence in the pandemic.</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the move to remote working has not to date materially impacted our business operations and research and development activity, if our employees are to be able to continue working effectively as a result of the COVID-19 pandemic, including because of illness, quarantines, office closures, ineffective remote work arrangements or technology failures or limitations, our operations would be adversely impacted. Further, remote work arrangements may increase the risk of cybersecurity incidents, data breaches or cyber-attacks, which could have a material adverse effect on our business and results of operations, due to, among other things, the loss of proprietary data, interruptions or delays in the operation of our business, damage to our reputation and any government imposed penalty. While the move to remote working and virtual-only customer experience has not to date materially impacted our sales, we have had to postpone or cancel customer and industry events or conduct them virtually, and we cannot predict with certainty the impact these changes may have on our sales.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timing of the initial impact of COVID-19 resulted in significant deferrals of orders that we had expected would otherwise be placed before the end of the first quarter in 2020. Total revenue for the first quarter of 2020 was significantly below our expectations and, while orders rebounded in the second quarter of 2020, they are still lower than the comparable period in 2019. In addition, the pandemic also adversely impacted our cost of goods sold and our gross margin due to its impact on our supply chain. We perceive that the pandemic may be accelerating existing trends that are favorable to our business and prospects, including with respect to the penetration of e-commerce and “re-shoring” of manufacturing capabilities. Nevertheless, we continue to experience an impact on our sales and marketing due to the inability to hold in-person meetings and attend industry events which has overall resulted in longer sales cycles compared to before the pandemic. We also cannot be certain of the impact on sales of any resurgence in COVID-19 that may occur in the future. As a result of these factors and the impact of the pandemic on our customers, it is more difficult to predict our future performance and we expect it will continue to be more challenging to estimate pipeline conversion rates due to the economic uncertainty, and there is a greater risk that any guidance we provide to the market may turn out to be incorrect.</w:t>
      </w:r>
    </w:p>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to other risks discussed in this prospectus supplement, the COVID-19 pandemic gives rise to a number of risks, including, but not limited to, the following:</w:t>
      </w:r>
    </w:p>
    <w:p>
      <w:pPr>
        <w:spacing w:after="0" w:line="81" w:lineRule="exact"/>
        <w:rPr>
          <w:sz w:val="20"/>
          <w:szCs w:val="20"/>
          <w:color w:val="auto"/>
        </w:rPr>
      </w:pPr>
    </w:p>
    <w:p>
      <w:pPr>
        <w:ind w:left="1320" w:right="479" w:hanging="434"/>
        <w:spacing w:after="0" w:line="282" w:lineRule="auto"/>
        <w:tabs>
          <w:tab w:leader="none" w:pos="14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existing customers and to enter key adjacent markets due to more cautious purchasing and investment strategies by corporate customers;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which could lead to a prolonged recession, which could negatively impact consumer discretionary spending on garments and apparel, which in turn could severely impact our business operations, financial condition and liquidity;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jc w:val="both"/>
        <w:ind w:left="1320" w:right="459" w:hanging="434"/>
        <w:spacing w:after="0" w:line="266" w:lineRule="auto"/>
        <w:tabs>
          <w:tab w:leader="none" w:pos="13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negatively affect our customer success efforts, our ability to enter into new markets and our ability to acquire new customers, in part due to potentially lower conversion rates on risk assessments and delay and lengthen our sales cycles due to virtual meetings;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bad debt reserves as customers face economic hardship and collectability becomes more uncertain, including the risk of bankruptcies;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recruit employees;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operating effectiveness, employee productivity, sales and marketing efforts, as our employees work from home;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impact on the health of our personnel and staff, particularly if a significant number of them are impacted, which could result in a deterioration in our ability to ensure business continuity during this disruption;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remotely develop and enhance our products;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full impact of COVID-19 on our business and our future performance may also have the effect of heightening many of our previously disclosed risk factors, including those discussed in this prospectus supplement, and is difficult to predict so that there is some level of risk that any guidance we provide to the market may turn out to be incorrect.</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provision of cloud-based software as a result of our acquisition of Custom Gateway.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our acquisition of Custom Gateway, we had not offered customers a subscription-based software service to manage on-demand production. We do not expect this service offering to significantly impact our results of operations in the near term; however, we believe that it exposes us to a number of potential risks, including the following:</w:t>
      </w:r>
    </w:p>
    <w:p>
      <w:pPr>
        <w:spacing w:after="0" w:line="112" w:lineRule="exact"/>
        <w:rPr>
          <w:sz w:val="20"/>
          <w:szCs w:val="20"/>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bugs and defects that adversely impact our customer’s production processes;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data breaches and/or loss of customer data;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unauthorized open source software or other infringements of third-party intellectual property;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providing support to software users.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any of the foregoing risks materialize, our reputation may be adversely impacted which could, in turn, impact sales of our products and diminish customer confidence in 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$115.1 million, based upon an assumed offering price of $60.26 per ordinary share, the last reported sales price of our ordinary shares on the Nasdaq Global Select Market on September 11, 2020, or approximately $146.3 million if the underwriters exercise in full their option to purchase additional ordinary shares from us, after deducting underwriting discounts and commissions and estimated offering expenses payable by us.</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future potential acquisitions, including complementary businesses, technologies or assets, and for general corporate purposes, including working capital and capital expenditures. We have no agreements or understandings with respect to any acquisition or investment at this time.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shareholder.</w:t>
      </w:r>
    </w:p>
    <w:p>
      <w:pPr>
        <w:spacing w:after="0" w:line="1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available for sale marketable securities and total capitalization as of June 30, 2020:</w:t>
      </w:r>
    </w:p>
    <w:p>
      <w:pPr>
        <w:spacing w:after="0" w:line="81" w:lineRule="exact"/>
        <w:rPr>
          <w:sz w:val="20"/>
          <w:szCs w:val="20"/>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2,000,000 ordinary shares by us in this offering at a public offering price of $60.26 per ordinary share, the last reported sales price of our ordinary shares on the Nasdaq Global Select Market on September 11, 2020, after deducting underwriting discounts and commissions and estimated offering expenses payable by us.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has been no material change in our capitalization from debt or equity issuances, re-capitalizations or special dividends between June 30, 2020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2019 and the financial information for the three months ended June 30, 2020 incorporated by reference from our Report of Foreign Private Issuer on Form 6-K furnished to the SEC on August 11, 2020. See “Where You Can Find More Information.”</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deposits and short and long-term marketable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237,392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Ordinary shares, NIS 0.01 par value: 200,000,000 shares authorized, actual;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40,941,575 shares issued and outstanding, actual, and 44,541,575 shares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adjusted</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313,469</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18,112</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on account of shares</w:t>
            </w:r>
          </w:p>
        </w:tc>
        <w:tc>
          <w:tcPr>
            <w:tcW w:w="14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334,489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449,589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foregoing table excludes as of June 30, 2020: (1) 2,981,902 ordinary shares available for future awards under our equity incentive plans, (2) an additional 861,187 ordinary shares underlying outstanding options under our equity incentive plans, at a weighted average exercise price of $17.83 per share, and 920,239 shares issuable pursuant to restricted share units and performance share units outstanding under our equity incentive plans. It also excludes (1) 2,932,176 ordinary shares issuable pursuant to the Original Warrant, 2,052,507 of which were vested and exercisable as of September 11, 2020 at an exercise price of $13.04 per share and (2) 3,401,028 ordinary shares issuable pursuant to the New Warrant, none of which were vested and exercisable as of September 11, 2020 at an exercise price of $59.26 per share. The selling shareholder is exercising the Original Warrant on a cashless (net) exercise basis in connection with this offering resulting in the issuance to it of 1,600,000 ordinary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selling shareholder of our ordinary shares as of September 11, 2020. On September 11, we had a total of 41,197,714 of our ordinary shares outstanding.</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to our knowledge, the selling shareholder has sole voting and investment power with respect to all ordinary shares shown as beneficially owned by it.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regarding our relationships with the selling shareholder and its affiliates, see “Major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 filed with the SEC on March 23, 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left="617"/>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3"/>
          </w:tcPr>
          <w:p>
            <w:pPr>
              <w:jc w:val="center"/>
              <w:ind w:left="697"/>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Offering</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220"/>
              <w:spacing w:after="0" w:line="145" w:lineRule="exact"/>
              <w:rPr>
                <w:sz w:val="20"/>
                <w:szCs w:val="20"/>
                <w:color w:val="auto"/>
              </w:rPr>
            </w:pPr>
            <w:r>
              <w:rPr>
                <w:rFonts w:ascii="Times New Roman" w:cs="Times New Roman" w:eastAsia="Times New Roman" w:hAnsi="Times New Roman"/>
                <w:sz w:val="16"/>
                <w:szCs w:val="16"/>
                <w:b w:val="1"/>
                <w:bCs w:val="1"/>
                <w:color w:val="auto"/>
              </w:rPr>
              <w:t>Shares</w:t>
            </w:r>
          </w:p>
        </w:tc>
        <w:tc>
          <w:tcPr>
            <w:tcW w:w="21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Amazon.com NV Investment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2,052,507</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1,600,000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59" w:hanging="426"/>
        <w:spacing w:after="0" w:line="288" w:lineRule="auto"/>
        <w:tabs>
          <w:tab w:leader="none" w:pos="99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shareholder is a wholly owned subsidiary of Amazon.com, Inc., whose address is 440 Terry Avenue North, Seattle, WA 98109.</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 AND ISRAELI TAX CONSIDERATIONS FOR OUR SHAREHOLDERS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16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 Gains Taxes Applicable to Non-Israeli Resident Shareholders. </w:t>
      </w:r>
      <w:r>
        <w:rPr>
          <w:rFonts w:ascii="Times New Roman" w:cs="Times New Roman" w:eastAsia="Times New Roman" w:hAnsi="Times New Roman"/>
          <w:sz w:val="18"/>
          <w:szCs w:val="18"/>
          <w:color w:val="auto"/>
        </w:rPr>
        <w:t>Generally, a non-Israeli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 individual or a corporation) who derives capital gains from the sale of shares in an Israeli resident company that are not listed for trading on the Tel-Aviv Stock Exchange on the date of sale should be exempt from Israeli capital gains tax unless, among others, (i) the shares were held through a permanent establishment that the non-Israeli resident shareholder maintains in Israel, or (ii) most of the assets held, directly or indirectly, by the Israeli company — on the date of acquisition of the assets and during two years before their sale — stem from one or several of: real estate rights or real estate association rights, a right to use real estate or any asset connected to real estate in Israel, a right to exploit natural resources in Israel or a right to income from real estate located in Israel. If not exempt, a non-Israeli resident shareholder would generally be subject to tax on capital gain at the ordinary corporate tax rate (23% in 2020), if generated by a company, or at the rate of 25%, if generated by an individual, or 30%, if generated by an individual who is a “substantial shareholder” (as defined under the Israeli Income Tax Ordinance [New Version], 5721-1961),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2020) and a marginal tax rate of up to 47% for an individual in 2020 (excluding excess tax as discussed below))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inter alia, to a person whose gains from selling or otherwise disposing of the shares are deemed to be business income.</w:t>
      </w:r>
    </w:p>
    <w:p>
      <w:pPr>
        <w:spacing w:after="0" w:line="13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between Israel and the shareholder’s country of residence.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 w:name="page18"/>
    <w:bookmarkEnd w:id="17"/>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tax. Such exemption will not apply, inter alia, if (a) the capital gain arising from such sale, exchange or disposition can be allocated to a permanent establishment that the shareholder maintained in Israel,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may be permitted to claim a credit for such taxes against the U.S. federal income tax imposed with respect to such sale, exchange or disposition, subject to the limitations under U.S. law applicable to foreign tax credits.</w:t>
      </w:r>
    </w:p>
    <w:p>
      <w:pPr>
        <w:spacing w:after="0" w:line="109"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Taxation of Non-Israeli Resident Shareholders on Receipt of Dividends</w:t>
      </w:r>
      <w:r>
        <w:rPr>
          <w:rFonts w:ascii="Times New Roman" w:cs="Times New Roman" w:eastAsia="Times New Roman" w:hAnsi="Times New Roman"/>
          <w:sz w:val="18"/>
          <w:szCs w:val="18"/>
          <w:color w:val="auto"/>
        </w:rPr>
        <w:t>. Non-Israeli residents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Israel Tax Authority allowing for a reduced withholding tax rate or a tax exemption is obtained in advance). With respect to a person who is a “substantial shareholder” at the time of receiving the dividend or on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Israel Tax Authority allowing for a reduced withholding tax rate is obtained in advance). However, a distribution of dividends to non-Israeli residents is generally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(for purposes of the United States-Israel Tax Treaty) who are subject to Israeli withholding tax on a dividend may be entitled to a credit or deduction for United States federal income tax purposes up to the amount of the taxes withheld, subject to detailed rules contained in U.S. tax legislation.</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designate the profits that we may distribute in a way that will reduce shareholders’ tax liability.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Excess Tax</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Individuals who are subject to tax in Israel (whether any such individual is an Israeli resident or non-Israeli resident) are also subject to an additional tax at a rate of 3% on annual income exceeding NIS 649,560 for 2019 and 651,600 for 2020 (which amount is linked to the annual change in the Israeli consumer price index), including, but not limited to, dividends, interest and capital gain.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Israeli tax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116" w:lineRule="exact"/>
        <w:rPr>
          <w:sz w:val="20"/>
          <w:szCs w:val="20"/>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respectively;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 our shares as compensation for the performance of services;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shares as part of a “hedging,” “integrated” or “conversion” transaction or as a position in a “straddle” for U.S. federal income tax purposes;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persons that will hold our shares through such an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shares in connection with a trade or business conducted outside the United States;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1320" w:right="459" w:hanging="434"/>
        <w:spacing w:after="0" w:line="282" w:lineRule="auto"/>
        <w:tabs>
          <w:tab w:leader="none" w:pos="13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acquire directly, indirectly or through attribution 10.0% or more of the voting power or value of our shares;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subject to special tax accounting rules as a result of their use of financial statements under Section 451(b) of the Code.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income tax purposes, is:</w:t>
      </w:r>
    </w:p>
    <w:p>
      <w:pPr>
        <w:spacing w:after="0" w:line="139" w:lineRule="exact"/>
        <w:rPr>
          <w:sz w:val="20"/>
          <w:szCs w:val="20"/>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holder that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79"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United States federal, state, local and foreign tax consequences of owning and disposing of our ordinary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constitute “qualified dividend income” for U.S. federal income tax purposes. Dividends received with respect to our ordinary shares will constitute qualified dividend income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constitute qualified dividend income provided that we are not classified as a PFIC in the last year prior to the year in which such dividend is paid and the year in which such dividend is paid.</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w:t>
      </w:r>
    </w:p>
    <w:p>
      <w:pPr>
        <w:spacing w:after="0" w:line="3" w:lineRule="exact"/>
        <w:rPr>
          <w:sz w:val="20"/>
          <w:szCs w:val="20"/>
          <w:color w:val="auto"/>
        </w:rPr>
      </w:pPr>
    </w:p>
    <w:p>
      <w:pPr>
        <w:jc w:val="both"/>
        <w:ind w:left="460" w:right="459" w:hanging="6"/>
        <w:spacing w:after="0" w:line="253" w:lineRule="auto"/>
        <w:tabs>
          <w:tab w:leader="none" w:pos="7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08" w:lineRule="exact"/>
        <w:rPr>
          <w:sz w:val="20"/>
          <w:szCs w:val="20"/>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Based on historic and certain estimates of our gross income, gross assets, and market capitalization (which may fluctuate from time to time) and the nature of our business, we do not believe that we were a PFIC for the taxable year ending December 31, 2019 and we do not expect that we will be classified as a PFIC for the taxable year ending December 31, 2020. However, because PFIC status is based on our income, assets and activities for the entire taxable year, it is not possible to determine whether we will be characterized as a PFIC for the 2020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holding period, whichever is shorter, would be subject to taxation in the manner described above. In addition, dividend distributions made to you will not qualify for the preferential rates of taxation applicable to qualified dividend income discussed above under “Distributions.”</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potential application of the PFIC rules to their investment in our ordinary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Citigroup Global Markets Inc., Barclays Capital Inc. and Goldman Sachs &amp; Co. LLC are acting as representatives of the underwriters of this offering. Under the terms of an underwriting agreement, dated September , 2020, each of the underwriters named below has severally agreed to purchase from us and the selling shareholder the respective number of ordinary shares shown opposite its name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6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26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26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CJS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ordinary shares to the public at the public offering price set forth on the cover page of this prospectus and to dealers at that price less a</w:t>
      </w: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concession not in excess of $ per share. After the initial offering, the public offering price, concession or any other term of this offering may be changed.</w:t>
      </w:r>
    </w:p>
    <w:p>
      <w:pPr>
        <w:spacing w:after="0" w:line="11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to us and to the selling shareholder, before expenses.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6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7"/>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to the public</w:t>
            </w:r>
          </w:p>
        </w:tc>
        <w:tc>
          <w:tcPr>
            <w:tcW w:w="2040" w:type="dxa"/>
            <w:vAlign w:val="bottom"/>
            <w:tcBorders>
              <w:bottom w:val="single" w:sz="8" w:color="CCEEFF"/>
            </w:tcBorders>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04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r>
      <w:tr>
        <w:trPr>
          <w:trHeight w:val="40"/>
        </w:trPr>
        <w:tc>
          <w:tcPr>
            <w:tcW w:w="4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40" w:type="dxa"/>
            <w:vAlign w:val="bottom"/>
            <w:tcBorders>
              <w:bottom w:val="single" w:sz="8" w:color="CCEEFF"/>
            </w:tcBorders>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204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2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ordinary shares depends on the satisfaction of the conditions contained in the underwriting agreement including:</w:t>
      </w:r>
    </w:p>
    <w:p>
      <w:pPr>
        <w:spacing w:after="0" w:line="67" w:lineRule="exact"/>
        <w:rPr>
          <w:sz w:val="20"/>
          <w:szCs w:val="20"/>
          <w:color w:val="auto"/>
        </w:rPr>
      </w:pPr>
    </w:p>
    <w:p>
      <w:pPr>
        <w:ind w:left="1320" w:right="479" w:hanging="434"/>
        <w:spacing w:after="0" w:line="282"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ordinary shares offered hereby, if any of the shares are purchased;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shareholder to the underwriters are true;</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that our expenses for the offering, excluding underwriting discounts and commissions, will be approximately $600,000.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3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30 days after the date of this prospectus supplement to purchase, from time to time, in whole or in part, up to an aggregate of 540,000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all of our directors and executive officers and the selling shareholder have agreed that, for a period of 90 days after the date of this prospectus supplement subject to certain limited exceptions, including those described below, we and they will not directly or indirectly, without the prior written consent of each of Citigroup Global Markets Inc., Barclays Capital Inc. and Goldman Sachs &amp; Co. LLC,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and with respect to our directors and executive officers, ordinary shares sold pursuant to pre-existing plans established pursuant to Rule 10b5-1 under the Exchange Act),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2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Citigroup Global Markets Inc., Barclays Capital Inc. and Goldman Sachs &amp; Co. LLC,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Barclays Capital Inc. and Goldman Sachs &amp; Co. LLC will consider, among other factors, the holder’s reasons for requesting the release, the number of ordinary shares and other securities for which the release is being requested and market conditions at the time.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95" w:lineRule="exact"/>
        <w:rPr>
          <w:sz w:val="20"/>
          <w:szCs w:val="20"/>
          <w:color w:val="auto"/>
        </w:rPr>
      </w:pPr>
    </w:p>
    <w:p>
      <w:pPr>
        <w:ind w:left="1320" w:right="479" w:hanging="434"/>
        <w:spacing w:after="0" w:line="282" w:lineRule="auto"/>
        <w:tabs>
          <w:tab w:leader="none" w:pos="14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ordinary shares in the open market after the distribution has been completed in order to cover syndicate short positions.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(including the offered shares) are listed on the Nasdaq Global Select Market under the symbol “KRNT.”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(the “Delegated Directive”). None of we, the selling stockholders or any of the underwriters make or makes any representations or warranties as to a distributor’s compliance with the Delegated Directive.</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an offer to the public of any securities which are the subject of the offering contemplated by this prospectus supplement may not be made in that Relevant State, except that an offer to the public in that Relevant State of any securities may be made at any time under the following exemptions under the Prospectus Regulation:</w:t>
      </w:r>
    </w:p>
    <w:p>
      <w:pPr>
        <w:spacing w:after="0" w:line="116"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as permitted under the Prospectus Regulation, subject to obtaining the prior consent of the underwriters or the underwriters nominated by us for any such offer; or</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us, the selling stockholders or any of the underwriters to publish a prospectus pursuant to Article 3 of the Prospectus Regulation or supplement a prospectus pursuant to Article 23 of the Prospectus Regulation and each person who initially acquires any ordinary shares or to whom any offer is made will be deemed to have represented, acknowledged and agreed to and with each of the underwriters that it is a “qualified investor” within the meaning of Article 2(e) of the Prospectus Regulation.</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ordinary shares to the public” in relation to the ordinary shares in any Relevant State means the communication in any form and by any means of sufficient information on the terms of the offer and the ordinary shares to be offered, so as to enable an investor to decide to purchase or subscribe the ordinary shares and the expression “Prospectus Regulation” means Regulation (EU) 2017/1129.</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prospectus supplement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(the “Order”) and/or (ii) high net worth entities falling within Article 49(2)(a) to (d) of the Order and/or other persons to whom it may lawfully be communicated (each such person being referred to as a “relevant person”).</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document is being distributed only to, and is directed only at, and any offer of the securities offered hereby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shall be required to submit written confirmation that they fall within the scope of the Addendum, are aware of the meaning of same and agree to it.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validity of the ordinary shares being offered by this prospectus supplement and other legal matters concerning this offering relating to Israeli law will be passed upon for us by Meitar Law Offices, Ramat Gan, Israel. Certain legal matters in connection with this offering relating to U.S. law will be passed upon for us by White &amp; Case LLP, New York, New York. Certain legal matters in connection with this offering will be passed upon for the underwriters by Gornitzky &amp; Co., Tel Aviv, Israel, with respect to Israeli law, and by Skadden, Arps, Slate, Meagher &amp; Flom LLP, New York, New York, with respect to U.S.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Kornit Digital Ltd. incorporated by reference in this prospectus supplement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irrevocably appointed Kornit Digital North America Inc. as our agent to receive service of process in any action against us in any United States federal or state court arising out of the offering under this prospectus supplement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1" w:lineRule="exact"/>
        <w:rPr>
          <w:sz w:val="20"/>
          <w:szCs w:val="20"/>
          <w:color w:val="auto"/>
        </w:rPr>
      </w:pPr>
    </w:p>
    <w:p>
      <w:pPr>
        <w:jc w:val="both"/>
        <w:ind w:left="1320" w:right="479" w:hanging="434"/>
        <w:spacing w:after="0" w:line="266"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9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16" w:lineRule="exact"/>
        <w:rPr>
          <w:sz w:val="20"/>
          <w:szCs w:val="20"/>
          <w:color w:val="auto"/>
        </w:rPr>
      </w:pPr>
    </w:p>
    <w:p>
      <w:pPr>
        <w:ind w:left="1320" w:right="459" w:hanging="434"/>
        <w:spacing w:after="0" w:line="282" w:lineRule="auto"/>
        <w:tabs>
          <w:tab w:leader="none" w:pos="1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23, 2020 (the “2019 Form 20-F”);</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of foreign private issuer on Form 6-K furnished to the SEC on:</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1" w:val="left"/>
        </w:tabs>
        <w:numPr>
          <w:ilvl w:val="1"/>
          <w:numId w:val="18"/>
        </w:numPr>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 under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u w:val="single" w:color="auto"/>
            <w:color w:val="0000EE"/>
          </w:rPr>
          <w:t>July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jc w:val="both"/>
        <w:ind w:left="1760" w:right="459" w:hanging="442"/>
        <w:spacing w:after="0" w:line="266" w:lineRule="auto"/>
        <w:tabs>
          <w:tab w:leader="none" w:pos="1845" w:val="left"/>
        </w:tabs>
        <w:numPr>
          <w:ilvl w:val="1"/>
          <w:numId w:val="18"/>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August 12,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14, 2020 (solely with respect to the portions specified therein);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5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31, 2015, as updated by </w:t>
      </w:r>
      <w:hyperlink r:id="rId53">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2019 Form 20-F (“Description of Ordinary Shares of Kornit Digital Ltd.”), including any subsequent amendment or any report filed for the purpose of further updating such description.</w:t>
      </w:r>
    </w:p>
    <w:p>
      <w:pPr>
        <w:spacing w:after="0" w:line="116" w:lineRule="exact"/>
        <w:rPr>
          <w:rFonts w:ascii="Times New Roman" w:cs="Times New Roman" w:eastAsia="Times New Roman" w:hAnsi="Times New Roman"/>
          <w:sz w:val="18"/>
          <w:szCs w:val="18"/>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4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153670</wp:posOffset>
            </wp:positionV>
            <wp:extent cx="1611630" cy="994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60" w:right="1659" w:hanging="915"/>
        <w:spacing w:after="0" w:line="460" w:lineRule="auto"/>
        <w:rPr>
          <w:sz w:val="20"/>
          <w:szCs w:val="20"/>
          <w:color w:val="auto"/>
        </w:rPr>
      </w:pPr>
      <w:r>
        <w:rPr>
          <w:rFonts w:ascii="Times New Roman" w:cs="Times New Roman" w:eastAsia="Times New Roman" w:hAnsi="Times New Roman"/>
          <w:sz w:val="21"/>
          <w:szCs w:val="21"/>
          <w:b w:val="1"/>
          <w:bCs w:val="1"/>
          <w:color w:val="auto"/>
        </w:rPr>
        <w:t>2,932,176 Ordinary Shares Offered by the Selling Shareholder Ordinary Shares Offered by the Company</w:t>
      </w:r>
    </w:p>
    <w:p>
      <w:pPr>
        <w:spacing w:after="0" w:line="1" w:lineRule="exact"/>
        <w:rPr>
          <w:sz w:val="20"/>
          <w:szCs w:val="20"/>
          <w:color w:val="auto"/>
        </w:rPr>
      </w:pPr>
    </w:p>
    <w:p>
      <w:pPr>
        <w:jc w:val="both"/>
        <w:ind w:left="460" w:right="459" w:firstLine="432"/>
        <w:spacing w:after="0" w:line="274" w:lineRule="auto"/>
        <w:rPr>
          <w:sz w:val="20"/>
          <w:szCs w:val="20"/>
          <w:color w:val="auto"/>
        </w:rPr>
      </w:pPr>
      <w:r>
        <w:rPr>
          <w:rFonts w:ascii="Times New Roman" w:cs="Times New Roman" w:eastAsia="Times New Roman" w:hAnsi="Times New Roman"/>
          <w:sz w:val="19"/>
          <w:szCs w:val="19"/>
          <w:color w:val="auto"/>
        </w:rPr>
        <w:t>We may offer ordinary shares from time to time in one or more issuances. In addition, the selling shareholder named in this prospectus may offer and sell up to 2,932,176 of our ordinary shares. We will not receive any of the proceeds from the sale of ordinary shares by the selling shareholder.</w:t>
      </w:r>
    </w:p>
    <w:p>
      <w:pPr>
        <w:spacing w:after="0" w:line="156" w:lineRule="exact"/>
        <w:rPr>
          <w:sz w:val="20"/>
          <w:szCs w:val="20"/>
          <w:color w:val="auto"/>
        </w:rPr>
      </w:pPr>
    </w:p>
    <w:p>
      <w:pPr>
        <w:jc w:val="both"/>
        <w:ind w:left="460" w:right="459" w:firstLine="432"/>
        <w:spacing w:after="0" w:line="245" w:lineRule="auto"/>
        <w:rPr>
          <w:sz w:val="20"/>
          <w:szCs w:val="20"/>
          <w:color w:val="auto"/>
        </w:rPr>
      </w:pPr>
      <w:r>
        <w:rPr>
          <w:rFonts w:ascii="Times New Roman" w:cs="Times New Roman" w:eastAsia="Times New Roman" w:hAnsi="Times New Roman"/>
          <w:sz w:val="20"/>
          <w:szCs w:val="20"/>
          <w:color w:val="auto"/>
        </w:rPr>
        <w:t>We are registering the sale of ordinary shares proposed to be sold by the selling shareholder pursuant to registration rights that we have granted to such shareholder. These ordinary shares underlie a warrant that we have issued to the selling shareholder. The selling shareholder may offer and sell ordinary shares in public or private transactions, or both. These sales may occur at fixed prices, at market prices prevailing at the time of sale, at prices related to prevailing market prices, or at negotiated prices. See “Plan of Distribution.”</w:t>
      </w:r>
    </w:p>
    <w:p>
      <w:pPr>
        <w:spacing w:after="0" w:line="184"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20"/>
          <w:szCs w:val="20"/>
          <w:color w:val="auto"/>
        </w:rPr>
        <w:t>This prospectus describes the general manner in which the shares will be offered. Each time we or, if required under the Securities Act of 1933, as amended, the selling shareholder, sells securities pursuant to this prospectus, we will provide a supplement to this prospectus that contains specific information about the offering.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ordinary shares are traded on the Nasdaq Global Select Market under the symbol “KRNT.” The closing price of our ordinary shares, as reported on the Nasdaq Global Select Market on September 11, 2020 was $60.26.</w:t>
      </w:r>
    </w:p>
    <w:p>
      <w:pPr>
        <w:spacing w:after="0" w:line="1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9"/>
          <w:szCs w:val="19"/>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date of this prospectus is 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5" w:name="page36"/>
    <w:bookmarkEnd w:id="35"/>
    <w:tbl>
      <w:tblPr>
        <w:tblLayout w:type="fixed"/>
        <w:tblInd w:w="460" w:type="dxa"/>
        <w:tblCellMar>
          <w:top w:w="0" w:type="dxa"/>
          <w:left w:w="0" w:type="dxa"/>
          <w:bottom w:w="0" w:type="dxa"/>
          <w:right w:w="0" w:type="dxa"/>
        </w:tblCellMar>
      </w:tblPr>
      <w:tr>
        <w:trPr>
          <w:trHeight w:val="238"/>
        </w:trPr>
        <w:tc>
          <w:tcPr>
            <w:tcW w:w="74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13"/>
        </w:trPr>
        <w:tc>
          <w:tcPr>
            <w:tcW w:w="7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About this Prospectus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Kornit Digital Ltd.</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Description of Ordinary Shares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Plan of Distribution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Incorporation of Certain Documents By Reference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Enforceability of Civil Liabilities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vision is to create a world where everybody can bond, design and express their identities, one impression at a time.</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2019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selling shareholder of our ordinary shares as of September 11, 2020. On September 11, we had a total of 41,197,714 of our ordinary shares outstanding.</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to our knowledge, the selling shareholder has sole voting and investment power with respect to all ordinary shares shown as beneficially owned by it.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regarding our relationships with the selling shareholder and its affiliates, see “Major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 filed with the SEC on March 23, 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Offering</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2,052,507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2,932,176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9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shareholder is a wholly owned subsidiary of Amazon.com, Inc., whose address is 440 Terry Avenue North, Seattle, WA 98109. Shares beneficially owned consist of vested shares underlying a warrant granted to the selling shareholder assuming full exercise of the warrant for cash.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description of our ordinary shares can be found under the heading “Item 1. Description of Registrant’s Securities to be Registered” in our registration statement on Form 8-A as filed with the SEC on March 31, 2015, as updated by Exhibit 2.2 to our annual report on Form 20-F for the year ended December 31, 2019, which description is incorporated by reference 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or the selling shareholder may sell the securities in one or more of the following ways (or in any combination) from time to time:</w:t>
      </w:r>
    </w:p>
    <w:p>
      <w:pPr>
        <w:spacing w:after="0" w:line="81"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distribution of our securities or the selling shareholder’s ordinary shares may be carried out, from time to time, in one or more transactions, including:</w:t>
      </w:r>
    </w:p>
    <w:p>
      <w:pPr>
        <w:spacing w:after="0" w:line="94" w:lineRule="exact"/>
        <w:rPr>
          <w:sz w:val="20"/>
          <w:szCs w:val="20"/>
          <w:color w:val="auto"/>
        </w:rPr>
      </w:pPr>
    </w:p>
    <w:p>
      <w:pPr>
        <w:ind w:left="1320" w:right="459" w:hanging="434"/>
        <w:spacing w:after="0" w:line="282" w:lineRule="auto"/>
        <w:tabs>
          <w:tab w:leader="none" w:pos="14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the Nasdaq Global Select Market or any other organized market where the securities may be traded;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or the selling shareholders may authorize to be provided to you) will describe the terms of the offering of the securities, including, to the extent applicable:</w:t>
      </w:r>
    </w:p>
    <w:p>
      <w:pPr>
        <w:spacing w:after="0" w:line="108"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and the proceeds to us from that sale;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under which underwriters may purchase additional securities from us, if any;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or the selling shareholder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or the selling shareholder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or the selling shareholder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Certain legal matters with respect to Israeli law and with respect to the validity of the offered securities under Israeli law will be passed upon for us by Meitar Law Offices, Ramat Gan, Israel.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Kornit Digital Ltd. incorporated by reference in this prospectus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12" w:lineRule="exact"/>
        <w:rPr>
          <w:sz w:val="20"/>
          <w:szCs w:val="20"/>
          <w:color w:val="auto"/>
        </w:rPr>
      </w:pPr>
    </w:p>
    <w:p>
      <w:pPr>
        <w:ind w:left="1320" w:right="459" w:hanging="434"/>
        <w:spacing w:after="0" w:line="282" w:lineRule="auto"/>
        <w:tabs>
          <w:tab w:leader="none" w:pos="1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23, 2020 (the “2019 Form 20-F”);</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of foreign private issuer on Form 6-K furnished to the SEC on:</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1" w:val="left"/>
        </w:tabs>
        <w:numPr>
          <w:ilvl w:val="1"/>
          <w:numId w:val="23"/>
        </w:numPr>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 under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u w:val="single" w:color="auto"/>
            <w:color w:val="0000EE"/>
          </w:rPr>
          <w:t>July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jc w:val="both"/>
        <w:ind w:left="1760" w:right="459" w:hanging="442"/>
        <w:spacing w:after="0" w:line="266" w:lineRule="auto"/>
        <w:tabs>
          <w:tab w:leader="none" w:pos="1845" w:val="left"/>
        </w:tabs>
        <w:numPr>
          <w:ilvl w:val="1"/>
          <w:numId w:val="23"/>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August 12,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14, 2020 (solely with respect to the portions specified therein);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5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31, 2015, as updated by </w:t>
      </w:r>
      <w:hyperlink r:id="rId53">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2019 Form 20-F (“Description of Ordinary Shares of Kornit Digital Ltd.”), including any subsequent amendment or any report filed for the purpose of further updating such description.</w:t>
      </w:r>
    </w:p>
    <w:p>
      <w:pPr>
        <w:spacing w:after="0" w:line="116" w:lineRule="exact"/>
        <w:rPr>
          <w:rFonts w:ascii="Times New Roman" w:cs="Times New Roman" w:eastAsia="Times New Roman" w:hAnsi="Times New Roman"/>
          <w:sz w:val="18"/>
          <w:szCs w:val="18"/>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officers and any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irrevocably appointed Kornit Digital North America Inc. as our agent to receive service of process in any action against us in any United States federal or state court arising out of the offering under this prospectus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1" w:lineRule="exact"/>
        <w:rPr>
          <w:sz w:val="20"/>
          <w:szCs w:val="20"/>
          <w:color w:val="auto"/>
        </w:rPr>
      </w:pPr>
    </w:p>
    <w:p>
      <w:pPr>
        <w:jc w:val="both"/>
        <w:ind w:left="1320" w:right="479" w:hanging="434"/>
        <w:spacing w:after="0" w:line="266"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9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143500" cy="26035"/>
                    </a:xfrm>
                    <a:prstGeom prst="rect">
                      <a:avLst/>
                    </a:prstGeom>
                    <a:noFill/>
                  </pic:spPr>
                </pic:pic>
              </a:graphicData>
            </a:graphic>
          </wp:anchor>
        </w:drawing>
        <w:t>3,600,000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287655</wp:posOffset>
            </wp:positionV>
            <wp:extent cx="1611630" cy="1002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6116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60" w:type="dxa"/>
        <w:tblCellMar>
          <w:top w:w="0" w:type="dxa"/>
          <w:left w:w="0" w:type="dxa"/>
          <w:bottom w:w="0" w:type="dxa"/>
          <w:right w:w="0" w:type="dxa"/>
        </w:tblCellMar>
      </w:tblPr>
      <w:tr>
        <w:trPr>
          <w:trHeight w:val="286"/>
        </w:trPr>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760" w:type="dxa"/>
            <w:vAlign w:val="bottom"/>
          </w:tcPr>
          <w:p>
            <w:pPr>
              <w:spacing w:after="0"/>
              <w:rPr>
                <w:sz w:val="24"/>
                <w:szCs w:val="24"/>
                <w:color w:val="auto"/>
              </w:rPr>
            </w:pPr>
          </w:p>
        </w:tc>
        <w:tc>
          <w:tcPr>
            <w:tcW w:w="164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156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r>
      <w:tr>
        <w:trPr>
          <w:trHeight w:val="429"/>
        </w:trPr>
        <w:tc>
          <w:tcPr>
            <w:tcW w:w="13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Needham &amp;</w:t>
            </w: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9"/>
              </w:rPr>
              <w:t>Craig-Hallum</w:t>
            </w:r>
          </w:p>
        </w:tc>
        <w:tc>
          <w:tcPr>
            <w:tcW w:w="2800" w:type="dxa"/>
            <w:vAlign w:val="bottom"/>
          </w:tcPr>
          <w:p>
            <w:pPr>
              <w:spacing w:after="0"/>
              <w:rPr>
                <w:sz w:val="24"/>
                <w:szCs w:val="24"/>
                <w:color w:val="auto"/>
              </w:rPr>
            </w:pPr>
          </w:p>
        </w:tc>
      </w:tr>
      <w:tr>
        <w:trPr>
          <w:trHeight w:val="286"/>
        </w:trPr>
        <w:tc>
          <w:tcPr>
            <w:tcW w:w="13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Company</w:t>
            </w:r>
          </w:p>
        </w:tc>
        <w:tc>
          <w:tcPr>
            <w:tcW w:w="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Stifel</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William Blair</w:t>
            </w:r>
          </w:p>
        </w:tc>
        <w:tc>
          <w:tcPr>
            <w:tcW w:w="15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w w:val="97"/>
              </w:rPr>
              <w:t>Capital Group</w:t>
            </w:r>
          </w:p>
        </w:tc>
        <w:tc>
          <w:tcPr>
            <w:tcW w:w="280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CJS Securities</w:t>
            </w:r>
          </w:p>
        </w:tc>
      </w:tr>
      <w:tr>
        <w:trPr>
          <w:trHeight w:val="1413"/>
        </w:trPr>
        <w:tc>
          <w:tcPr>
            <w:tcW w:w="1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r>
        <w:trPr>
          <w:trHeight w:val="391"/>
        </w:trPr>
        <w:tc>
          <w:tcPr>
            <w:tcW w:w="1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e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jpeg"/><Relationship Id="rId45" Type="http://schemas.openxmlformats.org/officeDocument/2006/relationships/hyperlink" Target="http://www.sec.gov/Archives/edgar/data/1625791/000121390020007110/f20f2019_kornitdigi.htm" TargetMode="External"/><Relationship Id="rId46" Type="http://schemas.openxmlformats.org/officeDocument/2006/relationships/hyperlink" Target="http://www.sec.gov/Archives/edgar/data/1625791/000121390020012929/ea122093-6k_kornitdigital.htm" TargetMode="External"/><Relationship Id="rId47" Type="http://schemas.openxmlformats.org/officeDocument/2006/relationships/hyperlink" Target="http://www.sec.gov/Archives/edgar/data/1625791/000121390020016616/ea123779-6k_kornitdigital.htm" TargetMode="External"/><Relationship Id="rId48" Type="http://schemas.openxmlformats.org/officeDocument/2006/relationships/hyperlink" Target="http://www.sec.gov/Archives/edgar/data/1625791/000121390020018618/ea124553-6k_kornitdigital.htm" TargetMode="External"/><Relationship Id="rId49" Type="http://schemas.openxmlformats.org/officeDocument/2006/relationships/hyperlink" Target="http://www.sec.gov/Archives/edgar/data/1625791/000121390020021422/ea125371-6k_kornitdigi.htm" TargetMode="External"/><Relationship Id="rId50" Type="http://schemas.openxmlformats.org/officeDocument/2006/relationships/hyperlink" Target="http://www.sec.gov/Archives/edgar/data/1625791/000121390020021423/ea125372-6k_kornitdigi.htm" TargetMode="External"/><Relationship Id="rId51" Type="http://schemas.openxmlformats.org/officeDocument/2006/relationships/hyperlink" Target="http://www.sec.gov/Archives/edgar/data/1625791/000121390020021519/ea125417-6k_kornitdigital.htm" TargetMode="External"/><Relationship Id="rId52" Type="http://schemas.openxmlformats.org/officeDocument/2006/relationships/hyperlink" Target="http://www.sec.gov/Archives/edgar/data/1625791/000161577415000604/s100918_8a12b.htm" TargetMode="External"/><Relationship Id="rId53" Type="http://schemas.openxmlformats.org/officeDocument/2006/relationships/hyperlink" Target="http://www.sec.gov/Archives/edgar/data/1625791/000121390020007110/f20f2019ex2-2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2020-09-14T15:20:43Z</dcterms:created>
  <dcterms:modified xsi:type="dcterms:W3CDTF">2020-09-14T15:20:43Z</dcterms:modified>
</cp:coreProperties>
</file>