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Amendment No. 1</w:t>
      </w:r>
    </w:p>
    <w:p>
      <w:pPr>
        <w:spacing w:after="0" w:line="238" w:lineRule="auto"/>
        <w:rPr>
          <w:sz w:val="20"/>
          <w:szCs w:val="20"/>
          <w:color w:val="auto"/>
        </w:rPr>
      </w:pPr>
      <w:r>
        <w:rPr>
          <w:rFonts w:ascii="Courier New" w:cs="Courier New" w:eastAsia="Courier New" w:hAnsi="Courier New"/>
          <w:sz w:val="18"/>
          <w:szCs w:val="18"/>
          <w:color w:val="auto"/>
        </w:rPr>
        <w:t>KORNIT DIGITAL LTD</w:t>
      </w:r>
    </w:p>
    <w:p>
      <w:pPr>
        <w:spacing w:after="0"/>
        <w:rPr>
          <w:sz w:val="20"/>
          <w:szCs w:val="20"/>
          <w:color w:val="auto"/>
        </w:rPr>
      </w:pPr>
      <w:r>
        <w:rPr>
          <w:rFonts w:ascii="Courier New" w:cs="Courier New" w:eastAsia="Courier New" w:hAnsi="Courier New"/>
          <w:sz w:val="18"/>
          <w:szCs w:val="18"/>
          <w:color w:val="auto"/>
        </w:rPr>
        <w:t>COMMON STOCK</w:t>
      </w:r>
    </w:p>
    <w:p>
      <w:pPr>
        <w:spacing w:after="0" w:line="237" w:lineRule="auto"/>
        <w:rPr>
          <w:sz w:val="20"/>
          <w:szCs w:val="20"/>
          <w:color w:val="auto"/>
        </w:rPr>
      </w:pPr>
      <w:r>
        <w:rPr>
          <w:rFonts w:ascii="Courier New" w:cs="Courier New" w:eastAsia="Courier New" w:hAnsi="Courier New"/>
          <w:sz w:val="18"/>
          <w:szCs w:val="18"/>
          <w:color w:val="auto"/>
        </w:rPr>
        <w:t>Cusip #M6372Q113</w:t>
      </w:r>
    </w:p>
    <w:p>
      <w:pPr>
        <w:spacing w:after="0" w:line="238" w:lineRule="auto"/>
        <w:rPr>
          <w:sz w:val="20"/>
          <w:szCs w:val="20"/>
          <w:color w:val="auto"/>
        </w:rPr>
      </w:pPr>
      <w:r>
        <w:rPr>
          <w:rFonts w:ascii="Courier New" w:cs="Courier New" w:eastAsia="Courier New" w:hAnsi="Courier New"/>
          <w:sz w:val="18"/>
          <w:szCs w:val="18"/>
          <w:color w:val="auto"/>
        </w:rPr>
        <w:t>Check the appropriate box to designate the rule pursuant to which this</w:t>
      </w:r>
    </w:p>
    <w:p>
      <w:pPr>
        <w:spacing w:after="0"/>
        <w:rPr>
          <w:sz w:val="20"/>
          <w:szCs w:val="20"/>
          <w:color w:val="auto"/>
        </w:rPr>
      </w:pPr>
      <w:r>
        <w:rPr>
          <w:rFonts w:ascii="Courier New" w:cs="Courier New" w:eastAsia="Courier New" w:hAnsi="Courier New"/>
          <w:sz w:val="18"/>
          <w:szCs w:val="18"/>
          <w:color w:val="auto"/>
        </w:rPr>
        <w:t>Schedule is filed:</w:t>
      </w:r>
    </w:p>
    <w:p>
      <w:pPr>
        <w:ind w:left="1060" w:hanging="1052"/>
        <w:spacing w:after="0" w:line="237" w:lineRule="auto"/>
        <w:tabs>
          <w:tab w:leader="none" w:pos="106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Rule 13d-1(b)</w:t>
      </w: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 ]</w:t>
      </w:r>
      <w:r>
        <w:rPr>
          <w:rFonts w:ascii="Courier New" w:cs="Courier New" w:eastAsia="Courier New" w:hAnsi="Courier New"/>
          <w:sz w:val="16"/>
          <w:szCs w:val="16"/>
          <w:color w:val="auto"/>
        </w:rPr>
        <w:t>Rule 13d-1(c)</w:t>
      </w:r>
    </w:p>
    <w:p>
      <w:pPr>
        <w:spacing w:after="0" w:line="4" w:lineRule="exact"/>
        <w:rPr>
          <w:rFonts w:ascii="Courier New" w:cs="Courier New" w:eastAsia="Courier New" w:hAnsi="Courier New"/>
          <w:sz w:val="18"/>
          <w:szCs w:val="18"/>
          <w:color w:val="auto"/>
        </w:rPr>
      </w:pPr>
    </w:p>
    <w:p>
      <w:pPr>
        <w:ind w:right="77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 Rule 13d-1(d) Cusip #M6372Q113</w:t>
      </w:r>
    </w:p>
    <w:p>
      <w:pPr>
        <w:spacing w:after="0" w:line="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Item 1:</w:t>
      </w:r>
      <w:r>
        <w:rPr>
          <w:rFonts w:ascii="Courier New" w:cs="Courier New" w:eastAsia="Courier New" w:hAnsi="Courier New"/>
          <w:sz w:val="16"/>
          <w:szCs w:val="16"/>
          <w:color w:val="auto"/>
        </w:rPr>
        <w:t>Reporting Person - FMR LLC</w:t>
      </w:r>
    </w:p>
    <w:tbl>
      <w:tblPr>
        <w:tblLayout w:type="fixed"/>
        <w:tblInd w:w="0" w:type="dxa"/>
        <w:tblCellMar>
          <w:top w:w="0" w:type="dxa"/>
          <w:left w:w="0" w:type="dxa"/>
          <w:bottom w:w="0" w:type="dxa"/>
          <w:right w:w="0" w:type="dxa"/>
        </w:tblCellMar>
      </w:tblPr>
      <w:tr>
        <w:trPr>
          <w:trHeight w:val="203"/>
        </w:trPr>
        <w:tc>
          <w:tcPr>
            <w:tcW w:w="2480" w:type="dxa"/>
            <w:vAlign w:val="bottom"/>
          </w:tcPr>
          <w:p>
            <w:pPr>
              <w:spacing w:after="0"/>
              <w:rPr>
                <w:sz w:val="20"/>
                <w:szCs w:val="20"/>
                <w:color w:val="auto"/>
              </w:rPr>
            </w:pPr>
            <w:r>
              <w:rPr>
                <w:rFonts w:ascii="Courier New" w:cs="Courier New" w:eastAsia="Courier New" w:hAnsi="Courier New"/>
                <w:sz w:val="18"/>
                <w:szCs w:val="18"/>
                <w:color w:val="auto"/>
              </w:rPr>
              <w:t>Item 2:</w:t>
            </w:r>
          </w:p>
        </w:tc>
        <w:tc>
          <w:tcPr>
            <w:tcW w:w="800" w:type="dxa"/>
            <w:vAlign w:val="bottom"/>
          </w:tcPr>
          <w:p>
            <w:pPr>
              <w:ind w:left="60"/>
              <w:spacing w:after="0"/>
              <w:rPr>
                <w:sz w:val="20"/>
                <w:szCs w:val="20"/>
                <w:color w:val="auto"/>
              </w:rPr>
            </w:pPr>
            <w:r>
              <w:rPr>
                <w:rFonts w:ascii="Courier New" w:cs="Courier New" w:eastAsia="Courier New" w:hAnsi="Courier New"/>
                <w:sz w:val="18"/>
                <w:szCs w:val="18"/>
                <w:color w:val="auto"/>
              </w:rPr>
              <w:t>(a)</w:t>
            </w:r>
          </w:p>
        </w:tc>
        <w:tc>
          <w:tcPr>
            <w:tcW w:w="2520" w:type="dxa"/>
            <w:vAlign w:val="bottom"/>
          </w:tcPr>
          <w:p>
            <w:pPr>
              <w:ind w:left="100"/>
              <w:spacing w:after="0"/>
              <w:rPr>
                <w:sz w:val="20"/>
                <w:szCs w:val="20"/>
                <w:color w:val="auto"/>
              </w:rPr>
            </w:pPr>
            <w:r>
              <w:rPr>
                <w:rFonts w:ascii="Courier New" w:cs="Courier New" w:eastAsia="Courier New" w:hAnsi="Courier New"/>
                <w:sz w:val="18"/>
                <w:szCs w:val="18"/>
                <w:color w:val="auto"/>
              </w:rPr>
              <w:t>[ ]</w:t>
            </w:r>
          </w:p>
        </w:tc>
        <w:tc>
          <w:tcPr>
            <w:tcW w:w="900" w:type="dxa"/>
            <w:vAlign w:val="bottom"/>
          </w:tcPr>
          <w:p>
            <w:pPr>
              <w:spacing w:after="0"/>
              <w:rPr>
                <w:sz w:val="17"/>
                <w:szCs w:val="17"/>
                <w:color w:val="auto"/>
              </w:rPr>
            </w:pPr>
          </w:p>
        </w:tc>
        <w:tc>
          <w:tcPr>
            <w:tcW w:w="2260" w:type="dxa"/>
            <w:vAlign w:val="bottom"/>
          </w:tcPr>
          <w:p>
            <w:pPr>
              <w:spacing w:after="0"/>
              <w:rPr>
                <w:sz w:val="17"/>
                <w:szCs w:val="17"/>
                <w:color w:val="auto"/>
              </w:rPr>
            </w:pPr>
          </w:p>
        </w:tc>
      </w:tr>
      <w:tr>
        <w:trPr>
          <w:trHeight w:val="203"/>
        </w:trPr>
        <w:tc>
          <w:tcPr>
            <w:tcW w:w="2480" w:type="dxa"/>
            <w:vAlign w:val="bottom"/>
          </w:tcPr>
          <w:p>
            <w:pPr>
              <w:ind w:left="1700"/>
              <w:spacing w:after="0" w:line="203" w:lineRule="exact"/>
              <w:rPr>
                <w:sz w:val="20"/>
                <w:szCs w:val="20"/>
                <w:color w:val="auto"/>
              </w:rPr>
            </w:pPr>
            <w:r>
              <w:rPr>
                <w:rFonts w:ascii="Courier New" w:cs="Courier New" w:eastAsia="Courier New" w:hAnsi="Courier New"/>
                <w:sz w:val="18"/>
                <w:szCs w:val="18"/>
                <w:color w:val="auto"/>
              </w:rPr>
              <w:t>(b)</w:t>
            </w:r>
          </w:p>
        </w:tc>
        <w:tc>
          <w:tcPr>
            <w:tcW w:w="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 ]</w:t>
            </w:r>
          </w:p>
        </w:tc>
        <w:tc>
          <w:tcPr>
            <w:tcW w:w="25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6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4:</w:t>
            </w:r>
          </w:p>
        </w:tc>
        <w:tc>
          <w:tcPr>
            <w:tcW w:w="332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Delaware</w:t>
            </w:r>
          </w:p>
        </w:tc>
        <w:tc>
          <w:tcPr>
            <w:tcW w:w="900" w:type="dxa"/>
            <w:vAlign w:val="bottom"/>
          </w:tcPr>
          <w:p>
            <w:pPr>
              <w:spacing w:after="0"/>
              <w:rPr>
                <w:sz w:val="17"/>
                <w:szCs w:val="17"/>
                <w:color w:val="auto"/>
              </w:rPr>
            </w:pPr>
          </w:p>
        </w:tc>
        <w:tc>
          <w:tcPr>
            <w:tcW w:w="226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5:</w:t>
            </w:r>
          </w:p>
        </w:tc>
        <w:tc>
          <w:tcPr>
            <w:tcW w:w="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0</w:t>
            </w:r>
          </w:p>
        </w:tc>
        <w:tc>
          <w:tcPr>
            <w:tcW w:w="25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6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6:</w:t>
            </w:r>
          </w:p>
        </w:tc>
        <w:tc>
          <w:tcPr>
            <w:tcW w:w="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0</w:t>
            </w:r>
          </w:p>
        </w:tc>
        <w:tc>
          <w:tcPr>
            <w:tcW w:w="25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6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7:</w:t>
            </w:r>
          </w:p>
        </w:tc>
        <w:tc>
          <w:tcPr>
            <w:tcW w:w="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0</w:t>
            </w:r>
          </w:p>
        </w:tc>
        <w:tc>
          <w:tcPr>
            <w:tcW w:w="25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6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8:</w:t>
            </w:r>
          </w:p>
        </w:tc>
        <w:tc>
          <w:tcPr>
            <w:tcW w:w="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0</w:t>
            </w:r>
          </w:p>
        </w:tc>
        <w:tc>
          <w:tcPr>
            <w:tcW w:w="25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6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9:</w:t>
            </w:r>
          </w:p>
        </w:tc>
        <w:tc>
          <w:tcPr>
            <w:tcW w:w="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0</w:t>
            </w:r>
          </w:p>
        </w:tc>
        <w:tc>
          <w:tcPr>
            <w:tcW w:w="25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6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11:</w:t>
            </w:r>
          </w:p>
        </w:tc>
        <w:tc>
          <w:tcPr>
            <w:tcW w:w="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0.000 %</w:t>
            </w:r>
          </w:p>
        </w:tc>
        <w:tc>
          <w:tcPr>
            <w:tcW w:w="25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6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12:</w:t>
            </w:r>
          </w:p>
        </w:tc>
        <w:tc>
          <w:tcPr>
            <w:tcW w:w="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HC</w:t>
            </w:r>
          </w:p>
        </w:tc>
        <w:tc>
          <w:tcPr>
            <w:tcW w:w="25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6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Cusip #M6372Q113</w:t>
            </w:r>
          </w:p>
        </w:tc>
        <w:tc>
          <w:tcPr>
            <w:tcW w:w="80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6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1:</w:t>
            </w:r>
          </w:p>
        </w:tc>
        <w:tc>
          <w:tcPr>
            <w:tcW w:w="422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rPr>
              <w:t>Reporting Person - Abigail P. Johnson</w:t>
            </w:r>
          </w:p>
        </w:tc>
        <w:tc>
          <w:tcPr>
            <w:tcW w:w="226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2:</w:t>
            </w:r>
          </w:p>
        </w:tc>
        <w:tc>
          <w:tcPr>
            <w:tcW w:w="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w:t>
            </w:r>
          </w:p>
        </w:tc>
        <w:tc>
          <w:tcPr>
            <w:tcW w:w="25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 ]</w:t>
            </w:r>
          </w:p>
        </w:tc>
        <w:tc>
          <w:tcPr>
            <w:tcW w:w="900" w:type="dxa"/>
            <w:vAlign w:val="bottom"/>
          </w:tcPr>
          <w:p>
            <w:pPr>
              <w:spacing w:after="0"/>
              <w:rPr>
                <w:sz w:val="17"/>
                <w:szCs w:val="17"/>
                <w:color w:val="auto"/>
              </w:rPr>
            </w:pPr>
          </w:p>
        </w:tc>
        <w:tc>
          <w:tcPr>
            <w:tcW w:w="2260" w:type="dxa"/>
            <w:vAlign w:val="bottom"/>
          </w:tcPr>
          <w:p>
            <w:pPr>
              <w:spacing w:after="0"/>
              <w:rPr>
                <w:sz w:val="17"/>
                <w:szCs w:val="17"/>
                <w:color w:val="auto"/>
              </w:rPr>
            </w:pPr>
          </w:p>
        </w:tc>
      </w:tr>
      <w:tr>
        <w:trPr>
          <w:trHeight w:val="203"/>
        </w:trPr>
        <w:tc>
          <w:tcPr>
            <w:tcW w:w="2480" w:type="dxa"/>
            <w:vAlign w:val="bottom"/>
          </w:tcPr>
          <w:p>
            <w:pPr>
              <w:ind w:left="1700"/>
              <w:spacing w:after="0" w:line="203" w:lineRule="exact"/>
              <w:rPr>
                <w:sz w:val="20"/>
                <w:szCs w:val="20"/>
                <w:color w:val="auto"/>
              </w:rPr>
            </w:pPr>
            <w:r>
              <w:rPr>
                <w:rFonts w:ascii="Courier New" w:cs="Courier New" w:eastAsia="Courier New" w:hAnsi="Courier New"/>
                <w:sz w:val="18"/>
                <w:szCs w:val="18"/>
                <w:color w:val="auto"/>
              </w:rPr>
              <w:t>(b)</w:t>
            </w:r>
          </w:p>
        </w:tc>
        <w:tc>
          <w:tcPr>
            <w:tcW w:w="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 ]</w:t>
            </w:r>
          </w:p>
        </w:tc>
        <w:tc>
          <w:tcPr>
            <w:tcW w:w="25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6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4:</w:t>
            </w:r>
          </w:p>
        </w:tc>
        <w:tc>
          <w:tcPr>
            <w:tcW w:w="332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United States of America</w:t>
            </w:r>
          </w:p>
        </w:tc>
        <w:tc>
          <w:tcPr>
            <w:tcW w:w="900" w:type="dxa"/>
            <w:vAlign w:val="bottom"/>
          </w:tcPr>
          <w:p>
            <w:pPr>
              <w:spacing w:after="0"/>
              <w:rPr>
                <w:sz w:val="17"/>
                <w:szCs w:val="17"/>
                <w:color w:val="auto"/>
              </w:rPr>
            </w:pPr>
          </w:p>
        </w:tc>
        <w:tc>
          <w:tcPr>
            <w:tcW w:w="226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5:</w:t>
            </w:r>
          </w:p>
        </w:tc>
        <w:tc>
          <w:tcPr>
            <w:tcW w:w="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0</w:t>
            </w:r>
          </w:p>
        </w:tc>
        <w:tc>
          <w:tcPr>
            <w:tcW w:w="25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6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6:</w:t>
            </w:r>
          </w:p>
        </w:tc>
        <w:tc>
          <w:tcPr>
            <w:tcW w:w="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0</w:t>
            </w:r>
          </w:p>
        </w:tc>
        <w:tc>
          <w:tcPr>
            <w:tcW w:w="25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6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7:</w:t>
            </w:r>
          </w:p>
        </w:tc>
        <w:tc>
          <w:tcPr>
            <w:tcW w:w="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0</w:t>
            </w:r>
          </w:p>
        </w:tc>
        <w:tc>
          <w:tcPr>
            <w:tcW w:w="25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6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8:</w:t>
            </w:r>
          </w:p>
        </w:tc>
        <w:tc>
          <w:tcPr>
            <w:tcW w:w="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0</w:t>
            </w:r>
          </w:p>
        </w:tc>
        <w:tc>
          <w:tcPr>
            <w:tcW w:w="25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6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9:</w:t>
            </w:r>
          </w:p>
        </w:tc>
        <w:tc>
          <w:tcPr>
            <w:tcW w:w="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0</w:t>
            </w:r>
          </w:p>
        </w:tc>
        <w:tc>
          <w:tcPr>
            <w:tcW w:w="25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6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11:</w:t>
            </w:r>
          </w:p>
        </w:tc>
        <w:tc>
          <w:tcPr>
            <w:tcW w:w="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0.000 %</w:t>
            </w:r>
          </w:p>
        </w:tc>
        <w:tc>
          <w:tcPr>
            <w:tcW w:w="25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6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12:</w:t>
            </w:r>
          </w:p>
        </w:tc>
        <w:tc>
          <w:tcPr>
            <w:tcW w:w="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IN</w:t>
            </w:r>
          </w:p>
        </w:tc>
        <w:tc>
          <w:tcPr>
            <w:tcW w:w="25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60" w:type="dxa"/>
            <w:vAlign w:val="bottom"/>
          </w:tcPr>
          <w:p>
            <w:pPr>
              <w:spacing w:after="0"/>
              <w:rPr>
                <w:sz w:val="17"/>
                <w:szCs w:val="17"/>
                <w:color w:val="auto"/>
              </w:rPr>
            </w:pPr>
          </w:p>
        </w:tc>
      </w:tr>
      <w:tr>
        <w:trPr>
          <w:trHeight w:val="405"/>
        </w:trPr>
        <w:tc>
          <w:tcPr>
            <w:tcW w:w="2480" w:type="dxa"/>
            <w:vAlign w:val="bottom"/>
          </w:tcPr>
          <w:p>
            <w:pPr>
              <w:spacing w:after="0"/>
              <w:rPr>
                <w:sz w:val="20"/>
                <w:szCs w:val="20"/>
                <w:color w:val="auto"/>
              </w:rPr>
            </w:pPr>
            <w:r>
              <w:rPr>
                <w:rFonts w:ascii="Courier New" w:cs="Courier New" w:eastAsia="Courier New" w:hAnsi="Courier New"/>
                <w:sz w:val="18"/>
                <w:szCs w:val="18"/>
                <w:color w:val="auto"/>
              </w:rPr>
              <w:t>Item 1(a).</w:t>
            </w:r>
          </w:p>
        </w:tc>
        <w:tc>
          <w:tcPr>
            <w:tcW w:w="332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Name of Issuer:</w:t>
            </w:r>
          </w:p>
        </w:tc>
        <w:tc>
          <w:tcPr>
            <w:tcW w:w="900" w:type="dxa"/>
            <w:vAlign w:val="bottom"/>
          </w:tcPr>
          <w:p>
            <w:pPr>
              <w:spacing w:after="0"/>
              <w:rPr>
                <w:sz w:val="24"/>
                <w:szCs w:val="24"/>
                <w:color w:val="auto"/>
              </w:rPr>
            </w:pPr>
          </w:p>
        </w:tc>
        <w:tc>
          <w:tcPr>
            <w:tcW w:w="2260" w:type="dxa"/>
            <w:vAlign w:val="bottom"/>
          </w:tcPr>
          <w:p>
            <w:pPr>
              <w:spacing w:after="0"/>
              <w:rPr>
                <w:sz w:val="24"/>
                <w:szCs w:val="24"/>
                <w:color w:val="auto"/>
              </w:rPr>
            </w:pPr>
          </w:p>
        </w:tc>
      </w:tr>
      <w:tr>
        <w:trPr>
          <w:trHeight w:val="405"/>
        </w:trPr>
        <w:tc>
          <w:tcPr>
            <w:tcW w:w="2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520" w:type="dxa"/>
            <w:vAlign w:val="bottom"/>
          </w:tcPr>
          <w:p>
            <w:pPr>
              <w:ind w:left="100"/>
              <w:spacing w:after="0"/>
              <w:rPr>
                <w:sz w:val="20"/>
                <w:szCs w:val="20"/>
                <w:color w:val="auto"/>
              </w:rPr>
            </w:pPr>
            <w:r>
              <w:rPr>
                <w:rFonts w:ascii="Courier New" w:cs="Courier New" w:eastAsia="Courier New" w:hAnsi="Courier New"/>
                <w:sz w:val="18"/>
                <w:szCs w:val="18"/>
                <w:color w:val="auto"/>
              </w:rPr>
              <w:t>KORNIT DIGITAL LTD</w:t>
            </w:r>
          </w:p>
        </w:tc>
        <w:tc>
          <w:tcPr>
            <w:tcW w:w="900" w:type="dxa"/>
            <w:vAlign w:val="bottom"/>
          </w:tcPr>
          <w:p>
            <w:pPr>
              <w:spacing w:after="0"/>
              <w:rPr>
                <w:sz w:val="24"/>
                <w:szCs w:val="24"/>
                <w:color w:val="auto"/>
              </w:rPr>
            </w:pPr>
          </w:p>
        </w:tc>
        <w:tc>
          <w:tcPr>
            <w:tcW w:w="2260" w:type="dxa"/>
            <w:vAlign w:val="bottom"/>
          </w:tcPr>
          <w:p>
            <w:pPr>
              <w:spacing w:after="0"/>
              <w:rPr>
                <w:sz w:val="24"/>
                <w:szCs w:val="24"/>
                <w:color w:val="auto"/>
              </w:rPr>
            </w:pPr>
          </w:p>
        </w:tc>
      </w:tr>
      <w:tr>
        <w:trPr>
          <w:trHeight w:val="405"/>
        </w:trPr>
        <w:tc>
          <w:tcPr>
            <w:tcW w:w="2480" w:type="dxa"/>
            <w:vAlign w:val="bottom"/>
          </w:tcPr>
          <w:p>
            <w:pPr>
              <w:spacing w:after="0"/>
              <w:rPr>
                <w:sz w:val="20"/>
                <w:szCs w:val="20"/>
                <w:color w:val="auto"/>
              </w:rPr>
            </w:pPr>
            <w:r>
              <w:rPr>
                <w:rFonts w:ascii="Courier New" w:cs="Courier New" w:eastAsia="Courier New" w:hAnsi="Courier New"/>
                <w:sz w:val="18"/>
                <w:szCs w:val="18"/>
                <w:color w:val="auto"/>
              </w:rPr>
              <w:t>Item 1(b).</w:t>
            </w:r>
          </w:p>
        </w:tc>
        <w:tc>
          <w:tcPr>
            <w:tcW w:w="6480" w:type="dxa"/>
            <w:vAlign w:val="bottom"/>
            <w:gridSpan w:val="4"/>
          </w:tcPr>
          <w:p>
            <w:pPr>
              <w:ind w:left="60"/>
              <w:spacing w:after="0"/>
              <w:rPr>
                <w:sz w:val="20"/>
                <w:szCs w:val="20"/>
                <w:color w:val="auto"/>
              </w:rPr>
            </w:pPr>
            <w:r>
              <w:rPr>
                <w:rFonts w:ascii="Courier New" w:cs="Courier New" w:eastAsia="Courier New" w:hAnsi="Courier New"/>
                <w:sz w:val="18"/>
                <w:szCs w:val="18"/>
                <w:color w:val="auto"/>
              </w:rPr>
              <w:t>Address of Issuer's Principal Executive Offices:</w:t>
            </w:r>
          </w:p>
        </w:tc>
      </w:tr>
      <w:tr>
        <w:trPr>
          <w:trHeight w:val="405"/>
        </w:trPr>
        <w:tc>
          <w:tcPr>
            <w:tcW w:w="2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420" w:type="dxa"/>
            <w:vAlign w:val="bottom"/>
            <w:gridSpan w:val="2"/>
          </w:tcPr>
          <w:p>
            <w:pPr>
              <w:ind w:left="200"/>
              <w:spacing w:after="0"/>
              <w:rPr>
                <w:sz w:val="20"/>
                <w:szCs w:val="20"/>
                <w:color w:val="auto"/>
              </w:rPr>
            </w:pPr>
            <w:r>
              <w:rPr>
                <w:rFonts w:ascii="Courier New" w:cs="Courier New" w:eastAsia="Courier New" w:hAnsi="Courier New"/>
                <w:sz w:val="18"/>
                <w:szCs w:val="18"/>
                <w:color w:val="auto"/>
              </w:rPr>
              <w:t>12 HaAmal Street, Afek Park,</w:t>
            </w:r>
          </w:p>
        </w:tc>
        <w:tc>
          <w:tcPr>
            <w:tcW w:w="2260" w:type="dxa"/>
            <w:vAlign w:val="bottom"/>
          </w:tcPr>
          <w:p>
            <w:pPr>
              <w:spacing w:after="0"/>
              <w:rPr>
                <w:sz w:val="24"/>
                <w:szCs w:val="24"/>
                <w:color w:val="auto"/>
              </w:rPr>
            </w:pPr>
          </w:p>
        </w:tc>
      </w:tr>
      <w:tr>
        <w:trPr>
          <w:trHeight w:val="203"/>
        </w:trPr>
        <w:tc>
          <w:tcPr>
            <w:tcW w:w="24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5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Rosh-HaAyin 4809246,</w:t>
            </w:r>
          </w:p>
        </w:tc>
        <w:tc>
          <w:tcPr>
            <w:tcW w:w="900" w:type="dxa"/>
            <w:vAlign w:val="bottom"/>
          </w:tcPr>
          <w:p>
            <w:pPr>
              <w:spacing w:after="0"/>
              <w:rPr>
                <w:sz w:val="17"/>
                <w:szCs w:val="17"/>
                <w:color w:val="auto"/>
              </w:rPr>
            </w:pPr>
          </w:p>
        </w:tc>
        <w:tc>
          <w:tcPr>
            <w:tcW w:w="2260" w:type="dxa"/>
            <w:vAlign w:val="bottom"/>
          </w:tcPr>
          <w:p>
            <w:pPr>
              <w:spacing w:after="0"/>
              <w:rPr>
                <w:sz w:val="17"/>
                <w:szCs w:val="17"/>
                <w:color w:val="auto"/>
              </w:rPr>
            </w:pPr>
          </w:p>
        </w:tc>
      </w:tr>
      <w:tr>
        <w:trPr>
          <w:trHeight w:val="203"/>
        </w:trPr>
        <w:tc>
          <w:tcPr>
            <w:tcW w:w="24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5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Israel</w:t>
            </w:r>
          </w:p>
        </w:tc>
        <w:tc>
          <w:tcPr>
            <w:tcW w:w="900" w:type="dxa"/>
            <w:vAlign w:val="bottom"/>
          </w:tcPr>
          <w:p>
            <w:pPr>
              <w:spacing w:after="0"/>
              <w:rPr>
                <w:sz w:val="17"/>
                <w:szCs w:val="17"/>
                <w:color w:val="auto"/>
              </w:rPr>
            </w:pPr>
          </w:p>
        </w:tc>
        <w:tc>
          <w:tcPr>
            <w:tcW w:w="2260" w:type="dxa"/>
            <w:vAlign w:val="bottom"/>
          </w:tcPr>
          <w:p>
            <w:pPr>
              <w:spacing w:after="0"/>
              <w:rPr>
                <w:sz w:val="17"/>
                <w:szCs w:val="17"/>
                <w:color w:val="auto"/>
              </w:rPr>
            </w:pPr>
          </w:p>
        </w:tc>
      </w:tr>
      <w:tr>
        <w:trPr>
          <w:trHeight w:val="405"/>
        </w:trPr>
        <w:tc>
          <w:tcPr>
            <w:tcW w:w="2480" w:type="dxa"/>
            <w:vAlign w:val="bottom"/>
          </w:tcPr>
          <w:p>
            <w:pPr>
              <w:spacing w:after="0"/>
              <w:rPr>
                <w:sz w:val="20"/>
                <w:szCs w:val="20"/>
                <w:color w:val="auto"/>
              </w:rPr>
            </w:pPr>
            <w:r>
              <w:rPr>
                <w:rFonts w:ascii="Courier New" w:cs="Courier New" w:eastAsia="Courier New" w:hAnsi="Courier New"/>
                <w:sz w:val="18"/>
                <w:szCs w:val="18"/>
                <w:color w:val="auto"/>
              </w:rPr>
              <w:t>Item 2(a).</w:t>
            </w:r>
          </w:p>
        </w:tc>
        <w:tc>
          <w:tcPr>
            <w:tcW w:w="3320" w:type="dxa"/>
            <w:vAlign w:val="bottom"/>
            <w:gridSpan w:val="2"/>
          </w:tcPr>
          <w:p>
            <w:pPr>
              <w:ind w:left="160"/>
              <w:spacing w:after="0"/>
              <w:rPr>
                <w:sz w:val="20"/>
                <w:szCs w:val="20"/>
                <w:color w:val="auto"/>
              </w:rPr>
            </w:pPr>
            <w:r>
              <w:rPr>
                <w:rFonts w:ascii="Courier New" w:cs="Courier New" w:eastAsia="Courier New" w:hAnsi="Courier New"/>
                <w:sz w:val="18"/>
                <w:szCs w:val="18"/>
                <w:color w:val="auto"/>
              </w:rPr>
              <w:t>Name of Person Filing:</w:t>
            </w:r>
          </w:p>
        </w:tc>
        <w:tc>
          <w:tcPr>
            <w:tcW w:w="900" w:type="dxa"/>
            <w:vAlign w:val="bottom"/>
          </w:tcPr>
          <w:p>
            <w:pPr>
              <w:spacing w:after="0"/>
              <w:rPr>
                <w:sz w:val="24"/>
                <w:szCs w:val="24"/>
                <w:color w:val="auto"/>
              </w:rPr>
            </w:pPr>
          </w:p>
        </w:tc>
        <w:tc>
          <w:tcPr>
            <w:tcW w:w="2260" w:type="dxa"/>
            <w:vAlign w:val="bottom"/>
          </w:tcPr>
          <w:p>
            <w:pPr>
              <w:spacing w:after="0"/>
              <w:rPr>
                <w:sz w:val="24"/>
                <w:szCs w:val="24"/>
                <w:color w:val="auto"/>
              </w:rPr>
            </w:pPr>
          </w:p>
        </w:tc>
      </w:tr>
      <w:tr>
        <w:trPr>
          <w:trHeight w:val="405"/>
        </w:trPr>
        <w:tc>
          <w:tcPr>
            <w:tcW w:w="2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520" w:type="dxa"/>
            <w:vAlign w:val="bottom"/>
          </w:tcPr>
          <w:p>
            <w:pPr>
              <w:ind w:left="200"/>
              <w:spacing w:after="0"/>
              <w:rPr>
                <w:sz w:val="20"/>
                <w:szCs w:val="20"/>
                <w:color w:val="auto"/>
              </w:rPr>
            </w:pPr>
            <w:r>
              <w:rPr>
                <w:rFonts w:ascii="Courier New" w:cs="Courier New" w:eastAsia="Courier New" w:hAnsi="Courier New"/>
                <w:sz w:val="18"/>
                <w:szCs w:val="18"/>
                <w:color w:val="auto"/>
              </w:rPr>
              <w:t>FMR LLC</w:t>
            </w:r>
          </w:p>
        </w:tc>
        <w:tc>
          <w:tcPr>
            <w:tcW w:w="900" w:type="dxa"/>
            <w:vAlign w:val="bottom"/>
          </w:tcPr>
          <w:p>
            <w:pPr>
              <w:spacing w:after="0"/>
              <w:rPr>
                <w:sz w:val="24"/>
                <w:szCs w:val="24"/>
                <w:color w:val="auto"/>
              </w:rPr>
            </w:pPr>
          </w:p>
        </w:tc>
        <w:tc>
          <w:tcPr>
            <w:tcW w:w="2260" w:type="dxa"/>
            <w:vAlign w:val="bottom"/>
          </w:tcPr>
          <w:p>
            <w:pPr>
              <w:spacing w:after="0"/>
              <w:rPr>
                <w:sz w:val="24"/>
                <w:szCs w:val="24"/>
                <w:color w:val="auto"/>
              </w:rPr>
            </w:pPr>
          </w:p>
        </w:tc>
      </w:tr>
      <w:tr>
        <w:trPr>
          <w:trHeight w:val="405"/>
        </w:trPr>
        <w:tc>
          <w:tcPr>
            <w:tcW w:w="2480" w:type="dxa"/>
            <w:vAlign w:val="bottom"/>
          </w:tcPr>
          <w:p>
            <w:pPr>
              <w:spacing w:after="0"/>
              <w:rPr>
                <w:sz w:val="20"/>
                <w:szCs w:val="20"/>
                <w:color w:val="auto"/>
              </w:rPr>
            </w:pPr>
            <w:r>
              <w:rPr>
                <w:rFonts w:ascii="Courier New" w:cs="Courier New" w:eastAsia="Courier New" w:hAnsi="Courier New"/>
                <w:sz w:val="18"/>
                <w:szCs w:val="18"/>
                <w:color w:val="auto"/>
              </w:rPr>
              <w:t>Item 2(b).</w:t>
            </w:r>
          </w:p>
        </w:tc>
        <w:tc>
          <w:tcPr>
            <w:tcW w:w="6480" w:type="dxa"/>
            <w:vAlign w:val="bottom"/>
            <w:gridSpan w:val="4"/>
          </w:tcPr>
          <w:p>
            <w:pPr>
              <w:ind w:left="160"/>
              <w:spacing w:after="0"/>
              <w:rPr>
                <w:sz w:val="20"/>
                <w:szCs w:val="20"/>
                <w:color w:val="auto"/>
              </w:rPr>
            </w:pPr>
            <w:r>
              <w:rPr>
                <w:rFonts w:ascii="Courier New" w:cs="Courier New" w:eastAsia="Courier New" w:hAnsi="Courier New"/>
                <w:sz w:val="18"/>
                <w:szCs w:val="18"/>
                <w:color w:val="auto"/>
              </w:rPr>
              <w:t>Address or Principal Business Office or, if None,</w:t>
            </w: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Residence:</w:t>
            </w:r>
          </w:p>
        </w:tc>
        <w:tc>
          <w:tcPr>
            <w:tcW w:w="80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60" w:type="dxa"/>
            <w:vAlign w:val="bottom"/>
          </w:tcPr>
          <w:p>
            <w:pPr>
              <w:spacing w:after="0"/>
              <w:rPr>
                <w:sz w:val="17"/>
                <w:szCs w:val="17"/>
                <w:color w:val="auto"/>
              </w:rPr>
            </w:pPr>
          </w:p>
        </w:tc>
      </w:tr>
      <w:tr>
        <w:trPr>
          <w:trHeight w:val="405"/>
        </w:trPr>
        <w:tc>
          <w:tcPr>
            <w:tcW w:w="2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680" w:type="dxa"/>
            <w:vAlign w:val="bottom"/>
            <w:gridSpan w:val="3"/>
          </w:tcPr>
          <w:p>
            <w:pPr>
              <w:ind w:left="200"/>
              <w:spacing w:after="0"/>
              <w:rPr>
                <w:sz w:val="20"/>
                <w:szCs w:val="20"/>
                <w:color w:val="auto"/>
              </w:rPr>
            </w:pPr>
            <w:r>
              <w:rPr>
                <w:rFonts w:ascii="Courier New" w:cs="Courier New" w:eastAsia="Courier New" w:hAnsi="Courier New"/>
                <w:sz w:val="18"/>
                <w:szCs w:val="18"/>
                <w:color w:val="auto"/>
              </w:rPr>
              <w:t>245 Summer Street, Boston, Massachusetts 02210</w:t>
            </w:r>
          </w:p>
        </w:tc>
      </w:tr>
      <w:tr>
        <w:trPr>
          <w:trHeight w:val="405"/>
        </w:trPr>
        <w:tc>
          <w:tcPr>
            <w:tcW w:w="2480" w:type="dxa"/>
            <w:vAlign w:val="bottom"/>
          </w:tcPr>
          <w:p>
            <w:pPr>
              <w:spacing w:after="0"/>
              <w:rPr>
                <w:sz w:val="20"/>
                <w:szCs w:val="20"/>
                <w:color w:val="auto"/>
              </w:rPr>
            </w:pPr>
            <w:r>
              <w:rPr>
                <w:rFonts w:ascii="Courier New" w:cs="Courier New" w:eastAsia="Courier New" w:hAnsi="Courier New"/>
                <w:sz w:val="18"/>
                <w:szCs w:val="18"/>
                <w:color w:val="auto"/>
              </w:rPr>
              <w:t>Item 2(c).</w:t>
            </w:r>
          </w:p>
        </w:tc>
        <w:tc>
          <w:tcPr>
            <w:tcW w:w="3320" w:type="dxa"/>
            <w:vAlign w:val="bottom"/>
            <w:gridSpan w:val="2"/>
          </w:tcPr>
          <w:p>
            <w:pPr>
              <w:ind w:left="160"/>
              <w:spacing w:after="0"/>
              <w:rPr>
                <w:sz w:val="20"/>
                <w:szCs w:val="20"/>
                <w:color w:val="auto"/>
              </w:rPr>
            </w:pPr>
            <w:r>
              <w:rPr>
                <w:rFonts w:ascii="Courier New" w:cs="Courier New" w:eastAsia="Courier New" w:hAnsi="Courier New"/>
                <w:sz w:val="18"/>
                <w:szCs w:val="18"/>
                <w:color w:val="auto"/>
              </w:rPr>
              <w:t>Citizenship:</w:t>
            </w:r>
          </w:p>
        </w:tc>
        <w:tc>
          <w:tcPr>
            <w:tcW w:w="900" w:type="dxa"/>
            <w:vAlign w:val="bottom"/>
          </w:tcPr>
          <w:p>
            <w:pPr>
              <w:spacing w:after="0"/>
              <w:rPr>
                <w:sz w:val="24"/>
                <w:szCs w:val="24"/>
                <w:color w:val="auto"/>
              </w:rPr>
            </w:pPr>
          </w:p>
        </w:tc>
        <w:tc>
          <w:tcPr>
            <w:tcW w:w="2260" w:type="dxa"/>
            <w:vAlign w:val="bottom"/>
          </w:tcPr>
          <w:p>
            <w:pPr>
              <w:spacing w:after="0"/>
              <w:rPr>
                <w:sz w:val="24"/>
                <w:szCs w:val="24"/>
                <w:color w:val="auto"/>
              </w:rPr>
            </w:pPr>
          </w:p>
        </w:tc>
      </w:tr>
      <w:tr>
        <w:trPr>
          <w:trHeight w:val="405"/>
        </w:trPr>
        <w:tc>
          <w:tcPr>
            <w:tcW w:w="2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520" w:type="dxa"/>
            <w:vAlign w:val="bottom"/>
          </w:tcPr>
          <w:p>
            <w:pPr>
              <w:ind w:left="200"/>
              <w:spacing w:after="0"/>
              <w:rPr>
                <w:sz w:val="20"/>
                <w:szCs w:val="20"/>
                <w:color w:val="auto"/>
              </w:rPr>
            </w:pPr>
            <w:r>
              <w:rPr>
                <w:rFonts w:ascii="Courier New" w:cs="Courier New" w:eastAsia="Courier New" w:hAnsi="Courier New"/>
                <w:sz w:val="18"/>
                <w:szCs w:val="18"/>
                <w:color w:val="auto"/>
              </w:rPr>
              <w:t>Not applicable</w:t>
            </w:r>
          </w:p>
        </w:tc>
        <w:tc>
          <w:tcPr>
            <w:tcW w:w="900" w:type="dxa"/>
            <w:vAlign w:val="bottom"/>
          </w:tcPr>
          <w:p>
            <w:pPr>
              <w:spacing w:after="0"/>
              <w:rPr>
                <w:sz w:val="24"/>
                <w:szCs w:val="24"/>
                <w:color w:val="auto"/>
              </w:rPr>
            </w:pPr>
          </w:p>
        </w:tc>
        <w:tc>
          <w:tcPr>
            <w:tcW w:w="2260" w:type="dxa"/>
            <w:vAlign w:val="bottom"/>
          </w:tcPr>
          <w:p>
            <w:pPr>
              <w:spacing w:after="0"/>
              <w:rPr>
                <w:sz w:val="24"/>
                <w:szCs w:val="24"/>
                <w:color w:val="auto"/>
              </w:rPr>
            </w:pPr>
          </w:p>
        </w:tc>
      </w:tr>
      <w:tr>
        <w:trPr>
          <w:trHeight w:val="405"/>
        </w:trPr>
        <w:tc>
          <w:tcPr>
            <w:tcW w:w="2480" w:type="dxa"/>
            <w:vAlign w:val="bottom"/>
          </w:tcPr>
          <w:p>
            <w:pPr>
              <w:spacing w:after="0"/>
              <w:rPr>
                <w:sz w:val="20"/>
                <w:szCs w:val="20"/>
                <w:color w:val="auto"/>
              </w:rPr>
            </w:pPr>
            <w:r>
              <w:rPr>
                <w:rFonts w:ascii="Courier New" w:cs="Courier New" w:eastAsia="Courier New" w:hAnsi="Courier New"/>
                <w:sz w:val="18"/>
                <w:szCs w:val="18"/>
                <w:color w:val="auto"/>
              </w:rPr>
              <w:t>Item 2(d).</w:t>
            </w:r>
          </w:p>
        </w:tc>
        <w:tc>
          <w:tcPr>
            <w:tcW w:w="3320" w:type="dxa"/>
            <w:vAlign w:val="bottom"/>
            <w:gridSpan w:val="2"/>
          </w:tcPr>
          <w:p>
            <w:pPr>
              <w:ind w:left="160"/>
              <w:spacing w:after="0"/>
              <w:rPr>
                <w:sz w:val="20"/>
                <w:szCs w:val="20"/>
                <w:color w:val="auto"/>
              </w:rPr>
            </w:pPr>
            <w:r>
              <w:rPr>
                <w:rFonts w:ascii="Courier New" w:cs="Courier New" w:eastAsia="Courier New" w:hAnsi="Courier New"/>
                <w:sz w:val="18"/>
                <w:szCs w:val="18"/>
                <w:color w:val="auto"/>
              </w:rPr>
              <w:t>Title of Class of Securities:</w:t>
            </w:r>
          </w:p>
        </w:tc>
        <w:tc>
          <w:tcPr>
            <w:tcW w:w="900" w:type="dxa"/>
            <w:vAlign w:val="bottom"/>
          </w:tcPr>
          <w:p>
            <w:pPr>
              <w:spacing w:after="0"/>
              <w:rPr>
                <w:sz w:val="24"/>
                <w:szCs w:val="24"/>
                <w:color w:val="auto"/>
              </w:rPr>
            </w:pPr>
          </w:p>
        </w:tc>
        <w:tc>
          <w:tcPr>
            <w:tcW w:w="2260" w:type="dxa"/>
            <w:vAlign w:val="bottom"/>
          </w:tcPr>
          <w:p>
            <w:pPr>
              <w:spacing w:after="0"/>
              <w:rPr>
                <w:sz w:val="24"/>
                <w:szCs w:val="24"/>
                <w:color w:val="auto"/>
              </w:rPr>
            </w:pPr>
          </w:p>
        </w:tc>
      </w:tr>
      <w:tr>
        <w:trPr>
          <w:trHeight w:val="405"/>
        </w:trPr>
        <w:tc>
          <w:tcPr>
            <w:tcW w:w="2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520" w:type="dxa"/>
            <w:vAlign w:val="bottom"/>
          </w:tcPr>
          <w:p>
            <w:pPr>
              <w:ind w:left="200"/>
              <w:spacing w:after="0"/>
              <w:rPr>
                <w:sz w:val="20"/>
                <w:szCs w:val="20"/>
                <w:color w:val="auto"/>
              </w:rPr>
            </w:pPr>
            <w:r>
              <w:rPr>
                <w:rFonts w:ascii="Courier New" w:cs="Courier New" w:eastAsia="Courier New" w:hAnsi="Courier New"/>
                <w:sz w:val="18"/>
                <w:szCs w:val="18"/>
                <w:color w:val="auto"/>
              </w:rPr>
              <w:t>COMMON STOCK</w:t>
            </w:r>
          </w:p>
        </w:tc>
        <w:tc>
          <w:tcPr>
            <w:tcW w:w="900" w:type="dxa"/>
            <w:vAlign w:val="bottom"/>
          </w:tcPr>
          <w:p>
            <w:pPr>
              <w:spacing w:after="0"/>
              <w:rPr>
                <w:sz w:val="24"/>
                <w:szCs w:val="24"/>
                <w:color w:val="auto"/>
              </w:rPr>
            </w:pPr>
          </w:p>
        </w:tc>
        <w:tc>
          <w:tcPr>
            <w:tcW w:w="2260" w:type="dxa"/>
            <w:vAlign w:val="bottom"/>
          </w:tcPr>
          <w:p>
            <w:pPr>
              <w:spacing w:after="0"/>
              <w:rPr>
                <w:sz w:val="24"/>
                <w:szCs w:val="24"/>
                <w:color w:val="auto"/>
              </w:rPr>
            </w:pPr>
          </w:p>
        </w:tc>
      </w:tr>
      <w:tr>
        <w:trPr>
          <w:trHeight w:val="405"/>
        </w:trPr>
        <w:tc>
          <w:tcPr>
            <w:tcW w:w="2480" w:type="dxa"/>
            <w:vAlign w:val="bottom"/>
          </w:tcPr>
          <w:p>
            <w:pPr>
              <w:spacing w:after="0"/>
              <w:rPr>
                <w:sz w:val="20"/>
                <w:szCs w:val="20"/>
                <w:color w:val="auto"/>
              </w:rPr>
            </w:pPr>
            <w:r>
              <w:rPr>
                <w:rFonts w:ascii="Courier New" w:cs="Courier New" w:eastAsia="Courier New" w:hAnsi="Courier New"/>
                <w:sz w:val="18"/>
                <w:szCs w:val="18"/>
                <w:color w:val="auto"/>
              </w:rPr>
              <w:t>Item 2(e).</w:t>
            </w:r>
          </w:p>
        </w:tc>
        <w:tc>
          <w:tcPr>
            <w:tcW w:w="3320" w:type="dxa"/>
            <w:vAlign w:val="bottom"/>
            <w:gridSpan w:val="2"/>
          </w:tcPr>
          <w:p>
            <w:pPr>
              <w:ind w:left="160"/>
              <w:spacing w:after="0"/>
              <w:rPr>
                <w:sz w:val="20"/>
                <w:szCs w:val="20"/>
                <w:color w:val="auto"/>
              </w:rPr>
            </w:pPr>
            <w:r>
              <w:rPr>
                <w:rFonts w:ascii="Courier New" w:cs="Courier New" w:eastAsia="Courier New" w:hAnsi="Courier New"/>
                <w:sz w:val="18"/>
                <w:szCs w:val="18"/>
                <w:color w:val="auto"/>
              </w:rPr>
              <w:t>CUSIP Number:</w:t>
            </w:r>
          </w:p>
        </w:tc>
        <w:tc>
          <w:tcPr>
            <w:tcW w:w="900" w:type="dxa"/>
            <w:vAlign w:val="bottom"/>
          </w:tcPr>
          <w:p>
            <w:pPr>
              <w:spacing w:after="0"/>
              <w:rPr>
                <w:sz w:val="24"/>
                <w:szCs w:val="24"/>
                <w:color w:val="auto"/>
              </w:rPr>
            </w:pPr>
          </w:p>
        </w:tc>
        <w:tc>
          <w:tcPr>
            <w:tcW w:w="2260" w:type="dxa"/>
            <w:vAlign w:val="bottom"/>
          </w:tcPr>
          <w:p>
            <w:pPr>
              <w:spacing w:after="0"/>
              <w:rPr>
                <w:sz w:val="24"/>
                <w:szCs w:val="24"/>
                <w:color w:val="auto"/>
              </w:rPr>
            </w:pPr>
          </w:p>
        </w:tc>
      </w:tr>
      <w:tr>
        <w:trPr>
          <w:trHeight w:val="405"/>
        </w:trPr>
        <w:tc>
          <w:tcPr>
            <w:tcW w:w="2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520" w:type="dxa"/>
            <w:vAlign w:val="bottom"/>
          </w:tcPr>
          <w:p>
            <w:pPr>
              <w:ind w:left="200"/>
              <w:spacing w:after="0"/>
              <w:rPr>
                <w:sz w:val="20"/>
                <w:szCs w:val="20"/>
                <w:color w:val="auto"/>
              </w:rPr>
            </w:pPr>
            <w:r>
              <w:rPr>
                <w:rFonts w:ascii="Courier New" w:cs="Courier New" w:eastAsia="Courier New" w:hAnsi="Courier New"/>
                <w:sz w:val="18"/>
                <w:szCs w:val="18"/>
                <w:color w:val="auto"/>
              </w:rPr>
              <w:t>M6372Q113</w:t>
            </w:r>
          </w:p>
        </w:tc>
        <w:tc>
          <w:tcPr>
            <w:tcW w:w="900" w:type="dxa"/>
            <w:vAlign w:val="bottom"/>
          </w:tcPr>
          <w:p>
            <w:pPr>
              <w:spacing w:after="0"/>
              <w:rPr>
                <w:sz w:val="24"/>
                <w:szCs w:val="24"/>
                <w:color w:val="auto"/>
              </w:rPr>
            </w:pPr>
          </w:p>
        </w:tc>
        <w:tc>
          <w:tcPr>
            <w:tcW w:w="2260" w:type="dxa"/>
            <w:vAlign w:val="bottom"/>
          </w:tcPr>
          <w:p>
            <w:pPr>
              <w:spacing w:after="0"/>
              <w:rPr>
                <w:sz w:val="24"/>
                <w:szCs w:val="24"/>
                <w:color w:val="auto"/>
              </w:rPr>
            </w:pPr>
          </w:p>
        </w:tc>
      </w:tr>
      <w:tr>
        <w:trPr>
          <w:trHeight w:val="405"/>
        </w:trPr>
        <w:tc>
          <w:tcPr>
            <w:tcW w:w="2480" w:type="dxa"/>
            <w:vAlign w:val="bottom"/>
          </w:tcPr>
          <w:p>
            <w:pPr>
              <w:spacing w:after="0"/>
              <w:rPr>
                <w:sz w:val="20"/>
                <w:szCs w:val="20"/>
                <w:color w:val="auto"/>
              </w:rPr>
            </w:pPr>
            <w:r>
              <w:rPr>
                <w:rFonts w:ascii="Courier New" w:cs="Courier New" w:eastAsia="Courier New" w:hAnsi="Courier New"/>
                <w:sz w:val="18"/>
                <w:szCs w:val="18"/>
                <w:color w:val="auto"/>
              </w:rPr>
              <w:t>Item 3.</w:t>
            </w:r>
          </w:p>
        </w:tc>
        <w:tc>
          <w:tcPr>
            <w:tcW w:w="6480" w:type="dxa"/>
            <w:vAlign w:val="bottom"/>
            <w:gridSpan w:val="4"/>
          </w:tcPr>
          <w:p>
            <w:pPr>
              <w:ind w:left="60"/>
              <w:spacing w:after="0"/>
              <w:rPr>
                <w:sz w:val="20"/>
                <w:szCs w:val="20"/>
                <w:color w:val="auto"/>
              </w:rPr>
            </w:pPr>
            <w:r>
              <w:rPr>
                <w:rFonts w:ascii="Courier New" w:cs="Courier New" w:eastAsia="Courier New" w:hAnsi="Courier New"/>
                <w:sz w:val="18"/>
                <w:szCs w:val="18"/>
                <w:color w:val="auto"/>
                <w:w w:val="97"/>
              </w:rPr>
              <w:t>This statement is filed pursuant to Rule 13d-1(b) or 13d-2(b)</w:t>
            </w: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or (c) and the</w:t>
            </w:r>
          </w:p>
        </w:tc>
        <w:tc>
          <w:tcPr>
            <w:tcW w:w="80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6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person filing, FMR LLC,</w:t>
            </w:r>
          </w:p>
        </w:tc>
        <w:tc>
          <w:tcPr>
            <w:tcW w:w="6480" w:type="dxa"/>
            <w:vAlign w:val="bottom"/>
            <w:gridSpan w:val="4"/>
          </w:tcPr>
          <w:p>
            <w:pPr>
              <w:ind w:left="60"/>
              <w:spacing w:after="0" w:line="203" w:lineRule="exact"/>
              <w:rPr>
                <w:sz w:val="20"/>
                <w:szCs w:val="20"/>
                <w:color w:val="auto"/>
              </w:rPr>
            </w:pPr>
            <w:r>
              <w:rPr>
                <w:rFonts w:ascii="Courier New" w:cs="Courier New" w:eastAsia="Courier New" w:hAnsi="Courier New"/>
                <w:sz w:val="18"/>
                <w:szCs w:val="18"/>
                <w:color w:val="auto"/>
              </w:rPr>
              <w:t>is a parent holding company in accordance with</w:t>
            </w:r>
          </w:p>
        </w:tc>
      </w:tr>
      <w:tr>
        <w:trPr>
          <w:trHeight w:val="203"/>
        </w:trPr>
        <w:tc>
          <w:tcPr>
            <w:tcW w:w="670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rPr>
              <w:t>Section 240.13d-1(b)(1)(ii)(G).   (Note:  See Exhibit A).</w:t>
            </w:r>
          </w:p>
        </w:tc>
        <w:tc>
          <w:tcPr>
            <w:tcW w:w="2260" w:type="dxa"/>
            <w:vAlign w:val="bottom"/>
          </w:tcPr>
          <w:p>
            <w:pPr>
              <w:spacing w:after="0"/>
              <w:rPr>
                <w:sz w:val="17"/>
                <w:szCs w:val="17"/>
                <w:color w:val="auto"/>
              </w:rPr>
            </w:pPr>
          </w:p>
        </w:tc>
      </w:tr>
      <w:tr>
        <w:trPr>
          <w:trHeight w:val="405"/>
        </w:trPr>
        <w:tc>
          <w:tcPr>
            <w:tcW w:w="2480" w:type="dxa"/>
            <w:vAlign w:val="bottom"/>
          </w:tcPr>
          <w:p>
            <w:pPr>
              <w:spacing w:after="0"/>
              <w:rPr>
                <w:sz w:val="20"/>
                <w:szCs w:val="20"/>
                <w:color w:val="auto"/>
              </w:rPr>
            </w:pPr>
            <w:r>
              <w:rPr>
                <w:rFonts w:ascii="Courier New" w:cs="Courier New" w:eastAsia="Courier New" w:hAnsi="Courier New"/>
                <w:sz w:val="18"/>
                <w:szCs w:val="18"/>
                <w:color w:val="auto"/>
              </w:rPr>
              <w:t>Item 4.</w:t>
            </w:r>
          </w:p>
        </w:tc>
        <w:tc>
          <w:tcPr>
            <w:tcW w:w="332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Ownership</w:t>
            </w:r>
          </w:p>
        </w:tc>
        <w:tc>
          <w:tcPr>
            <w:tcW w:w="900" w:type="dxa"/>
            <w:vAlign w:val="bottom"/>
          </w:tcPr>
          <w:p>
            <w:pPr>
              <w:spacing w:after="0"/>
              <w:rPr>
                <w:sz w:val="24"/>
                <w:szCs w:val="24"/>
                <w:color w:val="auto"/>
              </w:rPr>
            </w:pPr>
          </w:p>
        </w:tc>
        <w:tc>
          <w:tcPr>
            <w:tcW w:w="2260" w:type="dxa"/>
            <w:vAlign w:val="bottom"/>
          </w:tcPr>
          <w:p>
            <w:pPr>
              <w:spacing w:after="0"/>
              <w:rPr>
                <w:sz w:val="24"/>
                <w:szCs w:val="24"/>
                <w:color w:val="auto"/>
              </w:rPr>
            </w:pPr>
          </w:p>
        </w:tc>
      </w:tr>
      <w:tr>
        <w:trPr>
          <w:trHeight w:val="405"/>
        </w:trPr>
        <w:tc>
          <w:tcPr>
            <w:tcW w:w="2480" w:type="dxa"/>
            <w:vAlign w:val="bottom"/>
          </w:tcPr>
          <w:p>
            <w:pPr>
              <w:spacing w:after="0"/>
              <w:rPr>
                <w:sz w:val="24"/>
                <w:szCs w:val="24"/>
                <w:color w:val="auto"/>
              </w:rPr>
            </w:pPr>
          </w:p>
        </w:tc>
        <w:tc>
          <w:tcPr>
            <w:tcW w:w="800" w:type="dxa"/>
            <w:vAlign w:val="bottom"/>
          </w:tcPr>
          <w:p>
            <w:pPr>
              <w:ind w:left="60"/>
              <w:spacing w:after="0"/>
              <w:rPr>
                <w:sz w:val="20"/>
                <w:szCs w:val="20"/>
                <w:color w:val="auto"/>
              </w:rPr>
            </w:pPr>
            <w:r>
              <w:rPr>
                <w:rFonts w:ascii="Courier New" w:cs="Courier New" w:eastAsia="Courier New" w:hAnsi="Courier New"/>
                <w:sz w:val="18"/>
                <w:szCs w:val="18"/>
                <w:color w:val="auto"/>
              </w:rPr>
              <w:t>(a)</w:t>
            </w:r>
          </w:p>
        </w:tc>
        <w:tc>
          <w:tcPr>
            <w:tcW w:w="3420" w:type="dxa"/>
            <w:vAlign w:val="bottom"/>
            <w:gridSpan w:val="2"/>
          </w:tcPr>
          <w:p>
            <w:pPr>
              <w:spacing w:after="0"/>
              <w:rPr>
                <w:sz w:val="20"/>
                <w:szCs w:val="20"/>
                <w:color w:val="auto"/>
              </w:rPr>
            </w:pPr>
            <w:r>
              <w:rPr>
                <w:rFonts w:ascii="Courier New" w:cs="Courier New" w:eastAsia="Courier New" w:hAnsi="Courier New"/>
                <w:sz w:val="18"/>
                <w:szCs w:val="18"/>
                <w:color w:val="auto"/>
              </w:rPr>
              <w:t>Amount Beneficially Owned:</w:t>
            </w:r>
          </w:p>
        </w:tc>
        <w:tc>
          <w:tcPr>
            <w:tcW w:w="2260" w:type="dxa"/>
            <w:vAlign w:val="bottom"/>
          </w:tcPr>
          <w:p>
            <w:pPr>
              <w:jc w:val="right"/>
              <w:ind w:right="2012"/>
              <w:spacing w:after="0"/>
              <w:rPr>
                <w:sz w:val="20"/>
                <w:szCs w:val="20"/>
                <w:color w:val="auto"/>
              </w:rPr>
            </w:pPr>
            <w:r>
              <w:rPr>
                <w:rFonts w:ascii="Courier New" w:cs="Courier New" w:eastAsia="Courier New" w:hAnsi="Courier New"/>
                <w:sz w:val="18"/>
                <w:szCs w:val="18"/>
                <w:color w:val="auto"/>
              </w:rPr>
              <w:t>0</w:t>
            </w:r>
          </w:p>
        </w:tc>
      </w:tr>
      <w:tr>
        <w:trPr>
          <w:trHeight w:val="405"/>
        </w:trPr>
        <w:tc>
          <w:tcPr>
            <w:tcW w:w="2480" w:type="dxa"/>
            <w:vAlign w:val="bottom"/>
          </w:tcPr>
          <w:p>
            <w:pPr>
              <w:spacing w:after="0"/>
              <w:rPr>
                <w:sz w:val="24"/>
                <w:szCs w:val="24"/>
                <w:color w:val="auto"/>
              </w:rPr>
            </w:pPr>
          </w:p>
        </w:tc>
        <w:tc>
          <w:tcPr>
            <w:tcW w:w="800" w:type="dxa"/>
            <w:vAlign w:val="bottom"/>
          </w:tcPr>
          <w:p>
            <w:pPr>
              <w:ind w:left="60"/>
              <w:spacing w:after="0"/>
              <w:rPr>
                <w:sz w:val="20"/>
                <w:szCs w:val="20"/>
                <w:color w:val="auto"/>
              </w:rPr>
            </w:pPr>
            <w:r>
              <w:rPr>
                <w:rFonts w:ascii="Courier New" w:cs="Courier New" w:eastAsia="Courier New" w:hAnsi="Courier New"/>
                <w:sz w:val="18"/>
                <w:szCs w:val="18"/>
                <w:color w:val="auto"/>
              </w:rPr>
              <w:t>(b)</w:t>
            </w:r>
          </w:p>
        </w:tc>
        <w:tc>
          <w:tcPr>
            <w:tcW w:w="2520" w:type="dxa"/>
            <w:vAlign w:val="bottom"/>
          </w:tcPr>
          <w:p>
            <w:pPr>
              <w:spacing w:after="0"/>
              <w:rPr>
                <w:sz w:val="20"/>
                <w:szCs w:val="20"/>
                <w:color w:val="auto"/>
              </w:rPr>
            </w:pPr>
            <w:r>
              <w:rPr>
                <w:rFonts w:ascii="Courier New" w:cs="Courier New" w:eastAsia="Courier New" w:hAnsi="Courier New"/>
                <w:sz w:val="18"/>
                <w:szCs w:val="18"/>
                <w:color w:val="auto"/>
              </w:rPr>
              <w:t>Percent of Class:</w:t>
            </w:r>
          </w:p>
        </w:tc>
        <w:tc>
          <w:tcPr>
            <w:tcW w:w="900" w:type="dxa"/>
            <w:vAlign w:val="bottom"/>
          </w:tcPr>
          <w:p>
            <w:pPr>
              <w:jc w:val="right"/>
              <w:spacing w:after="0"/>
              <w:rPr>
                <w:sz w:val="20"/>
                <w:szCs w:val="20"/>
                <w:color w:val="auto"/>
              </w:rPr>
            </w:pPr>
            <w:r>
              <w:rPr>
                <w:rFonts w:ascii="Courier New" w:cs="Courier New" w:eastAsia="Courier New" w:hAnsi="Courier New"/>
                <w:sz w:val="18"/>
                <w:szCs w:val="18"/>
                <w:color w:val="auto"/>
              </w:rPr>
              <w:t>0.000 %</w:t>
            </w:r>
          </w:p>
        </w:tc>
        <w:tc>
          <w:tcPr>
            <w:tcW w:w="2260" w:type="dxa"/>
            <w:vAlign w:val="bottom"/>
          </w:tcPr>
          <w:p>
            <w:pPr>
              <w:spacing w:after="0"/>
              <w:rPr>
                <w:sz w:val="24"/>
                <w:szCs w:val="24"/>
                <w:color w:val="auto"/>
              </w:rPr>
            </w:pPr>
          </w:p>
        </w:tc>
      </w:tr>
    </w:tbl>
    <w:p>
      <w:pPr>
        <w:spacing w:after="0" w:line="201" w:lineRule="exact"/>
        <w:rPr>
          <w:sz w:val="24"/>
          <w:szCs w:val="24"/>
          <w:color w:val="auto"/>
        </w:rPr>
      </w:pPr>
    </w:p>
    <w:p>
      <w:pPr>
        <w:ind w:left="3280" w:hanging="743"/>
        <w:spacing w:after="0"/>
        <w:tabs>
          <w:tab w:leader="none" w:pos="328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pacing w:after="0" w:line="201" w:lineRule="exact"/>
        <w:rPr>
          <w:sz w:val="24"/>
          <w:szCs w:val="24"/>
          <w:color w:val="auto"/>
        </w:rPr>
      </w:pPr>
    </w:p>
    <w:p>
      <w:pPr>
        <w:jc w:val="both"/>
        <w:ind w:left="3280"/>
        <w:spacing w:after="0"/>
        <w:tabs>
          <w:tab w:leader="none" w:pos="4000" w:val="left"/>
          <w:tab w:leader="none" w:pos="9260" w:val="left"/>
        </w:tabs>
        <w:rPr>
          <w:sz w:val="20"/>
          <w:szCs w:val="20"/>
          <w:color w:val="auto"/>
        </w:rPr>
      </w:pPr>
      <w:r>
        <w:rPr>
          <w:rFonts w:ascii="Courier New" w:cs="Courier New" w:eastAsia="Courier New" w:hAnsi="Courier New"/>
          <w:sz w:val="18"/>
          <w:szCs w:val="18"/>
          <w:color w:val="auto"/>
        </w:rPr>
        <w:t>(i)</w:t>
      </w:r>
      <w:r>
        <w:rPr>
          <w:sz w:val="20"/>
          <w:szCs w:val="20"/>
          <w:color w:val="auto"/>
        </w:rPr>
        <w:tab/>
      </w:r>
      <w:r>
        <w:rPr>
          <w:rFonts w:ascii="Courier New" w:cs="Courier New" w:eastAsia="Courier New" w:hAnsi="Courier New"/>
          <w:sz w:val="18"/>
          <w:szCs w:val="18"/>
          <w:color w:val="auto"/>
        </w:rPr>
        <w:t>sole power to vote or to direct the vote:</w:t>
      </w:r>
      <w:r>
        <w:rPr>
          <w:sz w:val="20"/>
          <w:szCs w:val="20"/>
          <w:color w:val="auto"/>
        </w:rPr>
        <w:tab/>
      </w:r>
      <w:r>
        <w:rPr>
          <w:rFonts w:ascii="Courier New" w:cs="Courier New" w:eastAsia="Courier New" w:hAnsi="Courier New"/>
          <w:sz w:val="16"/>
          <w:szCs w:val="16"/>
          <w:color w:val="auto"/>
        </w:rPr>
        <w:t>0</w:t>
      </w:r>
    </w:p>
    <w:p>
      <w:pPr>
        <w:sectPr>
          <w:pgSz w:w="11900" w:h="16855" w:orient="portrait"/>
          <w:cols w:equalWidth="0" w:num="1">
            <w:col w:w="10219"/>
          </w:cols>
          <w:pgMar w:left="240" w:top="244" w:right="1440" w:bottom="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04"/>
        </w:trPr>
        <w:tc>
          <w:tcPr>
            <w:tcW w:w="2060" w:type="dxa"/>
            <w:vAlign w:val="bottom"/>
          </w:tcPr>
          <w:p>
            <w:pPr>
              <w:spacing w:after="0"/>
              <w:rPr>
                <w:sz w:val="17"/>
                <w:szCs w:val="17"/>
                <w:color w:val="auto"/>
              </w:rPr>
            </w:pPr>
          </w:p>
        </w:tc>
        <w:tc>
          <w:tcPr>
            <w:tcW w:w="1900" w:type="dxa"/>
            <w:vAlign w:val="bottom"/>
          </w:tcPr>
          <w:p>
            <w:pPr>
              <w:ind w:left="1220"/>
              <w:spacing w:after="0"/>
              <w:rPr>
                <w:sz w:val="20"/>
                <w:szCs w:val="20"/>
                <w:color w:val="auto"/>
              </w:rPr>
            </w:pPr>
            <w:r>
              <w:rPr>
                <w:rFonts w:ascii="Courier New" w:cs="Courier New" w:eastAsia="Courier New" w:hAnsi="Courier New"/>
                <w:sz w:val="18"/>
                <w:szCs w:val="18"/>
                <w:color w:val="auto"/>
              </w:rPr>
              <w:t>(ii)</w:t>
            </w:r>
          </w:p>
        </w:tc>
        <w:tc>
          <w:tcPr>
            <w:tcW w:w="2640" w:type="dxa"/>
            <w:vAlign w:val="bottom"/>
          </w:tcPr>
          <w:p>
            <w:pPr>
              <w:ind w:left="160"/>
              <w:spacing w:after="0"/>
              <w:rPr>
                <w:sz w:val="20"/>
                <w:szCs w:val="20"/>
                <w:color w:val="auto"/>
              </w:rPr>
            </w:pPr>
            <w:r>
              <w:rPr>
                <w:rFonts w:ascii="Courier New" w:cs="Courier New" w:eastAsia="Courier New" w:hAnsi="Courier New"/>
                <w:sz w:val="18"/>
                <w:szCs w:val="18"/>
                <w:color w:val="auto"/>
                <w:w w:val="99"/>
              </w:rPr>
              <w:t>shared power to vote or</w:t>
            </w:r>
          </w:p>
        </w:tc>
        <w:tc>
          <w:tcPr>
            <w:tcW w:w="2360" w:type="dxa"/>
            <w:vAlign w:val="bottom"/>
          </w:tcPr>
          <w:p>
            <w:pPr>
              <w:ind w:left="40"/>
              <w:spacing w:after="0"/>
              <w:rPr>
                <w:sz w:val="20"/>
                <w:szCs w:val="20"/>
                <w:color w:val="auto"/>
              </w:rPr>
            </w:pPr>
            <w:r>
              <w:rPr>
                <w:rFonts w:ascii="Courier New" w:cs="Courier New" w:eastAsia="Courier New" w:hAnsi="Courier New"/>
                <w:sz w:val="18"/>
                <w:szCs w:val="18"/>
                <w:color w:val="auto"/>
              </w:rPr>
              <w:t>to direct the vote:</w:t>
            </w:r>
          </w:p>
        </w:tc>
        <w:tc>
          <w:tcPr>
            <w:tcW w:w="420" w:type="dxa"/>
            <w:vAlign w:val="bottom"/>
          </w:tcPr>
          <w:p>
            <w:pPr>
              <w:jc w:val="right"/>
              <w:spacing w:after="0"/>
              <w:rPr>
                <w:sz w:val="20"/>
                <w:szCs w:val="20"/>
                <w:color w:val="auto"/>
              </w:rPr>
            </w:pPr>
            <w:r>
              <w:rPr>
                <w:rFonts w:ascii="Courier New" w:cs="Courier New" w:eastAsia="Courier New" w:hAnsi="Courier New"/>
                <w:sz w:val="18"/>
                <w:szCs w:val="18"/>
                <w:color w:val="auto"/>
              </w:rPr>
              <w:t>0</w:t>
            </w:r>
          </w:p>
        </w:tc>
      </w:tr>
      <w:tr>
        <w:trPr>
          <w:trHeight w:val="405"/>
        </w:trPr>
        <w:tc>
          <w:tcPr>
            <w:tcW w:w="2060" w:type="dxa"/>
            <w:vAlign w:val="bottom"/>
          </w:tcPr>
          <w:p>
            <w:pPr>
              <w:spacing w:after="0"/>
              <w:rPr>
                <w:sz w:val="24"/>
                <w:szCs w:val="24"/>
                <w:color w:val="auto"/>
              </w:rPr>
            </w:pPr>
          </w:p>
        </w:tc>
        <w:tc>
          <w:tcPr>
            <w:tcW w:w="1900" w:type="dxa"/>
            <w:vAlign w:val="bottom"/>
          </w:tcPr>
          <w:p>
            <w:pPr>
              <w:ind w:left="1220"/>
              <w:spacing w:after="0"/>
              <w:rPr>
                <w:sz w:val="20"/>
                <w:szCs w:val="20"/>
                <w:color w:val="auto"/>
              </w:rPr>
            </w:pPr>
            <w:r>
              <w:rPr>
                <w:rFonts w:ascii="Courier New" w:cs="Courier New" w:eastAsia="Courier New" w:hAnsi="Courier New"/>
                <w:sz w:val="18"/>
                <w:szCs w:val="18"/>
                <w:color w:val="auto"/>
              </w:rPr>
              <w:t>(iii)</w:t>
            </w:r>
          </w:p>
        </w:tc>
        <w:tc>
          <w:tcPr>
            <w:tcW w:w="5000" w:type="dxa"/>
            <w:vAlign w:val="bottom"/>
            <w:gridSpan w:val="2"/>
          </w:tcPr>
          <w:p>
            <w:pPr>
              <w:ind w:left="260"/>
              <w:spacing w:after="0"/>
              <w:rPr>
                <w:sz w:val="20"/>
                <w:szCs w:val="20"/>
                <w:color w:val="auto"/>
              </w:rPr>
            </w:pPr>
            <w:r>
              <w:rPr>
                <w:rFonts w:ascii="Courier New" w:cs="Courier New" w:eastAsia="Courier New" w:hAnsi="Courier New"/>
                <w:sz w:val="18"/>
                <w:szCs w:val="18"/>
                <w:color w:val="auto"/>
              </w:rPr>
              <w:t>sole power to dispose or to direct the</w:t>
            </w:r>
          </w:p>
        </w:tc>
        <w:tc>
          <w:tcPr>
            <w:tcW w:w="420" w:type="dxa"/>
            <w:vAlign w:val="bottom"/>
          </w:tcPr>
          <w:p>
            <w:pPr>
              <w:spacing w:after="0"/>
              <w:rPr>
                <w:sz w:val="24"/>
                <w:szCs w:val="24"/>
                <w:color w:val="auto"/>
              </w:rPr>
            </w:pPr>
          </w:p>
        </w:tc>
      </w:tr>
      <w:tr>
        <w:trPr>
          <w:trHeight w:val="203"/>
        </w:trPr>
        <w:tc>
          <w:tcPr>
            <w:tcW w:w="2060" w:type="dxa"/>
            <w:vAlign w:val="bottom"/>
          </w:tcPr>
          <w:p>
            <w:pPr>
              <w:spacing w:after="0" w:line="203" w:lineRule="exact"/>
              <w:rPr>
                <w:sz w:val="20"/>
                <w:szCs w:val="20"/>
                <w:color w:val="auto"/>
              </w:rPr>
            </w:pPr>
            <w:r>
              <w:rPr>
                <w:rFonts w:ascii="Courier New" w:cs="Courier New" w:eastAsia="Courier New" w:hAnsi="Courier New"/>
                <w:sz w:val="18"/>
                <w:szCs w:val="18"/>
                <w:color w:val="auto"/>
              </w:rPr>
              <w:t>disposition of:</w:t>
            </w:r>
          </w:p>
        </w:tc>
        <w:tc>
          <w:tcPr>
            <w:tcW w:w="190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0</w:t>
            </w:r>
          </w:p>
        </w:tc>
        <w:tc>
          <w:tcPr>
            <w:tcW w:w="264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420" w:type="dxa"/>
            <w:vAlign w:val="bottom"/>
          </w:tcPr>
          <w:p>
            <w:pPr>
              <w:spacing w:after="0"/>
              <w:rPr>
                <w:sz w:val="17"/>
                <w:szCs w:val="17"/>
                <w:color w:val="auto"/>
              </w:rPr>
            </w:pPr>
          </w:p>
        </w:tc>
      </w:tr>
      <w:tr>
        <w:trPr>
          <w:trHeight w:val="405"/>
        </w:trPr>
        <w:tc>
          <w:tcPr>
            <w:tcW w:w="2060" w:type="dxa"/>
            <w:vAlign w:val="bottom"/>
          </w:tcPr>
          <w:p>
            <w:pPr>
              <w:spacing w:after="0"/>
              <w:rPr>
                <w:sz w:val="24"/>
                <w:szCs w:val="24"/>
                <w:color w:val="auto"/>
              </w:rPr>
            </w:pPr>
          </w:p>
        </w:tc>
        <w:tc>
          <w:tcPr>
            <w:tcW w:w="1900" w:type="dxa"/>
            <w:vAlign w:val="bottom"/>
          </w:tcPr>
          <w:p>
            <w:pPr>
              <w:ind w:left="1220"/>
              <w:spacing w:after="0"/>
              <w:rPr>
                <w:sz w:val="20"/>
                <w:szCs w:val="20"/>
                <w:color w:val="auto"/>
              </w:rPr>
            </w:pPr>
            <w:r>
              <w:rPr>
                <w:rFonts w:ascii="Courier New" w:cs="Courier New" w:eastAsia="Courier New" w:hAnsi="Courier New"/>
                <w:sz w:val="18"/>
                <w:szCs w:val="18"/>
                <w:color w:val="auto"/>
              </w:rPr>
              <w:t>(iv)</w:t>
            </w:r>
          </w:p>
        </w:tc>
        <w:tc>
          <w:tcPr>
            <w:tcW w:w="2640" w:type="dxa"/>
            <w:vAlign w:val="bottom"/>
          </w:tcPr>
          <w:p>
            <w:pPr>
              <w:ind w:left="160"/>
              <w:spacing w:after="0"/>
              <w:rPr>
                <w:sz w:val="20"/>
                <w:szCs w:val="20"/>
                <w:color w:val="auto"/>
              </w:rPr>
            </w:pPr>
            <w:r>
              <w:rPr>
                <w:rFonts w:ascii="Courier New" w:cs="Courier New" w:eastAsia="Courier New" w:hAnsi="Courier New"/>
                <w:sz w:val="18"/>
                <w:szCs w:val="18"/>
                <w:color w:val="auto"/>
                <w:w w:val="99"/>
              </w:rPr>
              <w:t>shared power to dispose</w:t>
            </w:r>
          </w:p>
        </w:tc>
        <w:tc>
          <w:tcPr>
            <w:tcW w:w="2360" w:type="dxa"/>
            <w:vAlign w:val="bottom"/>
          </w:tcPr>
          <w:p>
            <w:pPr>
              <w:ind w:left="40"/>
              <w:spacing w:after="0"/>
              <w:rPr>
                <w:sz w:val="20"/>
                <w:szCs w:val="20"/>
                <w:color w:val="auto"/>
              </w:rPr>
            </w:pPr>
            <w:r>
              <w:rPr>
                <w:rFonts w:ascii="Courier New" w:cs="Courier New" w:eastAsia="Courier New" w:hAnsi="Courier New"/>
                <w:sz w:val="18"/>
                <w:szCs w:val="18"/>
                <w:color w:val="auto"/>
              </w:rPr>
              <w:t>or to direct the</w:t>
            </w:r>
          </w:p>
        </w:tc>
        <w:tc>
          <w:tcPr>
            <w:tcW w:w="420" w:type="dxa"/>
            <w:vAlign w:val="bottom"/>
          </w:tcPr>
          <w:p>
            <w:pPr>
              <w:spacing w:after="0"/>
              <w:rPr>
                <w:sz w:val="24"/>
                <w:szCs w:val="24"/>
                <w:color w:val="auto"/>
              </w:rPr>
            </w:pPr>
          </w:p>
        </w:tc>
      </w:tr>
      <w:tr>
        <w:trPr>
          <w:trHeight w:val="203"/>
        </w:trPr>
        <w:tc>
          <w:tcPr>
            <w:tcW w:w="2060" w:type="dxa"/>
            <w:vAlign w:val="bottom"/>
          </w:tcPr>
          <w:p>
            <w:pPr>
              <w:spacing w:after="0" w:line="203" w:lineRule="exact"/>
              <w:rPr>
                <w:sz w:val="20"/>
                <w:szCs w:val="20"/>
                <w:color w:val="auto"/>
              </w:rPr>
            </w:pPr>
            <w:r>
              <w:rPr>
                <w:rFonts w:ascii="Courier New" w:cs="Courier New" w:eastAsia="Courier New" w:hAnsi="Courier New"/>
                <w:sz w:val="18"/>
                <w:szCs w:val="18"/>
                <w:color w:val="auto"/>
              </w:rPr>
              <w:t>disposition of:</w:t>
            </w:r>
          </w:p>
        </w:tc>
        <w:tc>
          <w:tcPr>
            <w:tcW w:w="190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0</w:t>
            </w:r>
          </w:p>
        </w:tc>
        <w:tc>
          <w:tcPr>
            <w:tcW w:w="264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420" w:type="dxa"/>
            <w:vAlign w:val="bottom"/>
          </w:tcPr>
          <w:p>
            <w:pPr>
              <w:spacing w:after="0"/>
              <w:rPr>
                <w:sz w:val="17"/>
                <w:szCs w:val="17"/>
                <w:color w:val="auto"/>
              </w:rPr>
            </w:pPr>
          </w:p>
        </w:tc>
      </w:tr>
      <w:tr>
        <w:trPr>
          <w:trHeight w:val="405"/>
        </w:trPr>
        <w:tc>
          <w:tcPr>
            <w:tcW w:w="2060" w:type="dxa"/>
            <w:vAlign w:val="bottom"/>
          </w:tcPr>
          <w:p>
            <w:pPr>
              <w:spacing w:after="0"/>
              <w:rPr>
                <w:sz w:val="20"/>
                <w:szCs w:val="20"/>
                <w:color w:val="auto"/>
              </w:rPr>
            </w:pPr>
            <w:r>
              <w:rPr>
                <w:rFonts w:ascii="Courier New" w:cs="Courier New" w:eastAsia="Courier New" w:hAnsi="Courier New"/>
                <w:sz w:val="18"/>
                <w:szCs w:val="18"/>
                <w:color w:val="auto"/>
              </w:rPr>
              <w:t>Item 5.</w:t>
            </w:r>
          </w:p>
        </w:tc>
        <w:tc>
          <w:tcPr>
            <w:tcW w:w="4540" w:type="dxa"/>
            <w:vAlign w:val="bottom"/>
            <w:gridSpan w:val="2"/>
          </w:tcPr>
          <w:p>
            <w:pPr>
              <w:ind w:left="480"/>
              <w:spacing w:after="0"/>
              <w:rPr>
                <w:sz w:val="20"/>
                <w:szCs w:val="20"/>
                <w:color w:val="auto"/>
              </w:rPr>
            </w:pPr>
            <w:r>
              <w:rPr>
                <w:rFonts w:ascii="Courier New" w:cs="Courier New" w:eastAsia="Courier New" w:hAnsi="Courier New"/>
                <w:sz w:val="18"/>
                <w:szCs w:val="18"/>
                <w:color w:val="auto"/>
                <w:w w:val="98"/>
              </w:rPr>
              <w:t>Ownership of Five Percent or Less of a</w:t>
            </w:r>
          </w:p>
        </w:tc>
        <w:tc>
          <w:tcPr>
            <w:tcW w:w="2360" w:type="dxa"/>
            <w:vAlign w:val="bottom"/>
          </w:tcPr>
          <w:p>
            <w:pPr>
              <w:ind w:left="40"/>
              <w:spacing w:after="0"/>
              <w:rPr>
                <w:sz w:val="20"/>
                <w:szCs w:val="20"/>
                <w:color w:val="auto"/>
              </w:rPr>
            </w:pPr>
            <w:r>
              <w:rPr>
                <w:rFonts w:ascii="Courier New" w:cs="Courier New" w:eastAsia="Courier New" w:hAnsi="Courier New"/>
                <w:sz w:val="18"/>
                <w:szCs w:val="18"/>
                <w:color w:val="auto"/>
              </w:rPr>
              <w:t>Class.</w:t>
            </w:r>
          </w:p>
        </w:tc>
        <w:tc>
          <w:tcPr>
            <w:tcW w:w="420" w:type="dxa"/>
            <w:vAlign w:val="bottom"/>
          </w:tcPr>
          <w:p>
            <w:pPr>
              <w:spacing w:after="0"/>
              <w:rPr>
                <w:sz w:val="24"/>
                <w:szCs w:val="24"/>
                <w:color w:val="auto"/>
              </w:rPr>
            </w:pPr>
          </w:p>
        </w:tc>
      </w:tr>
    </w:tbl>
    <w:p>
      <w:pPr>
        <w:spacing w:after="0" w:line="207" w:lineRule="exact"/>
        <w:rPr>
          <w:sz w:val="20"/>
          <w:szCs w:val="20"/>
          <w:color w:val="auto"/>
        </w:rPr>
      </w:pPr>
    </w:p>
    <w:p>
      <w:pPr>
        <w:ind w:right="1459" w:firstLine="2529"/>
        <w:spacing w:after="0" w:line="236" w:lineRule="auto"/>
        <w:rPr>
          <w:sz w:val="20"/>
          <w:szCs w:val="20"/>
          <w:color w:val="auto"/>
        </w:rPr>
      </w:pPr>
      <w:r>
        <w:rPr>
          <w:rFonts w:ascii="Courier New" w:cs="Courier New" w:eastAsia="Courier New" w:hAnsi="Courier New"/>
          <w:sz w:val="18"/>
          <w:szCs w:val="18"/>
          <w:color w:val="auto"/>
        </w:rPr>
        <w:t>If this statement is being filed to report the fact that as of the date hereof,the reporting person has ceased to be the beneficial owner of any of the class of securities, check the following (X).</w:t>
      </w:r>
    </w:p>
    <w:p>
      <w:pPr>
        <w:spacing w:after="0" w:line="209" w:lineRule="exact"/>
        <w:rPr>
          <w:sz w:val="20"/>
          <w:szCs w:val="20"/>
          <w:color w:val="auto"/>
        </w:rPr>
      </w:pPr>
    </w:p>
    <w:p>
      <w:pPr>
        <w:ind w:right="1779"/>
        <w:spacing w:after="0"/>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398"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207" w:lineRule="exact"/>
        <w:rPr>
          <w:sz w:val="20"/>
          <w:szCs w:val="20"/>
          <w:color w:val="auto"/>
        </w:rPr>
      </w:pPr>
    </w:p>
    <w:p>
      <w:pPr>
        <w:ind w:right="1679"/>
        <w:spacing w:after="0" w:line="235"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spacing w:after="0" w:line="203"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See attached Exhibit A.</w:t>
      </w:r>
    </w:p>
    <w:p>
      <w:pPr>
        <w:sectPr>
          <w:pgSz w:w="11900" w:h="16838" w:orient="portrait"/>
          <w:cols w:equalWidth="0" w:num="1">
            <w:col w:w="10219"/>
          </w:cols>
          <w:pgMar w:left="240" w:top="339" w:right="1440" w:bottom="0" w:gutter="0" w:footer="0" w:header="0"/>
        </w:sect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8.</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Identification and Classification of Members of the Group.</w:t>
      </w:r>
    </w:p>
    <w:p>
      <w:pPr>
        <w:spacing w:after="0" w:line="200" w:lineRule="exact"/>
        <w:rPr>
          <w:sz w:val="20"/>
          <w:szCs w:val="20"/>
          <w:color w:val="auto"/>
        </w:rPr>
      </w:pPr>
    </w:p>
    <w:p>
      <w:pPr>
        <w:sectPr>
          <w:pgSz w:w="11900" w:h="16838" w:orient="portrait"/>
          <w:cols w:equalWidth="0" w:num="2">
            <w:col w:w="1820" w:space="720"/>
            <w:col w:w="7679"/>
          </w:cols>
          <w:pgMar w:left="240" w:top="339" w:right="1440" w:bottom="0" w:gutter="0" w:footer="0" w:header="0"/>
          <w:type w:val="continuous"/>
        </w:sectPr>
      </w:pPr>
    </w:p>
    <w:p>
      <w:pPr>
        <w:spacing w:after="0" w:line="24" w:lineRule="exact"/>
        <w:rPr>
          <w:sz w:val="20"/>
          <w:szCs w:val="20"/>
          <w:color w:val="auto"/>
        </w:rPr>
      </w:pPr>
    </w:p>
    <w:p>
      <w:pPr>
        <w:ind w:left="2540"/>
        <w:spacing w:after="0"/>
        <w:rPr>
          <w:sz w:val="20"/>
          <w:szCs w:val="20"/>
          <w:color w:val="auto"/>
        </w:rPr>
      </w:pPr>
      <w:r>
        <w:rPr>
          <w:rFonts w:ascii="Courier New" w:cs="Courier New" w:eastAsia="Courier New" w:hAnsi="Courier New"/>
          <w:sz w:val="16"/>
          <w:szCs w:val="16"/>
          <w:color w:val="auto"/>
        </w:rPr>
        <w:t>Not applicable.</w:t>
      </w:r>
    </w:p>
    <w:p>
      <w:pPr>
        <w:sectPr>
          <w:pgSz w:w="11900" w:h="16838" w:orient="portrait"/>
          <w:cols w:equalWidth="0" w:num="1">
            <w:col w:w="10219"/>
          </w:cols>
          <w:pgMar w:left="240" w:top="339" w:right="1440" w:bottom="0" w:gutter="0" w:footer="0" w:header="0"/>
          <w:type w:val="continuous"/>
        </w:sectPr>
      </w:pP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9.</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Notice of Dissolution of Group.</w:t>
      </w:r>
    </w:p>
    <w:p>
      <w:pPr>
        <w:spacing w:after="0" w:line="200" w:lineRule="exact"/>
        <w:rPr>
          <w:sz w:val="20"/>
          <w:szCs w:val="20"/>
          <w:color w:val="auto"/>
        </w:rPr>
      </w:pPr>
    </w:p>
    <w:p>
      <w:pPr>
        <w:sectPr>
          <w:pgSz w:w="11900" w:h="16838" w:orient="portrait"/>
          <w:cols w:equalWidth="0" w:num="2">
            <w:col w:w="1820" w:space="720"/>
            <w:col w:w="7679"/>
          </w:cols>
          <w:pgMar w:left="240" w:top="339" w:right="1440" w:bottom="0" w:gutter="0" w:footer="0" w:header="0"/>
          <w:type w:val="continuous"/>
        </w:sectPr>
      </w:pPr>
    </w:p>
    <w:p>
      <w:pPr>
        <w:spacing w:after="0" w:line="24" w:lineRule="exact"/>
        <w:rPr>
          <w:sz w:val="20"/>
          <w:szCs w:val="20"/>
          <w:color w:val="auto"/>
        </w:rPr>
      </w:pPr>
    </w:p>
    <w:p>
      <w:pPr>
        <w:ind w:left="2540"/>
        <w:spacing w:after="0"/>
        <w:rPr>
          <w:sz w:val="20"/>
          <w:szCs w:val="20"/>
          <w:color w:val="auto"/>
        </w:rPr>
      </w:pPr>
      <w:r>
        <w:rPr>
          <w:rFonts w:ascii="Courier New" w:cs="Courier New" w:eastAsia="Courier New" w:hAnsi="Courier New"/>
          <w:sz w:val="16"/>
          <w:szCs w:val="16"/>
          <w:color w:val="auto"/>
        </w:rPr>
        <w:t>Not applicable.</w:t>
      </w:r>
    </w:p>
    <w:p>
      <w:pPr>
        <w:sectPr>
          <w:pgSz w:w="11900" w:h="16838" w:orient="portrait"/>
          <w:cols w:equalWidth="0" w:num="1">
            <w:col w:w="10219"/>
          </w:cols>
          <w:pgMar w:left="240" w:top="339" w:right="1440" w:bottom="0" w:gutter="0" w:footer="0" w:header="0"/>
          <w:type w:val="continuous"/>
        </w:sectPr>
      </w:pP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10.</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Certifications.</w:t>
      </w:r>
    </w:p>
    <w:p>
      <w:pPr>
        <w:spacing w:after="0" w:line="200" w:lineRule="exact"/>
        <w:rPr>
          <w:sz w:val="20"/>
          <w:szCs w:val="20"/>
          <w:color w:val="auto"/>
        </w:rPr>
      </w:pPr>
    </w:p>
    <w:p>
      <w:pPr>
        <w:sectPr>
          <w:pgSz w:w="11900" w:h="16838" w:orient="portrait"/>
          <w:cols w:equalWidth="0" w:num="2">
            <w:col w:w="1820" w:space="720"/>
            <w:col w:w="7679"/>
          </w:cols>
          <w:pgMar w:left="240" w:top="339" w:right="1440" w:bottom="0" w:gutter="0" w:footer="0" w:header="0"/>
          <w:type w:val="continuous"/>
        </w:sectPr>
      </w:pPr>
    </w:p>
    <w:p>
      <w:pPr>
        <w:spacing w:after="0" w:line="200" w:lineRule="exact"/>
        <w:rPr>
          <w:sz w:val="20"/>
          <w:szCs w:val="20"/>
          <w:color w:val="auto"/>
        </w:rPr>
      </w:pPr>
    </w:p>
    <w:p>
      <w:pPr>
        <w:spacing w:after="0" w:line="229" w:lineRule="exact"/>
        <w:rPr>
          <w:sz w:val="20"/>
          <w:szCs w:val="20"/>
          <w:color w:val="auto"/>
        </w:rPr>
      </w:pPr>
    </w:p>
    <w:p>
      <w:pPr>
        <w:ind w:right="2319"/>
        <w:spacing w:after="0" w:line="272"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3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241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February 13, 2017</w:t>
      </w:r>
    </w:p>
    <w:p>
      <w:pPr>
        <w:ind w:left="860"/>
        <w:spacing w:after="0" w:line="238" w:lineRule="auto"/>
        <w:rPr>
          <w:sz w:val="20"/>
          <w:szCs w:val="20"/>
          <w:color w:val="auto"/>
        </w:rPr>
      </w:pPr>
      <w:r>
        <w:rPr>
          <w:rFonts w:ascii="Courier New" w:cs="Courier New" w:eastAsia="Courier New" w:hAnsi="Courier New"/>
          <w:sz w:val="18"/>
          <w:szCs w:val="18"/>
          <w:color w:val="auto"/>
        </w:rPr>
        <w:t>Date</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 Marc R. Bryant</w:t>
      </w:r>
    </w:p>
    <w:p>
      <w:pPr>
        <w:ind w:left="860"/>
        <w:spacing w:after="0" w:line="238" w:lineRule="auto"/>
        <w:rPr>
          <w:sz w:val="20"/>
          <w:szCs w:val="20"/>
          <w:color w:val="auto"/>
        </w:rPr>
      </w:pPr>
      <w:r>
        <w:rPr>
          <w:rFonts w:ascii="Courier New" w:cs="Courier New" w:eastAsia="Courier New" w:hAnsi="Courier New"/>
          <w:sz w:val="18"/>
          <w:szCs w:val="18"/>
          <w:color w:val="auto"/>
        </w:rPr>
        <w:t>Signature</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Marc R. Bryant</w:t>
      </w:r>
    </w:p>
    <w:p>
      <w:pPr>
        <w:spacing w:after="0" w:line="4" w:lineRule="exact"/>
        <w:rPr>
          <w:sz w:val="20"/>
          <w:szCs w:val="20"/>
          <w:color w:val="auto"/>
        </w:rPr>
      </w:pPr>
    </w:p>
    <w:p>
      <w:pPr>
        <w:ind w:right="1999" w:firstLine="948"/>
        <w:spacing w:after="0" w:line="290" w:lineRule="auto"/>
        <w:rPr>
          <w:sz w:val="20"/>
          <w:szCs w:val="20"/>
          <w:color w:val="auto"/>
        </w:rPr>
      </w:pPr>
      <w:r>
        <w:rPr>
          <w:rFonts w:ascii="Courier New" w:cs="Courier New" w:eastAsia="Courier New" w:hAnsi="Courier New"/>
          <w:sz w:val="16"/>
          <w:szCs w:val="16"/>
          <w:color w:val="auto"/>
        </w:rPr>
        <w:t>Duly authorized under Power of Attorney effective as of September 23, 2015, by and on behalf of FMR LLC and its direct and indirect subsidiaries*</w:t>
      </w:r>
    </w:p>
    <w:p>
      <w:pPr>
        <w:spacing w:after="0" w:line="372" w:lineRule="exact"/>
        <w:rPr>
          <w:sz w:val="20"/>
          <w:szCs w:val="20"/>
          <w:color w:val="auto"/>
        </w:rPr>
      </w:pPr>
    </w:p>
    <w:p>
      <w:pPr>
        <w:ind w:right="2419" w:firstLine="8"/>
        <w:spacing w:after="0" w:line="236" w:lineRule="auto"/>
        <w:tabs>
          <w:tab w:leader="none" w:pos="211"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is incorporated herein by reference to Exhibit 24 to the Schedule 13G filed by FMR LLC on June 10, 2016, accession number: 0000315066-16-005935</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2839" w:firstLine="1685"/>
        <w:spacing w:after="0" w:line="235" w:lineRule="auto"/>
        <w:rPr>
          <w:sz w:val="20"/>
          <w:szCs w:val="20"/>
          <w:color w:val="auto"/>
        </w:rPr>
      </w:pPr>
      <w:r>
        <w:rPr>
          <w:rFonts w:ascii="Courier New" w:cs="Courier New" w:eastAsia="Courier New" w:hAnsi="Courier New"/>
          <w:sz w:val="18"/>
          <w:szCs w:val="18"/>
          <w:color w:val="auto"/>
        </w:rPr>
        <w:t>Abigail P. Johnson is a Director, the Chairman and the Chief Executive Officer of FMR LLC.</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right="2419" w:firstLine="1685"/>
        <w:spacing w:after="0" w:line="279" w:lineRule="auto"/>
        <w:rPr>
          <w:sz w:val="20"/>
          <w:szCs w:val="20"/>
          <w:color w:val="auto"/>
        </w:rPr>
      </w:pPr>
      <w:r>
        <w:rPr>
          <w:rFonts w:ascii="Courier New" w:cs="Courier New" w:eastAsia="Courier New" w:hAnsi="Courier New"/>
          <w:sz w:val="16"/>
          <w:szCs w:val="16"/>
          <w:color w:val="auto"/>
        </w:rPr>
        <w:t>Members of the Johnson family, including Abigail P. Johnson, are the predominant owners, directly or through trusts, of Series B voting common shares of FMR LLC, representing 49% of the voting power of</w:t>
      </w:r>
    </w:p>
    <w:p>
      <w:pPr>
        <w:sectPr>
          <w:pgSz w:w="11900" w:h="16838" w:orient="portrait"/>
          <w:cols w:equalWidth="0" w:num="1">
            <w:col w:w="10219"/>
          </w:cols>
          <w:pgMar w:left="240" w:top="339" w:right="1440" w:bottom="0" w:gutter="0" w:footer="0" w:header="0"/>
          <w:type w:val="continuous"/>
        </w:sectPr>
      </w:pPr>
    </w:p>
    <w:bookmarkStart w:id="2" w:name="page3"/>
    <w:bookmarkEnd w:id="2"/>
    <w:p>
      <w:pPr>
        <w:ind w:right="2319"/>
        <w:spacing w:after="0" w:line="237" w:lineRule="auto"/>
        <w:rPr>
          <w:sz w:val="20"/>
          <w:szCs w:val="20"/>
          <w:color w:val="auto"/>
        </w:rPr>
      </w:pPr>
      <w:r>
        <w:rPr>
          <w:rFonts w:ascii="Courier New" w:cs="Courier New" w:eastAsia="Courier New" w:hAnsi="Courier New"/>
          <w:sz w:val="18"/>
          <w:szCs w:val="18"/>
          <w:color w:val="auto"/>
        </w:rPr>
        <w:t>FMR LLC. 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 FMR LLC.</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2319" w:firstLine="1685"/>
        <w:spacing w:after="0" w:line="271" w:lineRule="auto"/>
        <w:rPr>
          <w:sz w:val="20"/>
          <w:szCs w:val="20"/>
          <w:color w:val="auto"/>
        </w:rPr>
      </w:pPr>
      <w:r>
        <w:rPr>
          <w:rFonts w:ascii="Courier New" w:cs="Courier New" w:eastAsia="Courier New" w:hAnsi="Courier New"/>
          <w:sz w:val="16"/>
          <w:szCs w:val="16"/>
          <w:color w:val="auto"/>
        </w:rPr>
        <w:t>This filing reflects the securities beneficially owned, or that may be deemed to be beneficially owned, by FMR LLC, certain of its subsidiaries and affiliates, and other companies (collectively, the "FMR Reporters"). This filing does not reflect securities, if any, beneficially owned by certain other companies whose beneficial ownership of securities is disaggregated from that of the FMR Reporters in accordance with Securities and Exchange Commission Release No. 34-39538 (January 12, 1998).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RULE 13d-1(k)(1) AGREEMENT</w:t>
      </w:r>
    </w:p>
    <w:p>
      <w:pPr>
        <w:spacing w:after="0" w:line="200" w:lineRule="exact"/>
        <w:rPr>
          <w:sz w:val="20"/>
          <w:szCs w:val="20"/>
          <w:color w:val="auto"/>
        </w:rPr>
      </w:pPr>
    </w:p>
    <w:p>
      <w:pPr>
        <w:spacing w:after="0" w:line="209" w:lineRule="exact"/>
        <w:rPr>
          <w:sz w:val="20"/>
          <w:szCs w:val="20"/>
          <w:color w:val="auto"/>
        </w:rPr>
      </w:pPr>
    </w:p>
    <w:p>
      <w:pPr>
        <w:ind w:right="2619" w:firstLine="1685"/>
        <w:spacing w:after="0" w:line="237" w:lineRule="auto"/>
        <w:rPr>
          <w:sz w:val="20"/>
          <w:szCs w:val="20"/>
          <w:color w:val="auto"/>
        </w:rPr>
      </w:pPr>
      <w:r>
        <w:rPr>
          <w:rFonts w:ascii="Courier New" w:cs="Courier New" w:eastAsia="Courier New" w:hAnsi="Courier New"/>
          <w:sz w:val="18"/>
          <w:szCs w:val="18"/>
          <w:color w:val="auto"/>
        </w:rPr>
        <w:t>The undersigned persons, on February 13, 2017, agree and consent to the joint filing on their behalf of this Schedule 13G in connection with their beneficial ownership of the COMMON STOCK of KORNIT DIGITAL LTD at December 30, 2016.</w:t>
      </w:r>
    </w:p>
    <w:p>
      <w:pPr>
        <w:spacing w:after="0" w:line="200" w:lineRule="exact"/>
        <w:rPr>
          <w:sz w:val="20"/>
          <w:szCs w:val="20"/>
          <w:color w:val="auto"/>
        </w:rPr>
      </w:pPr>
    </w:p>
    <w:p>
      <w:pPr>
        <w:spacing w:after="0" w:line="204"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FMR LLC</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By /s/ Marc R. Bryant</w:t>
      </w:r>
    </w:p>
    <w:p>
      <w:pPr>
        <w:ind w:left="860"/>
        <w:spacing w:after="0" w:line="238" w:lineRule="auto"/>
        <w:rPr>
          <w:sz w:val="20"/>
          <w:szCs w:val="20"/>
          <w:color w:val="auto"/>
        </w:rPr>
      </w:pPr>
      <w:r>
        <w:rPr>
          <w:rFonts w:ascii="Courier New" w:cs="Courier New" w:eastAsia="Courier New" w:hAnsi="Courier New"/>
          <w:sz w:val="18"/>
          <w:szCs w:val="18"/>
          <w:color w:val="auto"/>
        </w:rPr>
        <w:t>Marc R. Bryant</w:t>
      </w:r>
    </w:p>
    <w:p>
      <w:pPr>
        <w:spacing w:after="0" w:line="5" w:lineRule="exact"/>
        <w:rPr>
          <w:sz w:val="20"/>
          <w:szCs w:val="20"/>
          <w:color w:val="auto"/>
        </w:rPr>
      </w:pPr>
    </w:p>
    <w:p>
      <w:pPr>
        <w:ind w:right="2099" w:firstLine="843"/>
        <w:spacing w:after="0" w:line="290" w:lineRule="auto"/>
        <w:rPr>
          <w:sz w:val="20"/>
          <w:szCs w:val="20"/>
          <w:color w:val="auto"/>
        </w:rPr>
      </w:pPr>
      <w:r>
        <w:rPr>
          <w:rFonts w:ascii="Courier New" w:cs="Courier New" w:eastAsia="Courier New" w:hAnsi="Courier New"/>
          <w:sz w:val="16"/>
          <w:szCs w:val="16"/>
          <w:color w:val="auto"/>
        </w:rPr>
        <w:t>Duly authorized under Power of Attorney effective as of September 23, 2015, by and on behalf of FMR LLC and its direct and indirect subsidiaries*</w:t>
      </w:r>
    </w:p>
    <w:p>
      <w:pPr>
        <w:spacing w:after="0" w:line="164"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Abigail P. Johnson</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By /s/ Marc R. Bryant</w:t>
      </w:r>
    </w:p>
    <w:p>
      <w:pPr>
        <w:ind w:left="860"/>
        <w:spacing w:after="0" w:line="238" w:lineRule="auto"/>
        <w:rPr>
          <w:sz w:val="20"/>
          <w:szCs w:val="20"/>
          <w:color w:val="auto"/>
        </w:rPr>
      </w:pPr>
      <w:r>
        <w:rPr>
          <w:rFonts w:ascii="Courier New" w:cs="Courier New" w:eastAsia="Courier New" w:hAnsi="Courier New"/>
          <w:sz w:val="18"/>
          <w:szCs w:val="18"/>
          <w:color w:val="auto"/>
        </w:rPr>
        <w:t>Marc R. Bryant</w:t>
      </w:r>
    </w:p>
    <w:p>
      <w:pPr>
        <w:spacing w:after="0" w:line="5" w:lineRule="exact"/>
        <w:rPr>
          <w:sz w:val="20"/>
          <w:szCs w:val="20"/>
          <w:color w:val="auto"/>
        </w:rPr>
      </w:pPr>
    </w:p>
    <w:p>
      <w:pPr>
        <w:ind w:right="2199" w:firstLine="843"/>
        <w:spacing w:after="0" w:line="235" w:lineRule="auto"/>
        <w:rPr>
          <w:sz w:val="20"/>
          <w:szCs w:val="20"/>
          <w:color w:val="auto"/>
        </w:rPr>
      </w:pPr>
      <w:r>
        <w:rPr>
          <w:rFonts w:ascii="Courier New" w:cs="Courier New" w:eastAsia="Courier New" w:hAnsi="Courier New"/>
          <w:sz w:val="18"/>
          <w:szCs w:val="18"/>
          <w:color w:val="auto"/>
        </w:rPr>
        <w:t>Duly authorized under Power of Attorney effective as of December 16, 2015, by and on behalf of Abigail P. Johnson*</w:t>
      </w:r>
    </w:p>
    <w:p>
      <w:pPr>
        <w:spacing w:after="0" w:line="200" w:lineRule="exact"/>
        <w:rPr>
          <w:sz w:val="20"/>
          <w:szCs w:val="20"/>
          <w:color w:val="auto"/>
        </w:rPr>
      </w:pPr>
    </w:p>
    <w:p>
      <w:pPr>
        <w:spacing w:after="0" w:line="211" w:lineRule="exact"/>
        <w:rPr>
          <w:sz w:val="20"/>
          <w:szCs w:val="20"/>
          <w:color w:val="auto"/>
        </w:rPr>
      </w:pPr>
    </w:p>
    <w:p>
      <w:pPr>
        <w:ind w:right="2419" w:firstLine="8"/>
        <w:spacing w:after="0" w:line="236" w:lineRule="auto"/>
        <w:tabs>
          <w:tab w:leader="none" w:pos="211"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is incorporated herein by reference to Exhibit 24 to the Schedule 13G filed by FMR LLC on June 10, 2016, accession number: 0000315066-16-005935</w:t>
      </w:r>
    </w:p>
    <w:sectPr>
      <w:pgSz w:w="11900" w:h="16838" w:orient="portrait"/>
      <w:cols w:equalWidth="0" w:num="1">
        <w:col w:w="10219"/>
      </w:cols>
      <w:pgMar w:left="2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lowerRoman"/>
      <w:start w:val="10"/>
    </w:lvl>
  </w:abstractNum>
  <w:abstractNum w:abstractNumId="1">
    <w:nsid w:val="19495CFF"/>
    <w:multiLevelType w:val="hybridMultilevel"/>
    <w:lvl w:ilvl="0">
      <w:lvlJc w:val="left"/>
      <w:lvlText w:val="(%1)"/>
      <w:numFmt w:val="lowerLetter"/>
      <w:start w:val="3"/>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2019-12-08T01:24:35Z</dcterms:created>
  <dcterms:modified xsi:type="dcterms:W3CDTF">2019-12-08T01:24:35Z</dcterms:modified>
</cp:coreProperties>
</file>