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May 2015</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700" w:right="1719" w:hanging="4700"/>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29" w:right="1440"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ind w:firstLine="638"/>
        <w:spacing w:after="0" w:line="282" w:lineRule="auto"/>
        <w:rPr>
          <w:sz w:val="20"/>
          <w:szCs w:val="20"/>
          <w:color w:val="auto"/>
        </w:rPr>
      </w:pPr>
      <w:r>
        <w:rPr>
          <w:rFonts w:ascii="Arial" w:cs="Arial" w:eastAsia="Arial" w:hAnsi="Arial"/>
          <w:sz w:val="18"/>
          <w:szCs w:val="18"/>
          <w:color w:val="auto"/>
        </w:rPr>
        <w:t>On May 6, 2015, Kornit Digital Ltd.(the “</w:t>
      </w:r>
      <w:r>
        <w:rPr>
          <w:rFonts w:ascii="Arial" w:cs="Arial" w:eastAsia="Arial" w:hAnsi="Arial"/>
          <w:sz w:val="18"/>
          <w:szCs w:val="18"/>
          <w:b w:val="1"/>
          <w:bCs w:val="1"/>
          <w:color w:val="auto"/>
        </w:rPr>
        <w:t>Company</w:t>
      </w:r>
      <w:r>
        <w:rPr>
          <w:rFonts w:ascii="Arial" w:cs="Arial" w:eastAsia="Arial" w:hAnsi="Arial"/>
          <w:sz w:val="18"/>
          <w:szCs w:val="18"/>
          <w:color w:val="auto"/>
        </w:rPr>
        <w:t>”) issued a press release entitled “Kornit Digital Reports First Quarter 2015 Results.” A copy of this press release is furnished as Exhibit 99.1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1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May 6, 2015</w:t>
            </w:r>
          </w:p>
        </w:tc>
        <w:tc>
          <w:tcPr>
            <w:tcW w:w="7660" w:type="dxa"/>
            <w:vAlign w:val="bottom"/>
            <w:gridSpan w:val="2"/>
          </w:tcPr>
          <w:p>
            <w:pPr>
              <w:ind w:left="2420"/>
              <w:spacing w:after="0"/>
              <w:rPr>
                <w:sz w:val="20"/>
                <w:szCs w:val="20"/>
                <w:color w:val="auto"/>
              </w:rPr>
            </w:pPr>
            <w:r>
              <w:rPr>
                <w:rFonts w:ascii="Arial" w:cs="Arial" w:eastAsia="Arial" w:hAnsi="Arial"/>
                <w:sz w:val="18"/>
                <w:szCs w:val="18"/>
                <w:color w:val="auto"/>
              </w:rPr>
              <w:t>KORNIT DIGITAL LTD.</w:t>
            </w:r>
          </w:p>
        </w:tc>
      </w:tr>
      <w:tr>
        <w:trPr>
          <w:trHeight w:val="432"/>
        </w:trPr>
        <w:tc>
          <w:tcPr>
            <w:tcW w:w="3760" w:type="dxa"/>
            <w:vAlign w:val="bottom"/>
          </w:tcPr>
          <w:p>
            <w:pPr>
              <w:spacing w:after="0"/>
              <w:rPr>
                <w:sz w:val="24"/>
                <w:szCs w:val="24"/>
                <w:color w:val="auto"/>
              </w:rPr>
            </w:pPr>
          </w:p>
        </w:tc>
        <w:tc>
          <w:tcPr>
            <w:tcW w:w="3220" w:type="dxa"/>
            <w:vAlign w:val="bottom"/>
          </w:tcPr>
          <w:p>
            <w:pPr>
              <w:ind w:left="24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195"/>
        </w:trPr>
        <w:tc>
          <w:tcPr>
            <w:tcW w:w="3760" w:type="dxa"/>
            <w:vAlign w:val="bottom"/>
          </w:tcPr>
          <w:p>
            <w:pPr>
              <w:spacing w:after="0"/>
              <w:rPr>
                <w:sz w:val="16"/>
                <w:szCs w:val="16"/>
                <w:color w:val="auto"/>
              </w:rPr>
            </w:pPr>
          </w:p>
        </w:tc>
        <w:tc>
          <w:tcPr>
            <w:tcW w:w="3220" w:type="dxa"/>
            <w:vAlign w:val="bottom"/>
          </w:tcPr>
          <w:p>
            <w:pPr>
              <w:ind w:left="2420"/>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Guy Avidan</w:t>
            </w:r>
          </w:p>
        </w:tc>
      </w:tr>
      <w:tr>
        <w:trPr>
          <w:trHeight w:val="230"/>
        </w:trPr>
        <w:tc>
          <w:tcPr>
            <w:tcW w:w="3760" w:type="dxa"/>
            <w:vAlign w:val="bottom"/>
          </w:tcPr>
          <w:p>
            <w:pPr>
              <w:spacing w:after="0"/>
              <w:rPr>
                <w:sz w:val="20"/>
                <w:szCs w:val="20"/>
                <w:color w:val="auto"/>
              </w:rPr>
            </w:pPr>
          </w:p>
        </w:tc>
        <w:tc>
          <w:tcPr>
            <w:tcW w:w="3220" w:type="dxa"/>
            <w:vAlign w:val="bottom"/>
          </w:tcPr>
          <w:p>
            <w:pPr>
              <w:ind w:left="242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7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10"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10219"/>
          </w:cols>
          <w:pgMar w:left="240" w:top="1026" w:right="1440"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0" w:lineRule="exact"/>
        <w:rPr>
          <w:sz w:val="20"/>
          <w:szCs w:val="20"/>
          <w:color w:val="auto"/>
        </w:rPr>
      </w:pPr>
    </w:p>
    <w:p>
      <w:pPr>
        <w:sectPr>
          <w:pgSz w:w="11900" w:h="16838" w:orient="portrait"/>
          <w:cols w:equalWidth="0" w:num="2">
            <w:col w:w="1000" w:space="720"/>
            <w:col w:w="8499"/>
          </w:cols>
          <w:pgMar w:left="240" w:top="1026"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Press release dated May 6, 2015 entitled “Kornit Digital Reports First Quarter 2015 Results”</w:t>
      </w:r>
    </w:p>
    <w:p>
      <w:pPr>
        <w:sectPr>
          <w:pgSz w:w="11900" w:h="16838" w:orient="portrait"/>
          <w:cols w:equalWidth="0" w:num="2">
            <w:col w:w="1000" w:space="720"/>
            <w:col w:w="8499"/>
          </w:cols>
          <w:pgMar w:left="240" w:top="1026" w:right="1440"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312A25"/>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12A25"/>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12A25"/>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509395" cy="909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9395"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First Quarter 2015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First-quarter 2015 sales of $17.6 million, an increase of 32.8% over the prior year</w:t>
      </w:r>
    </w:p>
    <w:p>
      <w:pPr>
        <w:spacing w:after="0" w:line="23" w:lineRule="exact"/>
        <w:rPr>
          <w:rFonts w:ascii="Arial" w:cs="Arial" w:eastAsia="Arial" w:hAnsi="Arial"/>
          <w:sz w:val="18"/>
          <w:szCs w:val="18"/>
          <w:color w:val="auto"/>
        </w:rPr>
      </w:pPr>
    </w:p>
    <w:p>
      <w:pPr>
        <w:ind w:left="340" w:right="5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$0.9 million for the first quarter; GAAP net loss of $0.2 million including one time acquisition related expenses of $0.6 million</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diluted earnings per share of $0.08; GAAP net loss of $0.02 per share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acquisition of assets from Polymeric Imaging Inc.</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Rosh-Ha`Ayin, Israel – May 6, 2015 – </w:t>
      </w:r>
      <w:r>
        <w:rPr>
          <w:rFonts w:ascii="Arial" w:cs="Arial" w:eastAsia="Arial" w:hAnsi="Arial"/>
          <w:sz w:val="18"/>
          <w:szCs w:val="18"/>
          <w:color w:val="auto"/>
        </w:rPr>
        <w:t>Kornit Digital Ltd. (NASDAQ:KRNT), a leading provider of digital printing solutions for the global printed textile</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today reported results for the first quarter ended March 31, 2015.</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Non-GAAP net income in the first quarter of 2015 was $0.9 million, or $0.08 per diluted share on sales of $17.6 million. This compares with non-GAAP net loss of $1.6 million, or $0.18 per diluted share, on sales of $13.3 million in the first quarter of 2014. On a GAAP basis, the company reported a net loss of $0.2 million, or a loss of $0.02 per diluted share, compared to a net loss of $1.7 million, or a loss of $0.19 per diluted share in the first quarter of 2014. In the first quarter of 2015, GAAP results included costs related to the one time acquisition of assets from Polymeric Imaging Inc. of approximately $0.6 million.</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Improved earnings versus the first quarter of the prior year were primarily attributable to a 32.8% increase in revenue to $17.6 million, and an improvement in reported gross margin to 45.1%, from 33.9% for the same period in the prior year. Higher revenues were widespread, with positive contributions from ink and consumables, higher system revenue, and an increase in demand for services. Margin improvement primarily resulted from higher ink sales, a mix shift to higher priced high throughput systems, and better absorption of costs associated with services as this business continues to grow.</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Gabi Seligsohn, Kornit Digital’s Chief Executive Officer, commented, “We are very pleased to report a strong first quarter as a public company, and expect to build momentum as we progress through the year. We believe our innovative and disruptive printing technology has become an enabler of the textile industry’s trend towards mass customization and personalization. We will continue to drive value to our customers as we move our business strategy forward and set ourselves apart by continuously adding innovation to our product offering, closely collaborating with customers to increase system utilization while increasing our served addressable market as we expand our reach into the roll-to-roll market.”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Update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achieved several meaningful milestones during the quarter, including:</w:t>
      </w:r>
    </w:p>
    <w:p>
      <w:pPr>
        <w:spacing w:after="0" w:line="211"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initial public offering and listing on the NASDAQ stock exchange on April 2, 2015, which raised a total of $75.9 million, net. Mr. Seligsohn added, “We are proud and thankful to investors who participated in our initial public offering, and the confidence they placed in our team. This is a major milestone for Kornit.”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assets from Polymeric Imaging Inc, located in Kansas City, Missouri. Polymeric Imaging held important IP that closely aligns with Kornit’s portfolio, and add capabilities that further solidify Kornit’s position as a leading company in the DTG market.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significant marketing events included Kornit’s attendance of several exhibitions including ISS in Long Beach, Heimetextile in Germany and Premier Vision in Paris.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first quarter of 2015, Kornit reported sales of $17.6 million, an increase of 32.8% compared with prior-year period level of $13.3 million. Higher sales were the result of contributions from all aspects of the business, including systems and services as well as ink and consumables.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Non-GAAP gross margin as a percentage of sales in the first quarter of 2015 was 45.7%, compared with 34.3% in the prior-year period. Gross margin improvement was driven by a higher mix of higher margin high-throughput systems, an increase in sales of higher margin ink and consumables, and incremental progress of services toward the break-even level. On a GAAP basis, gross margin was $7.9 million, or 45.1% of sales.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Non-GAAP operating expenses in the first quarter increased to $6.7 million, compared to $6.0 million in the prior year quarter. However, as a percent of sales, adjusted operating expenses for the first quarter were 37.9% of sales, a decrease from 45.5% of sales in the prior year and reflective of leverage on higher sales, coupled with slower than anticipated hiring of new staff. On a GAAP basis, operating expenses were $7.7 million, or 43.5% during the quarter.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research and development as a percentage of sales was 15.5%, or $2.7 million, compared to 16.1%, or $2.1 million in the prior-year. On a GAAP basis, research and development expenses were $2.9 million, or 16.2% of sales during the quarter.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net earnings for the first quarter of 2015 were $0.9 million, or $0.08 per diluted share, compared with a Non-GAAP net loss of $1.6 million, or $0.18 in the prior year period.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 GAAP basis, the Company reported a net loss of $0.2 million, or $0.02 per diluted share, including one time acquisition related expenses of $0.6 million for assets of Polymeric Imaging Inc. This compares to a net loss of $1.7 million, or $0.19 per diluted share in the first quarter of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Guidance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discuss the details of its guidance live during its earnings conference call, which will be available for replay via webcast at ir.kornit.com.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Kornit will host a conference call today at 5:00 p.m. EDT, or 12:00 a.m. Israel time, to discuss the results, followed by a question and answer session for the investment community. A live webcast of the call can be accessed at ir.kornit.com. To access the call, participants may dial toll-free at 1-888-438-5491 or +1-719-325-2454. The toll-free Israeli number is 1-809-24 5906. The confirmation code is 3559711.</w:t>
      </w:r>
    </w:p>
    <w:p>
      <w:pPr>
        <w:spacing w:after="0" w:line="1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 listen to a telephonic replay of the conference call, dial toll-free 1-877-870-5176 or +1-858-384-5517 (international) and enter confirmation code 3559711. The telephonic replay will be available beginning at 8:00 p.m. EDT on Wednesday, May 6, 2015, and will last through 11:59 p.m. EDT May 20, 2015. The call will also be available for replay via the webcast link on Kornit's Investor Relations website.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"projected," "guidance," "preliminary," "future," "planned," "committed,"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development of the market for digital textile printing, availability of alternative ink, competition, sales concentration, changes to our relationships with suppliers; our success in marketing and those factors referred to under "Risk Factors" in the company's final prospectus filed with the U.S. Securities and Exchange Commission.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Non-GAAP financial measures consist of GAAP financial measures adjusted to exclude acquisition related expenses, share-based compensation expenses and amortization of acquired intangible assets.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Kornit develops, designs and markets innovative digital printing solutions for the global printed textile industry. Kornit’s solution includes its proprietary digital printing systems, ink and other consumables, associated software and value added services. Kornit’s vision is to revolutionize the textile industry by facilitating the transition from analog processes that have not evolved for decades to digital methods of production that address contemporary supply, demand and environmental dynamics. Kornit is a global company headquartered in Rosh-Ha`Ayin, Israel, with U.S. offices in Mequon, Wisconsin and additional sales, support and marketing offices in Germany and Hong Kong.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7" w:name="page8"/>
    <w:bookmarkEnd w:id="7"/>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4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0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3"/>
              </w:rPr>
              <w:t>March 31,</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3"/>
              </w:rPr>
              <w:t>(Unaudited)</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2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17,610</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13,262</w:t>
            </w:r>
          </w:p>
        </w:tc>
      </w:tr>
      <w:tr>
        <w:trPr>
          <w:trHeight w:val="230"/>
        </w:trPr>
        <w:tc>
          <w:tcPr>
            <w:tcW w:w="5080" w:type="dxa"/>
            <w:vAlign w:val="bottom"/>
          </w:tcPr>
          <w:p>
            <w:pPr>
              <w:ind w:left="100"/>
              <w:spacing w:after="0"/>
              <w:rPr>
                <w:sz w:val="20"/>
                <w:szCs w:val="20"/>
                <w:color w:val="auto"/>
              </w:rPr>
            </w:pPr>
            <w:r>
              <w:rPr>
                <w:rFonts w:ascii="Arial" w:cs="Arial" w:eastAsia="Arial" w:hAnsi="Arial"/>
                <w:sz w:val="18"/>
                <w:szCs w:val="18"/>
                <w:color w:val="auto"/>
              </w:rPr>
              <w:t>Cost of revenues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9,672</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8,763</w:t>
            </w:r>
          </w:p>
        </w:tc>
      </w:tr>
      <w:tr>
        <w:trPr>
          <w:trHeight w:val="210"/>
        </w:trPr>
        <w:tc>
          <w:tcPr>
            <w:tcW w:w="50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2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expenses:</w:t>
            </w:r>
          </w:p>
        </w:tc>
        <w:tc>
          <w:tcPr>
            <w:tcW w:w="2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2,851</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2,140</w:t>
            </w: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and marketing</w:t>
            </w:r>
          </w:p>
        </w:tc>
        <w:tc>
          <w:tcPr>
            <w:tcW w:w="2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2,901</w:t>
            </w:r>
          </w:p>
        </w:tc>
      </w:tr>
      <w:tr>
        <w:trPr>
          <w:trHeight w:val="230"/>
        </w:trPr>
        <w:tc>
          <w:tcPr>
            <w:tcW w:w="50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2,155</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1,044</w:t>
            </w:r>
          </w:p>
        </w:tc>
      </w:tr>
      <w:tr>
        <w:trPr>
          <w:trHeight w:val="210"/>
        </w:trPr>
        <w:tc>
          <w:tcPr>
            <w:tcW w:w="50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operating expenses</w:t>
            </w:r>
          </w:p>
        </w:tc>
        <w:tc>
          <w:tcPr>
            <w:tcW w:w="2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Operating income (loss)</w:t>
            </w: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(1,586)</w:t>
            </w:r>
          </w:p>
        </w:tc>
      </w:tr>
      <w:tr>
        <w:trPr>
          <w:trHeight w:val="230"/>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income (loss), net</w:t>
            </w:r>
          </w:p>
        </w:tc>
        <w:tc>
          <w:tcPr>
            <w:tcW w:w="2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0"/>
        </w:trPr>
        <w:tc>
          <w:tcPr>
            <w:tcW w:w="5080" w:type="dxa"/>
            <w:vAlign w:val="bottom"/>
          </w:tcPr>
          <w:p>
            <w:pPr>
              <w:ind w:left="100"/>
              <w:spacing w:after="0"/>
              <w:rPr>
                <w:sz w:val="20"/>
                <w:szCs w:val="20"/>
                <w:color w:val="auto"/>
              </w:rPr>
            </w:pPr>
            <w:r>
              <w:rPr>
                <w:rFonts w:ascii="Arial" w:cs="Arial" w:eastAsia="Arial" w:hAnsi="Arial"/>
                <w:sz w:val="18"/>
                <w:szCs w:val="18"/>
                <w:color w:val="auto"/>
              </w:rPr>
              <w:t>Income (loss) before taxes on income</w:t>
            </w:r>
          </w:p>
        </w:tc>
        <w:tc>
          <w:tcPr>
            <w:tcW w:w="2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080" w:type="dxa"/>
            <w:vAlign w:val="bottom"/>
          </w:tcPr>
          <w:p>
            <w:pPr>
              <w:ind w:left="100"/>
              <w:spacing w:after="0"/>
              <w:rPr>
                <w:sz w:val="20"/>
                <w:szCs w:val="20"/>
                <w:color w:val="auto"/>
              </w:rPr>
            </w:pPr>
            <w:r>
              <w:rPr>
                <w:rFonts w:ascii="Arial" w:cs="Arial" w:eastAsia="Arial" w:hAnsi="Arial"/>
                <w:sz w:val="18"/>
                <w:szCs w:val="18"/>
                <w:color w:val="auto"/>
              </w:rPr>
              <w:t>Taxes on income</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r>
      <w:tr>
        <w:trPr>
          <w:trHeight w:val="223"/>
        </w:trPr>
        <w:tc>
          <w:tcPr>
            <w:tcW w:w="50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and Diluted net loss per share</w:t>
            </w:r>
          </w:p>
        </w:tc>
        <w:tc>
          <w:tcPr>
            <w:tcW w:w="2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number of shares</w:t>
            </w:r>
          </w:p>
        </w:tc>
        <w:tc>
          <w:tcPr>
            <w:tcW w:w="2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used in computing basic</w:t>
            </w: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diluted net loss per share</w:t>
            </w:r>
          </w:p>
        </w:tc>
        <w:tc>
          <w:tcPr>
            <w:tcW w:w="2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8,973,224</w:t>
            </w: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8,957,933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8" w:name="page9"/>
    <w:bookmarkEnd w:id="8"/>
    <w:p>
      <w:pPr>
        <w:jc w:val="center"/>
        <w:ind w:right="28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RECONCILATION OF GAAP TO NON-GAAP CONSOLIDATED STATEMENTS OF OPERATIONS</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(U.S. 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left="67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405"/>
              <w:spacing w:after="0"/>
              <w:rPr>
                <w:sz w:val="20"/>
                <w:szCs w:val="20"/>
                <w:color w:val="auto"/>
              </w:rPr>
            </w:pPr>
            <w:r>
              <w:rPr>
                <w:rFonts w:ascii="Arial" w:cs="Arial" w:eastAsia="Arial" w:hAnsi="Arial"/>
                <w:sz w:val="18"/>
                <w:szCs w:val="18"/>
                <w:b w:val="1"/>
                <w:bCs w:val="1"/>
                <w:color w:val="auto"/>
                <w:w w:val="93"/>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auto"/>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vMerge w:val="continue"/>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GAAP net loss as reported</w:t>
            </w:r>
          </w:p>
        </w:tc>
        <w:tc>
          <w:tcPr>
            <w:tcW w:w="12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14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10"/>
        </w:trPr>
        <w:tc>
          <w:tcPr>
            <w:tcW w:w="6400" w:type="dxa"/>
            <w:vAlign w:val="bottom"/>
          </w:tcPr>
          <w:p>
            <w:pPr>
              <w:ind w:left="100"/>
              <w:spacing w:after="0"/>
              <w:rPr>
                <w:sz w:val="20"/>
                <w:szCs w:val="20"/>
                <w:color w:val="auto"/>
              </w:rPr>
            </w:pPr>
            <w:r>
              <w:rPr>
                <w:rFonts w:ascii="Arial" w:cs="Arial" w:eastAsia="Arial" w:hAnsi="Arial"/>
                <w:sz w:val="18"/>
                <w:szCs w:val="18"/>
                <w:color w:val="auto"/>
              </w:rPr>
              <w:t>Non-GAAP adjustments</w:t>
            </w:r>
          </w:p>
        </w:tc>
        <w:tc>
          <w:tcPr>
            <w:tcW w:w="9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 recorded for share-based compensation</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Acquisition related expenses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 amortization</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adjustments</w:t>
            </w: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63"/>
        </w:trPr>
        <w:tc>
          <w:tcPr>
            <w:tcW w:w="6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Non-GAAP net income (loss)</w:t>
            </w:r>
          </w:p>
        </w:tc>
        <w:tc>
          <w:tcPr>
            <w:tcW w:w="9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6400" w:type="dxa"/>
            <w:vAlign w:val="bottom"/>
            <w:tcBorders>
              <w:bottom w:val="single" w:sz="8" w:color="CCEEFF"/>
            </w:tcBorders>
            <w:shd w:val="clear" w:color="auto" w:fill="CCEEFF"/>
          </w:tcPr>
          <w:p>
            <w:pPr>
              <w:ind w:left="100"/>
              <w:spacing w:after="0" w:line="195" w:lineRule="exact"/>
              <w:rPr>
                <w:sz w:val="20"/>
                <w:szCs w:val="20"/>
                <w:color w:val="auto"/>
              </w:rPr>
            </w:pPr>
            <w:r>
              <w:rPr>
                <w:rFonts w:ascii="Arial" w:cs="Arial" w:eastAsia="Arial" w:hAnsi="Arial"/>
                <w:sz w:val="18"/>
                <w:szCs w:val="18"/>
                <w:b w:val="1"/>
                <w:bCs w:val="1"/>
                <w:color w:val="auto"/>
              </w:rPr>
              <w:t>Non- GAAP diluted net earnings (loss) per share</w:t>
            </w:r>
          </w:p>
        </w:tc>
        <w:tc>
          <w:tcPr>
            <w:tcW w:w="9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00"/>
              <w:spacing w:after="0"/>
              <w:rPr>
                <w:sz w:val="20"/>
                <w:szCs w:val="20"/>
                <w:color w:val="auto"/>
              </w:rPr>
            </w:pPr>
            <w:r>
              <w:rPr>
                <w:rFonts w:ascii="Arial" w:cs="Arial" w:eastAsia="Arial" w:hAnsi="Arial"/>
                <w:sz w:val="18"/>
                <w:szCs w:val="18"/>
                <w:color w:val="auto"/>
              </w:rPr>
              <w:t>Weighted average number of shares</w:t>
            </w:r>
          </w:p>
        </w:tc>
        <w:tc>
          <w:tcPr>
            <w:tcW w:w="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used in computing diluted net</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00"/>
              <w:spacing w:after="0"/>
              <w:rPr>
                <w:sz w:val="20"/>
                <w:szCs w:val="20"/>
                <w:color w:val="auto"/>
              </w:rPr>
            </w:pPr>
            <w:r>
              <w:rPr>
                <w:rFonts w:ascii="Arial" w:cs="Arial" w:eastAsia="Arial" w:hAnsi="Arial"/>
                <w:sz w:val="18"/>
                <w:szCs w:val="18"/>
                <w:color w:val="auto"/>
              </w:rPr>
              <w:t>earnings (loss) per share</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11,170,422</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8,957,933</w:t>
            </w:r>
          </w:p>
        </w:tc>
        <w:tc>
          <w:tcPr>
            <w:tcW w:w="0" w:type="dxa"/>
            <w:vAlign w:val="bottom"/>
          </w:tcPr>
          <w:p>
            <w:pPr>
              <w:spacing w:after="0"/>
              <w:rPr>
                <w:sz w:val="1"/>
                <w:szCs w:val="1"/>
                <w:color w:val="auto"/>
              </w:rPr>
            </w:pPr>
          </w:p>
        </w:tc>
      </w:tr>
    </w:tbl>
    <w:p>
      <w:pPr>
        <w:ind w:left="100" w:right="5540" w:firstLine="5"/>
        <w:spacing w:after="0" w:line="243" w:lineRule="auto"/>
        <w:tabs>
          <w:tab w:leader="none" w:pos="406" w:val="left"/>
        </w:tabs>
        <w:numPr>
          <w:ilvl w:val="0"/>
          <w:numId w:val="4"/>
        </w:numPr>
        <w:rPr>
          <w:rFonts w:ascii="Arial" w:cs="Arial" w:eastAsia="Arial" w:hAnsi="Arial"/>
          <w:sz w:val="22"/>
          <w:szCs w:val="22"/>
          <w:color w:val="auto"/>
        </w:rPr>
      </w:pPr>
      <w:r>
        <w:rPr>
          <w:rFonts w:ascii="Arial" w:cs="Arial" w:eastAsia="Arial" w:hAnsi="Arial"/>
          <w:sz w:val="22"/>
          <w:szCs w:val="22"/>
          <w:color w:val="auto"/>
        </w:rPr>
        <w:t>Mostly legal, finance and compensation expenses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3"/>
              </w:rPr>
              <w:t>(Unaudited)</w:t>
            </w: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Trade receivables, net</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9,850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accounts receivables and prepaid expenses</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2,431</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30"/>
        </w:trPr>
        <w:tc>
          <w:tcPr>
            <w:tcW w:w="464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12,873</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11,986</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2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29,745</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100"/>
              <w:spacing w:after="0"/>
              <w:rPr>
                <w:sz w:val="20"/>
                <w:szCs w:val="20"/>
                <w:color w:val="auto"/>
              </w:rPr>
            </w:pPr>
            <w:r>
              <w:rPr>
                <w:rFonts w:ascii="Arial" w:cs="Arial" w:eastAsia="Arial" w:hAnsi="Arial"/>
                <w:sz w:val="18"/>
                <w:szCs w:val="18"/>
                <w:color w:val="auto"/>
              </w:rPr>
              <w:t>LONG-TERM ASSETS:</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Severance pay fund</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3,818</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 net</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Deferred issuance costs</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2,363</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long-term assets</w:t>
            </w:r>
          </w:p>
        </w:tc>
        <w:tc>
          <w:tcPr>
            <w:tcW w:w="26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64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2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38,756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34,714</w:t>
            </w:r>
          </w:p>
        </w:tc>
        <w:tc>
          <w:tcPr>
            <w:tcW w:w="0" w:type="dxa"/>
            <w:vAlign w:val="bottom"/>
          </w:tcPr>
          <w:p>
            <w:pPr>
              <w:spacing w:after="0"/>
              <w:rPr>
                <w:sz w:val="1"/>
                <w:szCs w:val="1"/>
                <w:color w:val="auto"/>
              </w:rPr>
            </w:pPr>
          </w:p>
        </w:tc>
      </w:tr>
      <w:tr>
        <w:trPr>
          <w:trHeight w:val="197"/>
        </w:trPr>
        <w:tc>
          <w:tcPr>
            <w:tcW w:w="464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b w:val="1"/>
                <w:bCs w:val="1"/>
                <w:color w:val="auto"/>
              </w:rPr>
              <w:t>LIABILITIES AND EQUITY</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Trade payables</w:t>
            </w:r>
          </w:p>
        </w:tc>
        <w:tc>
          <w:tcPr>
            <w:tcW w:w="2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7,699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Employees and payroll accruals</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3,568</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Deferred revenues and advances from customers</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1,466</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payables and accrued expenses</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4,441</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current liabilities</w:t>
            </w:r>
          </w:p>
        </w:tc>
        <w:tc>
          <w:tcPr>
            <w:tcW w:w="26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17,174</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LONG-TERM LIABILITIES:</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severance pay</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1,863</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0"/>
        </w:trPr>
        <w:tc>
          <w:tcPr>
            <w:tcW w:w="4640" w:type="dxa"/>
            <w:vAlign w:val="bottom"/>
          </w:tcPr>
          <w:p>
            <w:pPr>
              <w:ind w:left="100"/>
              <w:spacing w:after="0"/>
              <w:rPr>
                <w:sz w:val="20"/>
                <w:szCs w:val="20"/>
                <w:color w:val="auto"/>
              </w:rPr>
            </w:pPr>
            <w:r>
              <w:rPr>
                <w:rFonts w:ascii="Arial" w:cs="Arial" w:eastAsia="Arial" w:hAnsi="Arial"/>
                <w:sz w:val="18"/>
                <w:szCs w:val="18"/>
                <w:color w:val="auto"/>
              </w:rPr>
              <w:t>Deferred taxes</w:t>
            </w: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long-term liabilities</w:t>
            </w:r>
          </w:p>
        </w:tc>
        <w:tc>
          <w:tcPr>
            <w:tcW w:w="2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SHAREHOLDERS' EQUITY</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19,600</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19,351</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liabilities and shareholders' equity</w:t>
            </w:r>
          </w:p>
        </w:tc>
        <w:tc>
          <w:tcPr>
            <w:tcW w:w="2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38,756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6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94" w:right="239" w:bottom="1440" w:gutter="0" w:footer="0" w:header="0"/>
        </w:sectPr>
      </w:pPr>
    </w:p>
    <w:bookmarkStart w:id="10" w:name="page11"/>
    <w:bookmarkEnd w:id="10"/>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80" w:type="dxa"/>
            <w:vAlign w:val="bottom"/>
            <w:gridSpan w:val="4"/>
          </w:tcPr>
          <w:p>
            <w:pPr>
              <w:ind w:left="220"/>
              <w:spacing w:after="0"/>
              <w:rPr>
                <w:sz w:val="20"/>
                <w:szCs w:val="20"/>
                <w:color w:val="auto"/>
              </w:rPr>
            </w:pPr>
            <w:r>
              <w:rPr>
                <w:rFonts w:ascii="Arial" w:cs="Arial" w:eastAsia="Arial" w:hAnsi="Arial"/>
                <w:sz w:val="18"/>
                <w:szCs w:val="18"/>
                <w:b w:val="1"/>
                <w:bCs w:val="1"/>
                <w:color w:val="auto"/>
                <w:w w:val="97"/>
              </w:rPr>
              <w:t>Three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85"/>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74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228"/>
        </w:trPr>
        <w:tc>
          <w:tcPr>
            <w:tcW w:w="74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405"/>
              <w:spacing w:after="0"/>
              <w:rPr>
                <w:sz w:val="20"/>
                <w:szCs w:val="20"/>
                <w:color w:val="auto"/>
              </w:rPr>
            </w:pPr>
            <w:r>
              <w:rPr>
                <w:rFonts w:ascii="Arial" w:cs="Arial" w:eastAsia="Arial" w:hAnsi="Arial"/>
                <w:sz w:val="18"/>
                <w:szCs w:val="18"/>
                <w:b w:val="1"/>
                <w:bCs w:val="1"/>
                <w:color w:val="auto"/>
                <w:w w:val="91"/>
              </w:rPr>
              <w:t>(Unaudited)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68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Net loss</w:t>
            </w:r>
          </w:p>
        </w:tc>
        <w:tc>
          <w:tcPr>
            <w:tcW w:w="6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w:t>
            </w:r>
          </w:p>
        </w:tc>
      </w:tr>
      <w:tr>
        <w:trPr>
          <w:trHeight w:val="216"/>
        </w:trPr>
        <w:tc>
          <w:tcPr>
            <w:tcW w:w="6840" w:type="dxa"/>
            <w:vAlign w:val="bottom"/>
            <w:gridSpan w:val="2"/>
          </w:tcPr>
          <w:p>
            <w:pPr>
              <w:ind w:left="100"/>
              <w:spacing w:after="0"/>
              <w:rPr>
                <w:sz w:val="20"/>
                <w:szCs w:val="20"/>
                <w:color w:val="auto"/>
              </w:rPr>
            </w:pPr>
            <w:r>
              <w:rPr>
                <w:rFonts w:ascii="Arial" w:cs="Arial" w:eastAsia="Arial" w:hAnsi="Arial"/>
                <w:sz w:val="18"/>
                <w:szCs w:val="18"/>
                <w:color w:val="auto"/>
                <w:w w:val="97"/>
              </w:rPr>
              <w:t>Adjustments to reconcile net loss to net cash provided by (used in) operating activities: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r>
      <w:tr>
        <w:trPr>
          <w:trHeight w:val="216"/>
        </w:trPr>
        <w:tc>
          <w:tcPr>
            <w:tcW w:w="6840" w:type="dxa"/>
            <w:vAlign w:val="bottom"/>
            <w:gridSpan w:val="2"/>
          </w:tcPr>
          <w:p>
            <w:pPr>
              <w:ind w:left="100"/>
              <w:spacing w:after="0"/>
              <w:rPr>
                <w:sz w:val="20"/>
                <w:szCs w:val="20"/>
                <w:color w:val="auto"/>
              </w:rPr>
            </w:pPr>
            <w:r>
              <w:rPr>
                <w:rFonts w:ascii="Arial" w:cs="Arial" w:eastAsia="Arial" w:hAnsi="Arial"/>
                <w:sz w:val="18"/>
                <w:szCs w:val="18"/>
                <w:color w:val="auto"/>
              </w:rPr>
              <w:t>Share-based compensation</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16"/>
        </w:trPr>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Increase in other assets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40" w:type="dxa"/>
            <w:vAlign w:val="bottom"/>
            <w:gridSpan w:val="2"/>
          </w:tcPr>
          <w:p>
            <w:pPr>
              <w:ind w:left="100"/>
              <w:spacing w:after="0"/>
              <w:rPr>
                <w:sz w:val="20"/>
                <w:szCs w:val="20"/>
                <w:color w:val="auto"/>
              </w:rPr>
            </w:pPr>
            <w:r>
              <w:rPr>
                <w:rFonts w:ascii="Arial" w:cs="Arial" w:eastAsia="Arial" w:hAnsi="Arial"/>
                <w:sz w:val="18"/>
                <w:szCs w:val="18"/>
                <w:color w:val="auto"/>
              </w:rPr>
              <w:t>Increase (decrease) in accrued severance pay, net</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Decrease (Increase) in trade receivables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w:t>
            </w:r>
          </w:p>
        </w:tc>
      </w:tr>
      <w:tr>
        <w:trPr>
          <w:trHeight w:val="216"/>
        </w:trPr>
        <w:tc>
          <w:tcPr>
            <w:tcW w:w="6840" w:type="dxa"/>
            <w:vAlign w:val="bottom"/>
            <w:gridSpan w:val="2"/>
          </w:tcPr>
          <w:p>
            <w:pPr>
              <w:ind w:left="100"/>
              <w:spacing w:after="0"/>
              <w:rPr>
                <w:sz w:val="20"/>
                <w:szCs w:val="20"/>
                <w:color w:val="auto"/>
              </w:rPr>
            </w:pPr>
            <w:r>
              <w:rPr>
                <w:rFonts w:ascii="Arial" w:cs="Arial" w:eastAsia="Arial" w:hAnsi="Arial"/>
                <w:sz w:val="18"/>
                <w:szCs w:val="18"/>
                <w:color w:val="auto"/>
              </w:rPr>
              <w:t>Increase in other accounts receivables and prepaid expenses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(708)</w:t>
            </w:r>
          </w:p>
        </w:tc>
      </w:tr>
      <w:tr>
        <w:trPr>
          <w:trHeight w:val="216"/>
        </w:trPr>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Increase in inventories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(1,348)</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16"/>
        </w:trPr>
        <w:tc>
          <w:tcPr>
            <w:tcW w:w="6840" w:type="dxa"/>
            <w:vAlign w:val="bottom"/>
            <w:gridSpan w:val="2"/>
          </w:tcPr>
          <w:p>
            <w:pPr>
              <w:ind w:left="100"/>
              <w:spacing w:after="0"/>
              <w:rPr>
                <w:sz w:val="20"/>
                <w:szCs w:val="20"/>
                <w:color w:val="auto"/>
              </w:rPr>
            </w:pPr>
            <w:r>
              <w:rPr>
                <w:rFonts w:ascii="Arial" w:cs="Arial" w:eastAsia="Arial" w:hAnsi="Arial"/>
                <w:sz w:val="18"/>
                <w:szCs w:val="18"/>
                <w:color w:val="auto"/>
              </w:rPr>
              <w:t>Increase in deferred taxes, net</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Increase</w:t>
            </w:r>
          </w:p>
        </w:tc>
        <w:tc>
          <w:tcPr>
            <w:tcW w:w="6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 trade payables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r>
      <w:tr>
        <w:trPr>
          <w:trHeight w:val="216"/>
        </w:trPr>
        <w:tc>
          <w:tcPr>
            <w:tcW w:w="740" w:type="dxa"/>
            <w:vAlign w:val="bottom"/>
          </w:tcPr>
          <w:p>
            <w:pPr>
              <w:ind w:left="100"/>
              <w:spacing w:after="0"/>
              <w:rPr>
                <w:sz w:val="20"/>
                <w:szCs w:val="20"/>
                <w:color w:val="auto"/>
              </w:rPr>
            </w:pPr>
            <w:r>
              <w:rPr>
                <w:rFonts w:ascii="Arial" w:cs="Arial" w:eastAsia="Arial" w:hAnsi="Arial"/>
                <w:sz w:val="18"/>
                <w:szCs w:val="18"/>
                <w:color w:val="auto"/>
                <w:w w:val="89"/>
              </w:rPr>
              <w:t>Increase</w:t>
            </w:r>
          </w:p>
        </w:tc>
        <w:tc>
          <w:tcPr>
            <w:tcW w:w="6100" w:type="dxa"/>
            <w:vAlign w:val="bottom"/>
          </w:tcPr>
          <w:p>
            <w:pPr>
              <w:ind w:left="60"/>
              <w:spacing w:after="0"/>
              <w:rPr>
                <w:sz w:val="20"/>
                <w:szCs w:val="20"/>
                <w:color w:val="auto"/>
              </w:rPr>
            </w:pPr>
            <w:r>
              <w:rPr>
                <w:rFonts w:ascii="Arial" w:cs="Arial" w:eastAsia="Arial" w:hAnsi="Arial"/>
                <w:sz w:val="18"/>
                <w:szCs w:val="18"/>
                <w:color w:val="auto"/>
              </w:rPr>
              <w:t>in employees and payroll accruals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r>
      <w:tr>
        <w:trPr>
          <w:trHeight w:val="216"/>
        </w:trPr>
        <w:tc>
          <w:tcPr>
            <w:tcW w:w="6840" w:type="dxa"/>
            <w:vAlign w:val="bottom"/>
            <w:gridSpan w:val="2"/>
          </w:tcPr>
          <w:p>
            <w:pPr>
              <w:ind w:left="100"/>
              <w:spacing w:after="0"/>
              <w:rPr>
                <w:sz w:val="20"/>
                <w:szCs w:val="20"/>
                <w:color w:val="auto"/>
              </w:rPr>
            </w:pPr>
            <w:r>
              <w:rPr>
                <w:rFonts w:ascii="Arial" w:cs="Arial" w:eastAsia="Arial" w:hAnsi="Arial"/>
                <w:sz w:val="18"/>
                <w:szCs w:val="18"/>
                <w:color w:val="auto"/>
              </w:rPr>
              <w:t>Increase (decrease) in other payables and accrued expenses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from sale of property and equipments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840" w:type="dxa"/>
            <w:vAlign w:val="bottom"/>
            <w:gridSpan w:val="2"/>
          </w:tcPr>
          <w:p>
            <w:pPr>
              <w:ind w:left="100"/>
              <w:spacing w:after="0"/>
              <w:rPr>
                <w:sz w:val="20"/>
                <w:szCs w:val="20"/>
                <w:color w:val="auto"/>
              </w:rPr>
            </w:pPr>
            <w:r>
              <w:rPr>
                <w:rFonts w:ascii="Arial" w:cs="Arial" w:eastAsia="Arial" w:hAnsi="Arial"/>
                <w:sz w:val="18"/>
                <w:szCs w:val="18"/>
                <w:color w:val="auto"/>
              </w:rPr>
              <w:t>Foreign currency remeasurement gain</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30"/>
        </w:trPr>
        <w:tc>
          <w:tcPr>
            <w:tcW w:w="6840" w:type="dxa"/>
            <w:vAlign w:val="bottom"/>
            <w:gridSpan w:val="2"/>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6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cash provided by (used in) operating activities</w:t>
            </w:r>
          </w:p>
        </w:tc>
        <w:tc>
          <w:tcPr>
            <w:tcW w:w="4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ind w:left="100"/>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Purchase of property and equipment</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16"/>
        </w:trPr>
        <w:tc>
          <w:tcPr>
            <w:tcW w:w="6840" w:type="dxa"/>
            <w:vAlign w:val="bottom"/>
            <w:gridSpan w:val="2"/>
          </w:tcPr>
          <w:p>
            <w:pPr>
              <w:ind w:left="100"/>
              <w:spacing w:after="0"/>
              <w:rPr>
                <w:sz w:val="20"/>
                <w:szCs w:val="20"/>
                <w:color w:val="auto"/>
              </w:rPr>
            </w:pPr>
            <w:r>
              <w:rPr>
                <w:rFonts w:ascii="Arial" w:cs="Arial" w:eastAsia="Arial" w:hAnsi="Arial"/>
                <w:sz w:val="18"/>
                <w:szCs w:val="18"/>
                <w:color w:val="auto"/>
              </w:rPr>
              <w:t>Cash paid in connection with acquisition</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1"/>
              </w:rPr>
              <w:t>(1,000)</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Proceeds from sale of property and equipment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0"/>
        </w:trPr>
        <w:tc>
          <w:tcPr>
            <w:tcW w:w="6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(1,340</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9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ind w:left="100"/>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Payment of deferred issuance cost</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 of employee share options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6840" w:type="dxa"/>
            <w:vAlign w:val="bottom"/>
            <w:tcBorders>
              <w:bottom w:val="single" w:sz="8" w:color="CCEEFF"/>
            </w:tcBorders>
            <w:gridSpan w:val="2"/>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ind w:left="100"/>
              <w:spacing w:after="0"/>
              <w:rPr>
                <w:sz w:val="20"/>
                <w:szCs w:val="20"/>
                <w:color w:val="auto"/>
              </w:rPr>
            </w:pPr>
            <w:r>
              <w:rPr>
                <w:rFonts w:ascii="Arial" w:cs="Arial" w:eastAsia="Arial" w:hAnsi="Arial"/>
                <w:sz w:val="18"/>
                <w:szCs w:val="18"/>
                <w:color w:val="auto"/>
                <w:w w:val="91"/>
              </w:rPr>
              <w:t>Decreae</w:t>
            </w:r>
          </w:p>
        </w:tc>
        <w:tc>
          <w:tcPr>
            <w:tcW w:w="6100" w:type="dxa"/>
            <w:vAlign w:val="bottom"/>
          </w:tcPr>
          <w:p>
            <w:pPr>
              <w:ind w:left="40"/>
              <w:spacing w:after="0"/>
              <w:rPr>
                <w:sz w:val="20"/>
                <w:szCs w:val="20"/>
                <w:color w:val="auto"/>
              </w:rPr>
            </w:pPr>
            <w:r>
              <w:rPr>
                <w:rFonts w:ascii="Arial" w:cs="Arial" w:eastAsia="Arial" w:hAnsi="Arial"/>
                <w:sz w:val="18"/>
                <w:szCs w:val="18"/>
                <w:color w:val="auto"/>
              </w:rPr>
              <w:t>in cash and cash equivalents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(1,986)</w:t>
            </w:r>
          </w:p>
        </w:tc>
      </w:tr>
      <w:tr>
        <w:trPr>
          <w:trHeight w:val="216"/>
        </w:trPr>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 at the beginning of the period</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5,329</w:t>
            </w:r>
          </w:p>
        </w:tc>
      </w:tr>
      <w:tr>
        <w:trPr>
          <w:trHeight w:val="230"/>
        </w:trPr>
        <w:tc>
          <w:tcPr>
            <w:tcW w:w="6840" w:type="dxa"/>
            <w:vAlign w:val="bottom"/>
            <w:tcBorders>
              <w:bottom w:val="single" w:sz="8" w:color="CCEEFF"/>
            </w:tcBorders>
            <w:gridSpan w:val="2"/>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6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 at the end of the period</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Non-cash investing activities:</w:t>
            </w:r>
          </w:p>
        </w:tc>
        <w:tc>
          <w:tcPr>
            <w:tcW w:w="4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property and equipment on credit</w:t>
            </w:r>
          </w:p>
        </w:tc>
        <w:tc>
          <w:tcPr>
            <w:tcW w:w="49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31</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Non-cash issuance expenses</w:t>
            </w:r>
          </w:p>
        </w:tc>
        <w:tc>
          <w:tcPr>
            <w:tcW w:w="4920" w:type="dxa"/>
            <w:vAlign w:val="bottom"/>
          </w:tcPr>
          <w:p>
            <w:pPr>
              <w:jc w:val="right"/>
              <w:ind w:right="1030"/>
              <w:spacing w:after="0"/>
              <w:rPr>
                <w:sz w:val="20"/>
                <w:szCs w:val="20"/>
                <w:color w:val="auto"/>
              </w:rPr>
            </w:pPr>
            <w:r>
              <w:rPr>
                <w:rFonts w:ascii="Arial" w:cs="Arial" w:eastAsia="Arial" w:hAnsi="Arial"/>
                <w:sz w:val="18"/>
                <w:szCs w:val="18"/>
                <w:color w:val="auto"/>
              </w:rPr>
              <w:t>481</w:t>
            </w:r>
          </w:p>
        </w:tc>
        <w:tc>
          <w:tcPr>
            <w:tcW w:w="1480" w:type="dxa"/>
            <w:vAlign w:val="bottom"/>
          </w:tcPr>
          <w:p>
            <w:pPr>
              <w:ind w:left="1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 transferred to be used as property and equipment</w:t>
            </w:r>
          </w:p>
        </w:tc>
        <w:tc>
          <w:tcPr>
            <w:tcW w:w="49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259</w:t>
            </w:r>
          </w:p>
        </w:tc>
        <w:tc>
          <w:tcPr>
            <w:tcW w:w="14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648"/>
        </w:trPr>
        <w:tc>
          <w:tcPr>
            <w:tcW w:w="5020" w:type="dxa"/>
            <w:vAlign w:val="bottom"/>
          </w:tcPr>
          <w:p>
            <w:pPr>
              <w:spacing w:after="0"/>
              <w:rPr>
                <w:sz w:val="24"/>
                <w:szCs w:val="24"/>
                <w:color w:val="auto"/>
              </w:rPr>
            </w:pPr>
          </w:p>
        </w:tc>
        <w:tc>
          <w:tcPr>
            <w:tcW w:w="4920" w:type="dxa"/>
            <w:vAlign w:val="bottom"/>
          </w:tcPr>
          <w:p>
            <w:pPr>
              <w:jc w:val="right"/>
              <w:ind w:right="4090"/>
              <w:spacing w:after="0"/>
              <w:rPr>
                <w:sz w:val="20"/>
                <w:szCs w:val="20"/>
                <w:color w:val="auto"/>
              </w:rPr>
            </w:pPr>
            <w:r>
              <w:rPr>
                <w:rFonts w:ascii="Arial" w:cs="Arial" w:eastAsia="Arial" w:hAnsi="Arial"/>
                <w:sz w:val="18"/>
                <w:szCs w:val="18"/>
                <w:color w:val="auto"/>
              </w:rPr>
              <w:t>7</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
        </w:trPr>
        <w:tc>
          <w:tcPr>
            <w:tcW w:w="5020" w:type="dxa"/>
            <w:vAlign w:val="bottom"/>
            <w:tcBorders>
              <w:bottom w:val="single" w:sz="8" w:color="808080"/>
            </w:tcBorders>
          </w:tcPr>
          <w:p>
            <w:pPr>
              <w:spacing w:after="0"/>
              <w:rPr>
                <w:sz w:val="5"/>
                <w:szCs w:val="5"/>
                <w:color w:val="auto"/>
              </w:rPr>
            </w:pPr>
          </w:p>
        </w:tc>
        <w:tc>
          <w:tcPr>
            <w:tcW w:w="492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440" w:right="219" w:bottom="55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03"/>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2019-12-09T05:44:55Z</dcterms:created>
  <dcterms:modified xsi:type="dcterms:W3CDTF">2019-12-09T05:44:55Z</dcterms:modified>
</cp:coreProperties>
</file>