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ind w:left="5100"/>
        <w:spacing w:after="0"/>
        <w:rPr>
          <w:sz w:val="20"/>
          <w:szCs w:val="20"/>
          <w:color w:val="auto"/>
        </w:rPr>
      </w:pPr>
      <w:r>
        <w:rPr>
          <w:rFonts w:ascii="Arial" w:cs="Arial" w:eastAsia="Arial" w:hAnsi="Arial"/>
          <w:sz w:val="25"/>
          <w:szCs w:val="25"/>
          <w:b w:val="1"/>
          <w:bCs w:val="1"/>
          <w:color w:val="auto"/>
        </w:rPr>
        <w:t>FORM 6-K</w:t>
      </w:r>
    </w:p>
    <w:p>
      <w:pPr>
        <w:spacing w:after="0" w:line="226" w:lineRule="exact"/>
        <w:rPr>
          <w:sz w:val="24"/>
          <w:szCs w:val="24"/>
          <w:color w:val="auto"/>
        </w:rPr>
      </w:pPr>
    </w:p>
    <w:p>
      <w:pPr>
        <w:ind w:left="3300"/>
        <w:spacing w:after="0"/>
        <w:rPr>
          <w:sz w:val="20"/>
          <w:szCs w:val="20"/>
          <w:color w:val="auto"/>
        </w:rPr>
      </w:pPr>
      <w:r>
        <w:rPr>
          <w:rFonts w:ascii="Arial" w:cs="Arial" w:eastAsia="Arial" w:hAnsi="Arial"/>
          <w:sz w:val="25"/>
          <w:szCs w:val="25"/>
          <w:b w:val="1"/>
          <w:bCs w:val="1"/>
          <w:color w:val="auto"/>
        </w:rPr>
        <w:t>REPORT OF FOREIGN PRIVATE ISSUER</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PURSUANT TO RULE 13a-16 OR 15d-16 OF</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6"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July 2016</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03" w:lineRule="exact"/>
        <w:rPr>
          <w:sz w:val="24"/>
          <w:szCs w:val="24"/>
          <w:color w:val="auto"/>
        </w:rPr>
      </w:pPr>
    </w:p>
    <w:p>
      <w:pPr>
        <w:ind w:left="4020"/>
        <w:spacing w:after="0"/>
        <w:rPr>
          <w:sz w:val="20"/>
          <w:szCs w:val="20"/>
          <w:color w:val="auto"/>
        </w:rPr>
      </w:pPr>
      <w:r>
        <w:rPr>
          <w:rFonts w:ascii="Arial" w:cs="Arial" w:eastAsia="Arial" w:hAnsi="Arial"/>
          <w:sz w:val="31"/>
          <w:szCs w:val="31"/>
          <w:b w:val="1"/>
          <w:bCs w:val="1"/>
          <w:color w:val="auto"/>
        </w:rPr>
        <w:t>KORNIT DIGITAL LTD.</w:t>
      </w:r>
    </w:p>
    <w:p>
      <w:pPr>
        <w:spacing w:after="0" w:line="3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60"/>
        <w:spacing w:after="0" w:line="207" w:lineRule="exact"/>
        <w:tabs>
          <w:tab w:leader="none" w:pos="5760" w:val="left"/>
        </w:tabs>
        <w:rPr>
          <w:sz w:val="20"/>
          <w:szCs w:val="20"/>
          <w:color w:val="auto"/>
        </w:rPr>
      </w:pPr>
      <w:r>
        <w:rPr>
          <w:rFonts w:ascii="Arial" w:cs="Arial" w:eastAsia="Arial" w:hAnsi="Arial"/>
          <w:sz w:val="18"/>
          <w:szCs w:val="18"/>
          <w:color w:val="auto"/>
        </w:rPr>
        <w:t>Form 20-F</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5"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CONTENTS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July 14, 2016,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its Annual Meeting of Shareholders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Each of (i) the reelection of each of (a) Alon Lumbroso and (b) Dov Ofer for a three-year term as a Class I director of the Company, until the Company’s annual general meeting of shareholders in 2019 and until their respective successors are duly elected and qualified; and (ii) the approval if the re-appointment of Kost Forer Gabbay &amp; Kasierer, registered public accounting firm, a member firm of Ernst &amp; Young Global, as the Company’s independent registered public accounting firm for the year ending December 31, 2016 and until the Company’s 2017 annual general meeting of shareholders, and to authorize our board of directors to fix such accounting firm’s annual compensation. (the “</w:t>
      </w:r>
      <w:r>
        <w:rPr>
          <w:rFonts w:ascii="Arial" w:cs="Arial" w:eastAsia="Arial" w:hAnsi="Arial"/>
          <w:sz w:val="16"/>
          <w:szCs w:val="16"/>
          <w:b w:val="1"/>
          <w:bCs w:val="1"/>
          <w:color w:val="auto"/>
        </w:rPr>
        <w:t>Proposals</w:t>
      </w:r>
      <w:r>
        <w:rPr>
          <w:rFonts w:ascii="Arial" w:cs="Arial" w:eastAsia="Arial" w:hAnsi="Arial"/>
          <w:sz w:val="16"/>
          <w:szCs w:val="16"/>
          <w:color w:val="auto"/>
        </w:rPr>
        <w:t>”), were approved at the Annual Meeting. The Proposals were described at greater length in the notice and proxy statement with respect to the Annual Meeting (which was annexed as Exhibit 99.1 to the Company’s Report of Foreign Private Issuer on Form 6-K furnished to the Securities and Exchange Commission on June 9, 2016), which descriptions are incorporated by reference herein.</w:t>
      </w:r>
    </w:p>
    <w:p>
      <w:pPr>
        <w:spacing w:after="0" w:line="16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foregoing is incorporated by reference into the Company’s Registration Statement on Form S-8 (No. 333-203970) filed with the Securities and Exchange Commission on May 7, 2015.</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July 14,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7"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40"/>
      </w:cols>
      <w:pgMar w:left="240" w:top="90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2019-12-09T02:13:22Z</dcterms:created>
  <dcterms:modified xsi:type="dcterms:W3CDTF">2019-12-09T02:13:22Z</dcterms:modified>
</cp:coreProperties>
</file>