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142875</wp:posOffset>
            </wp:positionV>
            <wp:extent cx="125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r>
        <w:rPr>
          <w:rFonts w:ascii="Arial" w:cs="Arial" w:eastAsia="Arial" w:hAnsi="Arial"/>
          <w:sz w:val="21"/>
          <w:szCs w:val="21"/>
          <w:color w:val="auto"/>
        </w:rPr>
        <w: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Israel</w:t>
            </w:r>
          </w:p>
        </w:tc>
        <w:tc>
          <w:tcPr>
            <w:tcW w:w="290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001-36903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center"/>
              <w:ind w:right="70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3"/>
              </w:rPr>
              <w:t>incorporation or organization)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3"/>
              </w:rPr>
              <w:t>12 Ha’Amal St., Afek Park, Rosh-Ha’Ayin</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50"/>
              <w:spacing w:after="0"/>
              <w:rPr>
                <w:sz w:val="20"/>
                <w:szCs w:val="20"/>
                <w:color w:val="auto"/>
              </w:rPr>
            </w:pPr>
            <w:r>
              <w:rPr>
                <w:rFonts w:ascii="Arial" w:cs="Arial" w:eastAsia="Arial" w:hAnsi="Arial"/>
                <w:sz w:val="18"/>
                <w:szCs w:val="18"/>
                <w:b w:val="1"/>
                <w:bCs w:val="1"/>
                <w:color w:val="auto"/>
              </w:rPr>
              <w:t>4809246</w:t>
            </w:r>
          </w:p>
        </w:tc>
      </w:tr>
      <w:tr>
        <w:trPr>
          <w:trHeight w:val="230"/>
        </w:trPr>
        <w:tc>
          <w:tcPr>
            <w:tcW w:w="454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50"/>
              <w:spacing w:after="0"/>
              <w:rPr>
                <w:sz w:val="20"/>
                <w:szCs w:val="20"/>
                <w:color w:val="auto"/>
              </w:rPr>
            </w:pPr>
            <w:r>
              <w:rPr>
                <w:rFonts w:ascii="Arial" w:cs="Arial" w:eastAsia="Arial" w:hAnsi="Arial"/>
                <w:sz w:val="18"/>
                <w:szCs w:val="18"/>
                <w:color w:val="auto"/>
                <w:w w:val="93"/>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Alon Rozner, Chief Financial Officer, +97235148777</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Conflict Minerals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Conflict Minerals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is provided as Exhibit 1.01 to this Form SD and is publicly available at: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http://www.kornit.com/conflict-minerals-policy/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website is referenced for general information only; the contents thereof are not incorporated by reference in this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filed its Conflict Minerals Report as Exhibit 1.01 hereto as required by Item 1.01 of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29"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Exhibit 1.01 -</w:t>
      </w:r>
      <w:r>
        <w:rPr>
          <w:sz w:val="20"/>
          <w:szCs w:val="20"/>
          <w:color w:val="auto"/>
        </w:rPr>
        <w:tab/>
      </w:r>
      <w:hyperlink w:anchor="page4">
        <w:r>
          <w:rPr>
            <w:rFonts w:ascii="Arial" w:cs="Arial" w:eastAsia="Arial" w:hAnsi="Arial"/>
            <w:sz w:val="16"/>
            <w:szCs w:val="16"/>
            <w:u w:val="single" w:color="auto"/>
            <w:color w:val="0000EE"/>
          </w:rPr>
          <w:t>Conflict Minerals Report is attached per Section 1 of this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Alon Rozner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26, 2022</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Kornit Digital Ltd. (“Kornit,” “we,” the “Company” or “our company”) develops, designs and markets innovative digital printing solutions for the global printed textile industry, with a major focus on the fashion, apparel and home décor segments of the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 demand or made-to-order models, by which decoration of fabric and production of finished goods only takes place once a customer order has been issued.</w:t>
      </w:r>
    </w:p>
    <w:p>
      <w:pPr>
        <w:spacing w:after="0" w:line="19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8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40 to 235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firstLine="648"/>
        <w:spacing w:after="0" w:line="290" w:lineRule="auto"/>
        <w:rPr>
          <w:sz w:val="20"/>
          <w:szCs w:val="20"/>
          <w:color w:val="auto"/>
        </w:rPr>
      </w:pPr>
      <w:r>
        <w:rPr>
          <w:rFonts w:ascii="Arial" w:cs="Arial" w:eastAsia="Arial" w:hAnsi="Arial"/>
          <w:sz w:val="16"/>
          <w:szCs w:val="16"/>
          <w:color w:val="auto"/>
        </w:rPr>
        <w:t>In April 2019, we also supplemented our original DTG printing technology with our Kornit NeoPoly Technology, which is our industry’s first digital, industrial process for high-quality printing on polyester, thereby opening the large sport and athleisure market to our digital printing solutions. The new Kornit NeoPoly Technology addresses existing challenges with a new process and ink set implemented in the Kornit NeoPigmentT process. Our new process handles polyester applications without having to compromise on design, run size, substrate or labor. The breakthrough technological innovation has been achieved by an innovative ink set and a physical and chemical process specifically developed for low 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NeoPoly Technology is the Kornit Avalanche Poly Pro, a member of our industrial platform, which became commercially available in April 2019.</w:t>
      </w:r>
    </w:p>
    <w:p>
      <w:pPr>
        <w:spacing w:after="0" w:line="16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Building on the expertise and capabilities that we have accumulated in developing and offering differentiated solutions for the industrial DTG market,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fashion,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spacing w:after="0" w:line="16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Kornit Digital Ltd. was founded in 2002 in Israel, shipped its first system in 2005 and, as of December 31, 2021, had approximately 1,200 active customers globally. As of December 31, 2021, we had 882 employees located primarily across four regions: Israel, America, Europe and Asia Pacific. In the year ended December 31, 2021, we generated revenues of $322 million, representing an increase of 66.6% over the prior fiscal year. In the year ended December 31, 2021, we generated 65.6% of our revenues from the Americas region, 24.4% from the Europe, Middle East and Asia (“EMEA”) region, 7.2% from the Asia Pacific region and 2.8% from other regions.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Conflict Mineral Rule Overview, Scope, and Covered Products: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Issuers that file reports with the Securities and Exchange Commission (“SEC”) under Sections 13(a) or 15(d) of the Securities Exchange Act of 1934, as amended (“Exchange Act”), must comply with Section 1502 of the Dodd-Frank Wall Street Reform and Consumer Protection Act of 2010, which contains reporting requirements associated with conflict minerals that are necessary to the functionality or production of a product manufactured, or contracted to be manufactured, by an issuer. These reporting requirements are implemented by the SEC’s Rule 13p-1 under the Exchange Act (the “Rule”).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ind w:right="80" w:firstLine="648"/>
        <w:spacing w:after="0" w:line="259" w:lineRule="auto"/>
        <w:rPr>
          <w:sz w:val="20"/>
          <w:szCs w:val="20"/>
          <w:color w:val="auto"/>
        </w:rPr>
      </w:pPr>
      <w:r>
        <w:rPr>
          <w:rFonts w:ascii="Arial" w:cs="Arial" w:eastAsia="Arial" w:hAnsi="Arial"/>
          <w:sz w:val="18"/>
          <w:szCs w:val="18"/>
          <w:color w:val="auto"/>
        </w:rPr>
        <w:t>If a registrant cannot establish with absolute certainty that the necessary conflict minerals in its products originated from sources other than the Democratic Republic of the Congo (“DRC”) or an adjoining country (the “Covered Countries”), or originate solely from recycled and/or scrap sources, the registrant must submit a specialized disclosure report under Form SD that describes the steps that the registrant took to determine the origin, or likely origin, of the necessary conflict minerals in its products or in the manufacture of its products.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a registrant has reason to believe that any of the conflict minerals in its mineral supply chain may have originated in the DRC and/or a Covered Country, or if the registrant is unable to determine the absolute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8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an SEC-registered issuer that offers products that include tin, tungsten, tantalum and gold (“Conflict Minerals”) that are necessary for the production and/or functionality of those manufactured products, we are subject to this Rule. As part of our company’s desire to take responsibility for and concern ourselves with human rights issues, we decided to review our company’s supply chain according to the EU regulation’s guidance as well, and, based on that guidance, have included conflict-affected or high-risk areas (“CAHRAs”) when approaching suppliers for information. As such, we conduct due diligence on our minerals supply chain according to the Organization for Economic Co-operation and Development (“OECD”) Due Diligence Guidance for Responsible Supply Chains of Minerals from Conflict-Affected and High-Risk Areas (2016) and related Supplements (the “OECD Due Diligence Guidance”). It should be noted that our company does not directly purchase or procure raw materials from the mine sites, as we are a downstream company. Instead, we (or our suppliers) purchase cassiterite, columbite-tantalite (coltan), wolframite, gold, or their derivatives, which presently are limited to tin, tantalum, tungsten, and gold (collectively “3TG”) - related materials, after processing by smelters or refiners.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Kornit is committed to responsible sourcing practices and ensuring that it does not benefit, directly or indirectly, from the propagation of armed conflict or human rights abuses in areas of conflict, such as the CAHARAs. The goal of the due diligence process is not to eliminate sourcing from the CAHARAs, but rather to ascertain, to our best possible knowledge and per the requirements of the Rule, the most reasonable country of origin of the necessary conflict minerals, which were necessary to the functionality or production of our products manufactured or contracted to manufacture in 2021, as detailed in the reasonable country of origin inquiry (“RCOI”) section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 (RCOI)</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spacing w:after="0" w:line="120" w:lineRule="exact"/>
        <w:rPr>
          <w:sz w:val="20"/>
          <w:szCs w:val="20"/>
          <w:color w:val="auto"/>
        </w:rPr>
      </w:pPr>
    </w:p>
    <w:p>
      <w:pPr>
        <w:ind w:right="400" w:firstLine="648"/>
        <w:spacing w:after="0" w:line="289" w:lineRule="auto"/>
        <w:rPr>
          <w:sz w:val="20"/>
          <w:szCs w:val="20"/>
          <w:color w:val="auto"/>
        </w:rPr>
      </w:pPr>
      <w:r>
        <w:rPr>
          <w:rFonts w:ascii="Arial" w:cs="Arial" w:eastAsia="Arial" w:hAnsi="Arial"/>
          <w:sz w:val="17"/>
          <w:szCs w:val="17"/>
          <w:color w:val="auto"/>
        </w:rPr>
        <w:t xml:space="preserve">In accordance with our Conflict Minerals Policy, which can be viewed at: </w:t>
      </w:r>
      <w:r>
        <w:rPr>
          <w:rFonts w:ascii="Arial" w:cs="Arial" w:eastAsia="Arial" w:hAnsi="Arial"/>
          <w:sz w:val="17"/>
          <w:szCs w:val="17"/>
          <w:b w:val="1"/>
          <w:bCs w:val="1"/>
          <w:color w:val="auto"/>
        </w:rPr>
        <w:t>http://www.kornit.com/conflict-minerals-policy/</w:t>
      </w:r>
      <w:r>
        <w:rPr>
          <w:rFonts w:ascii="Arial" w:cs="Arial" w:eastAsia="Arial" w:hAnsi="Arial"/>
          <w:sz w:val="17"/>
          <w:szCs w:val="17"/>
          <w:color w:val="auto"/>
        </w:rPr>
        <w:t>, Kornit has concluded in good faith that during the 2021 calendar year, we have manufactured and contracted to manufacture products containing all four Conflict Minerals and have determined that the use of these minerals is necessary to the functionality or production of our products.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right="40" w:firstLine="648"/>
        <w:spacing w:after="0" w:line="255" w:lineRule="auto"/>
        <w:rPr>
          <w:sz w:val="20"/>
          <w:szCs w:val="20"/>
          <w:color w:val="auto"/>
        </w:rPr>
      </w:pPr>
      <w:r>
        <w:rPr>
          <w:rFonts w:ascii="Arial" w:cs="Arial" w:eastAsia="Arial" w:hAnsi="Arial"/>
          <w:sz w:val="18"/>
          <w:szCs w:val="18"/>
          <w:color w:val="auto"/>
        </w:rPr>
        <w:t xml:space="preserve">We performed an RCOI simultaneously with the due diligence phase through which we sought to determine whether the Conflict Minerals necessary for the functionality or production of our products did or did not receive a compliant or active designation from the Responsible Minerals Initiative’s (“RMI”) independent smelter and refiner validation program, </w:t>
      </w:r>
      <w:r>
        <w:rPr>
          <w:rFonts w:ascii="Arial" w:cs="Arial" w:eastAsia="Arial" w:hAnsi="Arial"/>
          <w:sz w:val="18"/>
          <w:szCs w:val="18"/>
          <w:i w:val="1"/>
          <w:iCs w:val="1"/>
          <w:color w:val="auto"/>
        </w:rPr>
        <w:t>i.e</w:t>
      </w:r>
      <w:r>
        <w:rPr>
          <w:rFonts w:ascii="Arial" w:cs="Arial" w:eastAsia="Arial" w:hAnsi="Arial"/>
          <w:sz w:val="18"/>
          <w:szCs w:val="18"/>
          <w:color w:val="auto"/>
        </w:rPr>
        <w:t>., the Responsible Minerals Assurance Process (“RMAP”). This was conducted simultaneously due to the large number of applicable suppliers from which we source materials that we surveyed and the timeframe in which we needed to complete both the RCOI and due diligence efforts. Our RCOI employed several methods to assess whether the necessary Conflict Minerals in our products originated, or likely originated, from CAHRAs.</w:t>
      </w:r>
    </w:p>
    <w:p>
      <w:pPr>
        <w:spacing w:after="0" w:line="192"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Based on the RCOI conducted, Kornit has reason to believe that a portion of the Conflict Minerals that are necessary for the functionality of its products originated, or likely originated, in the CAHRAs, and has reason to believe that those necessary Conflict Minerals may not be from entirely recycled or scrap sources. As part of our commitment to responsible sourcing, we do not seek to eliminate the sourcing of Conflict Minerals from the CAHRAs, but rather to source the necessary minerals from sources that do not directly or indirectly finance or benefit armed groups in those locations. Based on this result, we conducted due diligence activities and have detailed those efforts in this Conflict Minerals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of Due Diligence</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accordance with the Rule and Form SD, we undertook due diligence to determine whether the Conflict Minerals necessary for the functionality or production of our products, which were manufactured, or contracted to manufacture in 2021, originated from smelters or refiners (“SoRs”) that have received a compliant or active designation from the RMI’s RMAP Third Party Audit program for smelters or refiners.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and related supplements for Conflict Minerals.</w:t>
      </w:r>
    </w:p>
    <w:p>
      <w:pPr>
        <w:spacing w:after="0" w:line="17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five steps defined in the OECD Due Diligence Guidance are: (1) establishment of strong internal company management systems; (2) identification and assessment of risks in the supply chain; (3) design and implementation of a strategy to respond to risks as they are identified; (4) carrying out independent third-party audits of smelters’ and refiners’ due diligence practices; and (5) reporting annually on supply chain due diligence.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due diligence measures we undertook consisted primarily of:</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 Establishing strong company management systems - We reviewed and maintained our management systems that had been previously established through the following actions:</w:t>
      </w:r>
    </w:p>
    <w:p>
      <w:pPr>
        <w:spacing w:after="0" w:line="170" w:lineRule="exact"/>
        <w:rPr>
          <w:sz w:val="20"/>
          <w:szCs w:val="20"/>
          <w:color w:val="auto"/>
        </w:rPr>
      </w:pPr>
    </w:p>
    <w:p>
      <w:pPr>
        <w:ind w:left="980" w:right="6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part of our policy, Kornit strives to only use 3TG minerals from smelters or refiners that have been audited and verified as conflict-free compliant or active by the Responsible Minerals Assurance Process (“RMAP”) and requires its suppliers to only source 3TG minerals from verified smelters or refiners. More information on our sourcing expectations of suppliers can be found in our Conflict Minerals Policy, which is available at the following link: http://www.kornit.com/conflict-minerals-policy/.</w:t>
      </w:r>
    </w:p>
    <w:p>
      <w:pPr>
        <w:spacing w:after="0" w:line="213" w:lineRule="exact"/>
        <w:rPr>
          <w:rFonts w:ascii="Arial" w:cs="Arial" w:eastAsia="Arial" w:hAnsi="Arial"/>
          <w:sz w:val="18"/>
          <w:szCs w:val="18"/>
          <w:color w:val="auto"/>
        </w:rPr>
      </w:pPr>
    </w:p>
    <w:p>
      <w:pPr>
        <w:ind w:left="980" w:right="34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Updated the Conflict Minerals Governance Charter to set the Conflict Minerals annual work plan including: our steps for compliance, objectives, timelines, internal management and cross functional team (such as supplier management, engineering, finance and legal) with identified roles and responsibilities, all to support supply chain due diligence.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 w:name="page8"/>
    <w:bookmarkEnd w:id="7"/>
    <w:p>
      <w:pPr>
        <w:jc w:val="both"/>
        <w:ind w:left="980" w:right="60" w:hanging="324"/>
        <w:spacing w:after="0" w:line="263"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6.01 or above).</w:t>
      </w:r>
    </w:p>
    <w:p>
      <w:pPr>
        <w:spacing w:after="0" w:line="21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Maintained a Conflict Minerals provision in our standard Terms and Conditions of Purchase to require suppliers to comply with our Conflict Minerals Policy and requirements.</w:t>
      </w:r>
    </w:p>
    <w:p>
      <w:pPr>
        <w:spacing w:after="0" w:line="197" w:lineRule="exact"/>
        <w:rPr>
          <w:rFonts w:ascii="Arial" w:cs="Arial" w:eastAsia="Arial" w:hAnsi="Arial"/>
          <w:sz w:val="18"/>
          <w:szCs w:val="18"/>
          <w:color w:val="auto"/>
        </w:rPr>
      </w:pPr>
    </w:p>
    <w:p>
      <w:pPr>
        <w:ind w:left="980" w:right="76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Maintained a process whereby we communicate the due diligence efforts to customers, suppliers and other relevant functions in our organization, as applicable.</w:t>
      </w:r>
    </w:p>
    <w:p>
      <w:pPr>
        <w:spacing w:after="0" w:line="197" w:lineRule="exact"/>
        <w:rPr>
          <w:rFonts w:ascii="Arial" w:cs="Arial" w:eastAsia="Arial" w:hAnsi="Arial"/>
          <w:sz w:val="18"/>
          <w:szCs w:val="18"/>
          <w:color w:val="auto"/>
        </w:rPr>
      </w:pPr>
    </w:p>
    <w:p>
      <w:pPr>
        <w:ind w:left="980" w:right="34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Maintained a grievance mechanism whereby concerns and violations of the Conflict Minerals Policy should be reported to Kornit’s Chief Financial Officer and/or Global Product Regulation and Sustainability Manager (at Nir.Gonen@kornit.com).</w:t>
      </w:r>
    </w:p>
    <w:p>
      <w:pPr>
        <w:spacing w:after="0" w:line="197" w:lineRule="exact"/>
        <w:rPr>
          <w:rFonts w:ascii="Arial" w:cs="Arial" w:eastAsia="Arial" w:hAnsi="Arial"/>
          <w:sz w:val="18"/>
          <w:szCs w:val="18"/>
          <w:color w:val="auto"/>
        </w:rPr>
      </w:pPr>
    </w:p>
    <w:p>
      <w:pPr>
        <w:ind w:right="6280" w:firstLine="656"/>
        <w:spacing w:after="0" w:line="500" w:lineRule="auto"/>
        <w:tabs>
          <w:tab w:leader="none" w:pos="981"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Maintain relevant records for a minimum of five years. </w:t>
      </w:r>
      <w:r>
        <w:rPr>
          <w:rFonts w:ascii="Arial" w:cs="Arial" w:eastAsia="Arial" w:hAnsi="Arial"/>
          <w:sz w:val="18"/>
          <w:szCs w:val="18"/>
          <w:b w:val="1"/>
          <w:bCs w:val="1"/>
          <w:color w:val="auto"/>
        </w:rPr>
        <w:t>b. Identified and assessed risks in the supply chain</w:t>
      </w:r>
    </w:p>
    <w:p>
      <w:pPr>
        <w:spacing w:after="0" w:line="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18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2021 and the extent to which we are dependent upon any particular supplier or, conversely, the availability of alternative suppliers.</w:t>
      </w:r>
    </w:p>
    <w:p>
      <w:pPr>
        <w:spacing w:after="0" w:line="18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We sent periodic reminders to any non-responsive suppliers to provide surveys or updated responses. We have identified, to the best of our efforts, the smelters/refiners in the supply chain by conducting a supply chain survey using the Conflict Minerals Reporting Template, or CMRT, version 6.01 and above, which requests suppliers and manufactures to identify smelters or refiners and the country of origin, or likely country of origin, of the conflict minerals in the products that they supply to us. In addition, we compared smelters or refiners identified in the supply chain survey against the list of facilities that have received a compliant or active designation from the Responsible Minerals Assurance Process (“RMAP”), or other independent third-party audit programs. We documented the country of origin, or likely country of origin, information for the smelters or refiners identified in the supply chain survey as provided from the different sources, as reported in </w:t>
      </w:r>
      <w:r>
        <w:rPr>
          <w:rFonts w:ascii="Arial" w:cs="Arial" w:eastAsia="Arial" w:hAnsi="Arial"/>
          <w:sz w:val="17"/>
          <w:szCs w:val="17"/>
          <w:u w:val="single" w:color="auto"/>
          <w:color w:val="auto"/>
        </w:rPr>
        <w:t>Annex 2</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Designed and implemented a strategy to respond to identified risks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findings of the supply chain risk assessment and due diligence process are reported to designated members of our senior management team — our CFO, EVP Operation, General Counsel and ESG Director, Supply Chain Director and CEO, who are updated regarding major findings and/or red flags, as they arise. As part of our risk management strategy, we continue to conduct business with any flagged supplier while we investigate such supplier’s’ sourcing practices.</w:t>
      </w:r>
    </w:p>
    <w:p>
      <w:pPr>
        <w:spacing w:after="0" w:line="18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contact suppliers whose responses are identified as incomplete, inconsistent or inaccurate. We also review supplier responses to track smelters or refiners in our supply chain that supply us with Conflict Minerals and have not received a compliant or active designation based on the RMI’s RMAP or other independent third party validation programs.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8" w:name="page9"/>
    <w:bookmarkEnd w:id="8"/>
    <w:p>
      <w:pPr>
        <w:ind w:firstLine="648"/>
        <w:spacing w:after="0" w:line="301" w:lineRule="auto"/>
        <w:rPr>
          <w:sz w:val="20"/>
          <w:szCs w:val="20"/>
          <w:color w:val="auto"/>
        </w:rPr>
      </w:pPr>
      <w:r>
        <w:rPr>
          <w:rFonts w:ascii="Arial" w:cs="Arial" w:eastAsia="Arial" w:hAnsi="Arial"/>
          <w:sz w:val="16"/>
          <w:szCs w:val="16"/>
          <w:color w:val="auto"/>
        </w:rPr>
        <w:t>We referred suppliers to training materials online that included an overview of the Rule and instructions on how to complete the Conflict Minerals Reporting Template. We also sent follow up letters to unresponsive suppliers as well as those suppliers that declared the existence of Conflict Minerals in their supply chain from the CAHRAs from uncertified smelters or refiners, according to the RMI’s Standard Smelter List that provides an indication of all of the smelters or refiners that are conformant or active according to the RMAP audit. These are suppliers that we classify as high risk.</w:t>
      </w:r>
    </w:p>
    <w:p>
      <w:pPr>
        <w:spacing w:after="0" w:line="15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supply chain due diligence is a dynamic process and requires on-going risk monitoring. Therefore, after implementing our risk mitigation strategy, we repeat Step 2 of the OECD guidelines to ensure effective management of risks. We have established procedures for employees, stakeholders, direct suppliers, and customers to communicate concerns about our responsible sourcing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Reviewed independent third-party audit of smelter/refiner due diligence practices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We are a downstream company and are multiple layers removed from the smelters or refiners that directly process the minerals and mineral ores that are essential to the production or functionality of our products,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necessary Conflict Minerals. Our constitution as a downstream company means that we do not directly perform audits of the smelters or refiners in its mineral supply chain. As a result, our due diligence efforts relied on reviewing information on the status of smelters or refiners participating in Third Party Audit programs and cross-industry initiatives, such as those led by the RMI’s RMAP.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Prepared an annual report on supply chain due diligence</w:t>
      </w:r>
    </w:p>
    <w:p>
      <w:pPr>
        <w:spacing w:after="0" w:line="229" w:lineRule="exact"/>
        <w:rPr>
          <w:sz w:val="20"/>
          <w:szCs w:val="20"/>
          <w:color w:val="auto"/>
        </w:rPr>
      </w:pPr>
    </w:p>
    <w:p>
      <w:pPr>
        <w:ind w:right="180" w:firstLine="657"/>
        <w:spacing w:after="0" w:line="259" w:lineRule="auto"/>
        <w:rPr>
          <w:sz w:val="20"/>
          <w:szCs w:val="20"/>
          <w:color w:val="auto"/>
        </w:rPr>
      </w:pPr>
      <w:r>
        <w:rPr>
          <w:rFonts w:ascii="Arial" w:cs="Arial" w:eastAsia="Arial" w:hAnsi="Arial"/>
          <w:sz w:val="18"/>
          <w:szCs w:val="18"/>
          <w:color w:val="auto"/>
        </w:rPr>
        <w:t xml:space="preserve">Kornit’s Conflict Mineral Policy states that we will comply with Section 1502 of the Dodd Frank Act, which includes filing a Form SD and this Conflict Minerals report with the SEC annually and posting such report publicly on our website at: </w:t>
      </w:r>
      <w:r>
        <w:rPr>
          <w:rFonts w:ascii="Arial" w:cs="Arial" w:eastAsia="Arial" w:hAnsi="Arial"/>
          <w:sz w:val="18"/>
          <w:szCs w:val="18"/>
          <w:b w:val="1"/>
          <w:bCs w:val="1"/>
          <w:color w:val="auto"/>
        </w:rPr>
        <w:t xml:space="preserve">https://ir.kornit.com/financial-information/sec-filings?items_per_page=10&amp;page=2 </w:t>
      </w:r>
      <w:r>
        <w:rPr>
          <w:rFonts w:ascii="Arial" w:cs="Arial" w:eastAsia="Arial" w:hAnsi="Arial"/>
          <w:sz w:val="18"/>
          <w:szCs w:val="18"/>
          <w:color w:val="auto"/>
        </w:rPr>
        <w:t>.. We have included such report on our website for the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 of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Assessment</w:t>
      </w:r>
    </w:p>
    <w:p>
      <w:pPr>
        <w:spacing w:after="0" w:line="225"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 xml:space="preserve">We conducted a supply-chain survey of the </w:t>
      </w:r>
      <w:r>
        <w:rPr>
          <w:rFonts w:ascii="Arial" w:cs="Arial" w:eastAsia="Arial" w:hAnsi="Arial"/>
          <w:sz w:val="16"/>
          <w:szCs w:val="16"/>
          <w:b w:val="1"/>
          <w:bCs w:val="1"/>
          <w:color w:val="auto"/>
        </w:rPr>
        <w:t>264</w:t>
      </w:r>
      <w:r>
        <w:rPr>
          <w:rFonts w:ascii="Arial" w:cs="Arial" w:eastAsia="Arial" w:hAnsi="Arial"/>
          <w:sz w:val="16"/>
          <w:szCs w:val="16"/>
          <w:color w:val="auto"/>
        </w:rPr>
        <w:t xml:space="preserve"> direct suppliers and manufacturers that we identified as contributing the necessary conflict minerals to our products. Based on the survey, we are unable to determine with any level of certainty as to whether or not the Conflict Minerals used in our products may or may not have directly or indirectly financed armed groups in the CAHRAs. The overall response rate to our survey -- i.e., suppliers who delivered completed CMRTs-- was approximately 70.08%, (185 of 284 total suppliers), which responses contained the names and locations of smelters or refiners (see Annex 1) and the reasonable countries of origin see (Annex 2) that process Conflict Minerals. This response rate reflects an improvement relative to the response rate for the 2020 year (59.74%), evidencing an improved due diligence effort on our behalf in obtaining information from our suppliers and manufacturers as a means of mitigating the risk that the necessary Conflict Minerals in our products benefit armed groups.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this response rate (</w:t>
      </w:r>
      <w:r>
        <w:rPr>
          <w:rFonts w:ascii="Arial" w:cs="Arial" w:eastAsia="Arial" w:hAnsi="Arial"/>
          <w:sz w:val="18"/>
          <w:szCs w:val="18"/>
          <w:i w:val="1"/>
          <w:iCs w:val="1"/>
          <w:color w:val="auto"/>
        </w:rPr>
        <w:t>i.e.,</w:t>
      </w:r>
      <w:r>
        <w:rPr>
          <w:rFonts w:ascii="Arial" w:cs="Arial" w:eastAsia="Arial" w:hAnsi="Arial"/>
          <w:sz w:val="18"/>
          <w:szCs w:val="18"/>
          <w:color w:val="auto"/>
        </w:rPr>
        <w:t xml:space="preserve"> the 70.08% of suppliers that responded to the supply chain inquiry in 2021):</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3.78% suppliers were classified as “DRC conflict free” – (7 of 185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12.97% suppliers were classified as “Free no 3TG” – (24 of 185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9.19% suppliers were classified as “Undefined from DRC” – (17 of 185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8.11% suppliers were classified as “Undetermined not from DRC”– (15 of 185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65.41% suppliers were classified as “Undetermined from DRC” – (121 of 185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0.54% suppliers were classified as “Not from DRC” – (1 of 185 responding suppliers)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Status</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43"/>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Completed CMRT</w:t>
            </w:r>
          </w:p>
        </w:tc>
        <w:tc>
          <w:tcPr>
            <w:tcW w:w="12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8600" w:type="dxa"/>
            <w:vAlign w:val="bottom"/>
            <w:gridSpan w:val="2"/>
          </w:tcPr>
          <w:p>
            <w:pPr>
              <w:spacing w:after="0"/>
              <w:rPr>
                <w:sz w:val="20"/>
                <w:szCs w:val="20"/>
                <w:color w:val="auto"/>
              </w:rPr>
            </w:pPr>
            <w:r>
              <w:rPr>
                <w:rFonts w:ascii="Arial" w:cs="Arial" w:eastAsia="Arial" w:hAnsi="Arial"/>
                <w:sz w:val="18"/>
                <w:szCs w:val="18"/>
                <w:color w:val="auto"/>
              </w:rPr>
              <w:t>DRC conflict free</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no 3TG</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43"/>
        </w:trPr>
        <w:tc>
          <w:tcPr>
            <w:tcW w:w="8600" w:type="dxa"/>
            <w:vAlign w:val="bottom"/>
            <w:gridSpan w:val="2"/>
          </w:tcPr>
          <w:p>
            <w:pPr>
              <w:spacing w:after="0"/>
              <w:rPr>
                <w:sz w:val="20"/>
                <w:szCs w:val="20"/>
                <w:color w:val="auto"/>
              </w:rPr>
            </w:pPr>
            <w:r>
              <w:rPr>
                <w:rFonts w:ascii="Arial" w:cs="Arial" w:eastAsia="Arial" w:hAnsi="Arial"/>
                <w:sz w:val="18"/>
                <w:szCs w:val="18"/>
                <w:color w:val="auto"/>
              </w:rPr>
              <w:t>Undefined from DRC</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9.19%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Undetermined not from DRC</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43"/>
        </w:trPr>
        <w:tc>
          <w:tcPr>
            <w:tcW w:w="8600" w:type="dxa"/>
            <w:vAlign w:val="bottom"/>
            <w:gridSpan w:val="2"/>
          </w:tcPr>
          <w:p>
            <w:pPr>
              <w:spacing w:after="0"/>
              <w:rPr>
                <w:sz w:val="20"/>
                <w:szCs w:val="20"/>
                <w:color w:val="auto"/>
              </w:rPr>
            </w:pPr>
            <w:r>
              <w:rPr>
                <w:rFonts w:ascii="Arial" w:cs="Arial" w:eastAsia="Arial" w:hAnsi="Arial"/>
                <w:sz w:val="18"/>
                <w:szCs w:val="18"/>
                <w:color w:val="auto"/>
              </w:rPr>
              <w:t>Undetermined from DRC</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65.41%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60.22%</w:t>
            </w:r>
          </w:p>
        </w:tc>
      </w:tr>
      <w:tr>
        <w:trPr>
          <w:trHeight w:val="243"/>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 from DRC</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137160</wp:posOffset>
            </wp:positionV>
            <wp:extent cx="4937760" cy="2880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above have the following meaning as part of our due diligence efforts:</w:t>
      </w:r>
    </w:p>
    <w:p>
      <w:pPr>
        <w:spacing w:after="0" w:line="221" w:lineRule="exact"/>
        <w:rPr>
          <w:sz w:val="20"/>
          <w:szCs w:val="20"/>
          <w:color w:val="auto"/>
        </w:rPr>
      </w:pPr>
    </w:p>
    <w:p>
      <w:pPr>
        <w:ind w:left="980" w:right="260" w:hanging="324"/>
        <w:spacing w:after="0" w:line="26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DRC conflict free</w:t>
      </w:r>
      <w:r>
        <w:rPr>
          <w:rFonts w:ascii="Arial" w:cs="Arial" w:eastAsia="Arial" w:hAnsi="Arial"/>
          <w:sz w:val="18"/>
          <w:szCs w:val="18"/>
          <w:color w:val="auto"/>
        </w:rPr>
        <w:t>” indicates the suppliers that reported that the Conflict Minerals being used in the products provided to Kornit originate from the DRC or the Covered Countries, but the smelters or refiners are approved by the RMI RMAP Program (“Responsible Minerals Assurance Process”).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ind w:left="980" w:right="340" w:hanging="324"/>
        <w:spacing w:after="0" w:line="28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no 3TG</w:t>
      </w:r>
      <w:r>
        <w:rPr>
          <w:rFonts w:ascii="Arial" w:cs="Arial" w:eastAsia="Arial" w:hAnsi="Arial"/>
          <w:sz w:val="18"/>
          <w:szCs w:val="18"/>
          <w:color w:val="auto"/>
        </w:rPr>
        <w:t>” indicates the suppliers that reported that Conflict Minerals are not contained in the product, nor are they necessary for the functionality or included in the production of the products provided to Kornit.</w:t>
      </w:r>
    </w:p>
    <w:p>
      <w:pPr>
        <w:spacing w:after="0" w:line="161"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Undefined from DRC”</w:t>
      </w:r>
      <w:r>
        <w:rPr>
          <w:rFonts w:ascii="Arial" w:cs="Arial" w:eastAsia="Arial" w:hAnsi="Arial"/>
          <w:sz w:val="17"/>
          <w:szCs w:val="17"/>
          <w:color w:val="auto"/>
        </w:rPr>
        <w:t xml:space="preserve"> indicates the suppliers that reported the Conflict Minerals being used in the products provided to Kornit originate, or likely originate from the DRC or the Covered Countries. The smelters or refiners are not approved by the RMI’s RMAP.</w:t>
      </w:r>
    </w:p>
    <w:p>
      <w:pPr>
        <w:spacing w:after="0" w:line="166" w:lineRule="exact"/>
        <w:rPr>
          <w:rFonts w:ascii="Arial" w:cs="Arial" w:eastAsia="Arial" w:hAnsi="Arial"/>
          <w:sz w:val="17"/>
          <w:szCs w:val="17"/>
          <w:color w:val="auto"/>
        </w:rPr>
      </w:pPr>
    </w:p>
    <w:p>
      <w:pPr>
        <w:ind w:left="980" w:right="140" w:hanging="324"/>
        <w:spacing w:after="0" w:line="28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Undetermined not from DRC</w:t>
      </w:r>
      <w:r>
        <w:rPr>
          <w:rFonts w:ascii="Arial" w:cs="Arial" w:eastAsia="Arial" w:hAnsi="Arial"/>
          <w:sz w:val="17"/>
          <w:szCs w:val="17"/>
          <w:color w:val="auto"/>
        </w:rPr>
        <w:t>” indicates the suppliers that reported the Conflict Minerals being used in the products do not originate from the DRC or the Covered Countries, but that they have not yet concluded their due diligence process so this determination could potentially change. Due diligence for these in scope suppliers will continue until the status changes or is confirmed.</w:t>
      </w:r>
    </w:p>
    <w:p>
      <w:pPr>
        <w:spacing w:after="0" w:line="184" w:lineRule="exact"/>
        <w:rPr>
          <w:rFonts w:ascii="Arial" w:cs="Arial" w:eastAsia="Arial" w:hAnsi="Arial"/>
          <w:sz w:val="17"/>
          <w:szCs w:val="17"/>
          <w:color w:val="auto"/>
        </w:rPr>
      </w:pPr>
    </w:p>
    <w:p>
      <w:pPr>
        <w:ind w:left="980" w:right="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Undetermined from DRC</w:t>
      </w:r>
      <w:r>
        <w:rPr>
          <w:rFonts w:ascii="Arial" w:cs="Arial" w:eastAsia="Arial" w:hAnsi="Arial"/>
          <w:sz w:val="18"/>
          <w:szCs w:val="18"/>
          <w:color w:val="auto"/>
        </w:rPr>
        <w:t>” indicates the suppliers that reported that the Conflict Minerals being used in the products provided to Kornit originate, or likely originate, in the DRC or the Covered Countries and the smelters or refiners are approved by the RMI RMAP program, but they have not yet concluded their due diligence process, so this determination can potentially change. Due diligence for these in-scope suppliers will continue until the status changes or is confirmed.</w:t>
      </w:r>
    </w:p>
    <w:p>
      <w:pPr>
        <w:spacing w:after="0" w:line="206" w:lineRule="exact"/>
        <w:rPr>
          <w:rFonts w:ascii="Arial" w:cs="Arial" w:eastAsia="Arial" w:hAnsi="Arial"/>
          <w:sz w:val="18"/>
          <w:szCs w:val="18"/>
          <w:color w:val="auto"/>
        </w:rPr>
      </w:pPr>
    </w:p>
    <w:p>
      <w:pPr>
        <w:ind w:left="980" w:right="400" w:hanging="324"/>
        <w:spacing w:after="0" w:line="28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 from DRC</w:t>
      </w:r>
      <w:r>
        <w:rPr>
          <w:rFonts w:ascii="Arial" w:cs="Arial" w:eastAsia="Arial" w:hAnsi="Arial"/>
          <w:sz w:val="18"/>
          <w:szCs w:val="18"/>
          <w:color w:val="auto"/>
        </w:rPr>
        <w:t>” indicates the suppliers that reported sourcing Conflict Minerals, but from countries other than the DRC or the Covered Countries.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We cannot assert with any level of certainty that our conclusions regarding the source, or likely source, and chain of custody of the necessary conflict minerals is accurate because we rely exclusively on information provided by our direct suppliers. In this regard, we have made reasonable inquiries in an effort to verify and assess the information provided based on the conclusions of an independent third-party audit program, </w:t>
      </w:r>
      <w:r>
        <w:rPr>
          <w:rFonts w:ascii="Arial" w:cs="Arial" w:eastAsia="Arial" w:hAnsi="Arial"/>
          <w:sz w:val="18"/>
          <w:szCs w:val="18"/>
          <w:i w:val="1"/>
          <w:iCs w:val="1"/>
          <w:color w:val="auto"/>
        </w:rPr>
        <w:t>i.e</w:t>
      </w:r>
      <w:r>
        <w:rPr>
          <w:rFonts w:ascii="Arial" w:cs="Arial" w:eastAsia="Arial" w:hAnsi="Arial"/>
          <w:sz w:val="18"/>
          <w:szCs w:val="18"/>
          <w:color w:val="auto"/>
        </w:rPr>
        <w:t>., the RMI’s RMAP validation program for smelters or refiners, or other relevant Third Party Audit bodies.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Despite the fact that some suppliers indicated that they source from the CAHRAs, these suppliers were unable to accurately report the specific smelters and/or refiners that were part of the supply chain for the components that were sold and which are necessary to the production and/or functionality of our products in 2021. Based on the lack of complete information from our suppliers, we are unable to determine with any level of certainty as to the complete list of facilities used to process those necessary Conflict Minerals, or their country of origin, and to conclude whether or not the Conflict Minerals used in our products may or may not have directly or indirectly financed armed groups in the CAHRAs. Our efforts to determine the mine(s) or location of origin included the use of the due diligence measures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or refiners verified as conflict free or in the audit process: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910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57 of 75 (68.67%) - (51 compliant and 6 active smelters or refiners)</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9100" w:type="dxa"/>
            <w:vAlign w:val="bottom"/>
            <w:gridSpan w:val="3"/>
          </w:tcPr>
          <w:p>
            <w:pPr>
              <w:ind w:left="1480"/>
              <w:spacing w:after="0"/>
              <w:rPr>
                <w:sz w:val="20"/>
                <w:szCs w:val="20"/>
                <w:color w:val="auto"/>
              </w:rPr>
            </w:pPr>
            <w:r>
              <w:rPr>
                <w:rFonts w:ascii="Arial" w:cs="Arial" w:eastAsia="Arial" w:hAnsi="Arial"/>
                <w:sz w:val="18"/>
                <w:szCs w:val="18"/>
                <w:color w:val="auto"/>
              </w:rPr>
              <w:t>35 of 38 (92.11%) - (35 compliant and 0 active smelters or refiners)</w:t>
            </w:r>
          </w:p>
        </w:tc>
      </w:tr>
      <w:tr>
        <w:trPr>
          <w:trHeight w:val="216"/>
        </w:trPr>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910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46 of 51 (90.20%) - (42 compliant and 4 active smelters or refiners)</w:t>
            </w:r>
          </w:p>
        </w:tc>
      </w:tr>
      <w:tr>
        <w:trPr>
          <w:trHeight w:val="216"/>
        </w:trPr>
        <w:tc>
          <w:tcPr>
            <w:tcW w:w="2140" w:type="dxa"/>
            <w:vAlign w:val="bottom"/>
            <w:gridSpan w:val="2"/>
          </w:tcPr>
          <w:p>
            <w:pPr>
              <w:spacing w:after="0"/>
              <w:rPr>
                <w:sz w:val="20"/>
                <w:szCs w:val="20"/>
                <w:color w:val="auto"/>
              </w:rPr>
            </w:pPr>
            <w:r>
              <w:rPr>
                <w:rFonts w:ascii="Arial" w:cs="Arial" w:eastAsia="Arial" w:hAnsi="Arial"/>
                <w:sz w:val="18"/>
                <w:szCs w:val="18"/>
                <w:color w:val="auto"/>
              </w:rPr>
              <w:t>Gold</w:t>
            </w:r>
          </w:p>
        </w:tc>
        <w:tc>
          <w:tcPr>
            <w:tcW w:w="2280" w:type="dxa"/>
            <w:vAlign w:val="bottom"/>
          </w:tcPr>
          <w:p>
            <w:pPr>
              <w:ind w:left="1480"/>
              <w:spacing w:after="0"/>
              <w:rPr>
                <w:sz w:val="20"/>
                <w:szCs w:val="20"/>
                <w:color w:val="auto"/>
              </w:rPr>
            </w:pPr>
            <w:r>
              <w:rPr>
                <w:rFonts w:ascii="Arial" w:cs="Arial" w:eastAsia="Arial" w:hAnsi="Arial"/>
                <w:sz w:val="18"/>
                <w:szCs w:val="18"/>
                <w:color w:val="auto"/>
                <w:w w:val="91"/>
              </w:rPr>
              <w:t>109 of 173</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(61.27%)</w:t>
            </w:r>
          </w:p>
        </w:tc>
        <w:tc>
          <w:tcPr>
            <w:tcW w:w="6100" w:type="dxa"/>
            <w:vAlign w:val="bottom"/>
          </w:tcPr>
          <w:p>
            <w:pPr>
              <w:ind w:left="20"/>
              <w:spacing w:after="0"/>
              <w:rPr>
                <w:sz w:val="20"/>
                <w:szCs w:val="20"/>
                <w:color w:val="auto"/>
              </w:rPr>
            </w:pPr>
            <w:r>
              <w:rPr>
                <w:rFonts w:ascii="Arial" w:cs="Arial" w:eastAsia="Arial" w:hAnsi="Arial"/>
                <w:sz w:val="18"/>
                <w:szCs w:val="18"/>
                <w:color w:val="auto"/>
              </w:rPr>
              <w:t>- (99 compliant and 7 active smelters or refiners)</w:t>
            </w:r>
          </w:p>
        </w:tc>
      </w:tr>
      <w:tr>
        <w:trPr>
          <w:trHeight w:val="223"/>
        </w:trPr>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w:t>
            </w:r>
          </w:p>
        </w:tc>
        <w:tc>
          <w:tcPr>
            <w:tcW w:w="2280" w:type="dxa"/>
            <w:vAlign w:val="bottom"/>
            <w:shd w:val="clear" w:color="auto" w:fill="CCEEFF"/>
          </w:tcPr>
          <w:p>
            <w:pPr>
              <w:ind w:left="1480"/>
              <w:spacing w:after="0" w:line="176" w:lineRule="exact"/>
              <w:rPr>
                <w:sz w:val="20"/>
                <w:szCs w:val="20"/>
                <w:color w:val="auto"/>
              </w:rPr>
            </w:pPr>
            <w:r>
              <w:rPr>
                <w:rFonts w:ascii="Arial" w:cs="Arial" w:eastAsia="Arial" w:hAnsi="Arial"/>
                <w:sz w:val="18"/>
                <w:szCs w:val="18"/>
                <w:color w:val="auto"/>
                <w:w w:val="91"/>
              </w:rPr>
              <w:t>244 of 337</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(72.40%)</w:t>
            </w:r>
          </w:p>
        </w:tc>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(227 compliant and 17 active smelters or refiners)</w:t>
            </w:r>
          </w:p>
        </w:tc>
      </w:tr>
      <w:tr>
        <w:trPr>
          <w:trHeight w:val="682"/>
        </w:trPr>
        <w:tc>
          <w:tcPr>
            <w:tcW w:w="40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22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100" w:type="dxa"/>
            <w:vAlign w:val="bottom"/>
            <w:tcBorders>
              <w:top w:val="single" w:sz="8" w:color="CCEEFF"/>
              <w:bottom w:val="single" w:sz="8" w:color="auto"/>
            </w:tcBorders>
          </w:tcPr>
          <w:p>
            <w:pPr>
              <w:jc w:val="right"/>
              <w:ind w:right="5464"/>
              <w:spacing w:after="0"/>
              <w:rPr>
                <w:sz w:val="20"/>
                <w:szCs w:val="20"/>
                <w:color w:val="auto"/>
              </w:rPr>
            </w:pPr>
            <w:r>
              <w:rPr>
                <w:rFonts w:ascii="Arial" w:cs="Arial" w:eastAsia="Arial" w:hAnsi="Arial"/>
                <w:sz w:val="22"/>
                <w:szCs w:val="22"/>
                <w:color w:val="auto"/>
              </w:rPr>
              <w:t>8</w:t>
            </w: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1288415</wp:posOffset>
            </wp:positionH>
            <wp:positionV relativeFrom="page">
              <wp:posOffset>586105</wp:posOffset>
            </wp:positionV>
            <wp:extent cx="4937760" cy="2880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Smelters or refiners: </w:t>
            </w:r>
            <w:r>
              <w:rPr>
                <w:rFonts w:ascii="Arial" w:cs="Arial" w:eastAsia="Arial" w:hAnsi="Arial"/>
                <w:sz w:val="18"/>
                <w:szCs w:val="18"/>
                <w:color w:val="auto"/>
              </w:rPr>
              <w:t>2020-2021</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Status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Verified Conflict Free</w:t>
            </w: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(67.36</w:t>
            </w:r>
          </w:p>
        </w:tc>
        <w:tc>
          <w:tcPr>
            <w:tcW w:w="42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(74.67</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43"/>
        </w:trPr>
        <w:tc>
          <w:tcPr>
            <w:tcW w:w="8600" w:type="dxa"/>
            <w:vAlign w:val="bottom"/>
            <w:gridSpan w:val="3"/>
          </w:tcPr>
          <w:p>
            <w:pPr>
              <w:spacing w:after="0"/>
              <w:rPr>
                <w:sz w:val="20"/>
                <w:szCs w:val="20"/>
                <w:color w:val="auto"/>
              </w:rPr>
            </w:pPr>
            <w:r>
              <w:rPr>
                <w:rFonts w:ascii="Arial" w:cs="Arial" w:eastAsia="Arial" w:hAnsi="Arial"/>
                <w:sz w:val="18"/>
                <w:szCs w:val="18"/>
                <w:color w:val="auto"/>
              </w:rPr>
              <w:t>Participating in an audit process</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17 (5.04%)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 (3.57%)</w:t>
            </w:r>
          </w:p>
        </w:tc>
        <w:tc>
          <w:tcPr>
            <w:tcW w:w="0" w:type="dxa"/>
            <w:vAlign w:val="bottom"/>
          </w:tcPr>
          <w:p>
            <w:pPr>
              <w:spacing w:after="0"/>
              <w:rPr>
                <w:sz w:val="1"/>
                <w:szCs w:val="1"/>
                <w:color w:val="auto"/>
              </w:rPr>
            </w:pPr>
          </w:p>
        </w:tc>
      </w:tr>
      <w:tr>
        <w:trPr>
          <w:trHeight w:val="250"/>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Participating</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93 (27.60%)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 (21.75%)</w:t>
            </w:r>
          </w:p>
        </w:tc>
        <w:tc>
          <w:tcPr>
            <w:tcW w:w="0" w:type="dxa"/>
            <w:vAlign w:val="bottom"/>
          </w:tcPr>
          <w:p>
            <w:pPr>
              <w:spacing w:after="0"/>
              <w:rPr>
                <w:sz w:val="1"/>
                <w:szCs w:val="1"/>
                <w:color w:val="auto"/>
              </w:rPr>
            </w:pPr>
          </w:p>
        </w:tc>
      </w:tr>
      <w:tr>
        <w:trPr>
          <w:trHeight w:val="149"/>
        </w:trPr>
        <w:tc>
          <w:tcPr>
            <w:tcW w:w="400" w:type="dxa"/>
            <w:vAlign w:val="bottom"/>
            <w:tcBorders>
              <w:top w:val="single" w:sz="8" w:color="CCEEFF"/>
              <w:bottom w:val="single" w:sz="8" w:color="auto"/>
            </w:tcBorders>
          </w:tcPr>
          <w:p>
            <w:pPr>
              <w:spacing w:after="0" w:line="136" w:lineRule="exact"/>
              <w:rPr>
                <w:sz w:val="20"/>
                <w:szCs w:val="20"/>
                <w:color w:val="auto"/>
              </w:rPr>
            </w:pPr>
            <w:r>
              <w:rPr>
                <w:rFonts w:ascii="Arial" w:cs="Arial" w:eastAsia="Arial" w:hAnsi="Arial"/>
                <w:sz w:val="15"/>
                <w:szCs w:val="15"/>
                <w:b w:val="1"/>
                <w:bCs w:val="1"/>
                <w:color w:val="auto"/>
              </w:rPr>
              <w:t>Total</w:t>
            </w:r>
          </w:p>
        </w:tc>
        <w:tc>
          <w:tcPr>
            <w:tcW w:w="8200" w:type="dxa"/>
            <w:vAlign w:val="bottom"/>
            <w:tcBorders>
              <w:top w:val="single" w:sz="8" w:color="CCEEFF"/>
              <w:bottom w:val="single" w:sz="8" w:color="CCEEFF"/>
            </w:tcBorders>
            <w:gridSpan w:val="2"/>
            <w:vMerge w:val="restart"/>
          </w:tcPr>
          <w:p>
            <w:pPr>
              <w:spacing w:after="0"/>
              <w:rPr>
                <w:sz w:val="12"/>
                <w:szCs w:val="12"/>
                <w:color w:val="auto"/>
              </w:rPr>
            </w:pP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337 (100</w:t>
            </w:r>
          </w:p>
        </w:tc>
        <w:tc>
          <w:tcPr>
            <w:tcW w:w="4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w w:val="81"/>
              </w:rPr>
              <w:t>%)</w:t>
            </w:r>
          </w:p>
        </w:tc>
        <w:tc>
          <w:tcPr>
            <w:tcW w:w="10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308 (100</w:t>
            </w: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20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statements above are based on the RCOI process and supply due diligence that we in good faith conducted for 2021. These statements are based on the information available at the time of the writing and publication of this report. A number of factors could introduce errors or otherwise may affect our conclusions.</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These factors include, but are not limited to, gaps in product or product content information, gaps in supplier data, errors and/or omissions by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2021, and smuggling of Conflict Minerals to countries beyond the CAHRAs.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right="100" w:firstLine="648"/>
        <w:spacing w:after="0" w:line="259" w:lineRule="auto"/>
        <w:rPr>
          <w:sz w:val="20"/>
          <w:szCs w:val="20"/>
          <w:color w:val="auto"/>
        </w:rPr>
      </w:pPr>
      <w:r>
        <w:rPr>
          <w:rFonts w:ascii="Arial" w:cs="Arial" w:eastAsia="Arial" w:hAnsi="Arial"/>
          <w:sz w:val="18"/>
          <w:szCs w:val="18"/>
          <w:color w:val="auto"/>
        </w:rPr>
        <w:t>We do not collect information from our suppliers on a continuous and real-time basis. Instead, we only collect such information in the context of the CMRTs provided by the suppliers at the time of the publication of this report. We cannot be certain about our conclusions regarding the source and chain of custody of the necessary Conflict Minerals as such information comes from direct suppliers, though we do verify their declarations against the conclusions of independent third-party audit programs, such as the RMI’s RMAP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improvement efforts to mitigate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continue working with our global supply chain in an effort to achieve responsible sourcing and compliance with international regulations, including through the following actions:</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to conduct and report annually on supply chain due diligence for the applicable Conflict Minerals, as required by the Rule.</w:t>
      </w:r>
    </w:p>
    <w:p>
      <w:pPr>
        <w:spacing w:after="0" w:line="263" w:lineRule="exact"/>
        <w:rPr>
          <w:rFonts w:ascii="Arial" w:cs="Arial" w:eastAsia="Arial" w:hAnsi="Arial"/>
          <w:sz w:val="17"/>
          <w:szCs w:val="17"/>
          <w:color w:val="auto"/>
        </w:rPr>
      </w:pPr>
    </w:p>
    <w:p>
      <w:pPr>
        <w:ind w:left="980" w:right="5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 with suppliers that did not respond to our 2021 survey to help them understand the importance of this initiative to Kornit and to encourage their participation in the 2022 survey.</w:t>
      </w:r>
    </w:p>
    <w:p>
      <w:pPr>
        <w:spacing w:after="0" w:line="19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Attempt to validate supplier responses using information collected via independent, conflict-free smelter validation programs such as the Responsible Minerals Initiative’s (RMI) RMAP smelter or refiner validation program.</w:t>
      </w:r>
    </w:p>
    <w:p>
      <w:pPr>
        <w:spacing w:after="0" w:line="19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Send follow up letters to high-risk unresponsive suppliers, and to suppliers with Conflict Minerals from the DRC and the CAHRAs from uncertified smelters.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implement our CM policy.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use of tools for improved supplier responses.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include or attempt to include a conflict minerals flow-down clause in new or renewed supplier contracts.</w:t>
      </w:r>
    </w:p>
    <w:p>
      <w:pPr>
        <w:spacing w:after="0" w:line="252"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Request suppliers to procure materials through validated smelters or refiners pursuant to the RMI or other approved resources and request suppliers to take mitigating actions in case they do not.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 Conflict Minerals company procedure.</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Arial" w:cs="Arial" w:eastAsia="Arial" w:hAnsi="Arial"/>
          <w:sz w:val="18"/>
          <w:szCs w:val="18"/>
          <w:b w:val="1"/>
          <w:bCs w:val="1"/>
          <w:color w:val="auto"/>
        </w:rPr>
        <w:t>Annex 1</w:t>
      </w:r>
    </w:p>
    <w:p>
      <w:pPr>
        <w:spacing w:after="0" w:line="22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Reported Names and Locations of Smelters or Refiners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8853 S.p.A.</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ITALY</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Abington Reldan Metals,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Advanced Chemical Company</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African Gold Refinery</w:t>
            </w:r>
          </w:p>
        </w:tc>
        <w:tc>
          <w:tcPr>
            <w:tcW w:w="3700" w:type="dxa"/>
            <w:vAlign w:val="bottom"/>
          </w:tcPr>
          <w:p>
            <w:pPr>
              <w:spacing w:after="0"/>
              <w:rPr>
                <w:sz w:val="20"/>
                <w:szCs w:val="20"/>
                <w:color w:val="auto"/>
              </w:rPr>
            </w:pPr>
            <w:r>
              <w:rPr>
                <w:rFonts w:ascii="Arial" w:cs="Arial" w:eastAsia="Arial" w:hAnsi="Arial"/>
                <w:sz w:val="18"/>
                <w:szCs w:val="18"/>
                <w:color w:val="auto"/>
              </w:rPr>
              <w:t>UGANDA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Aida Chemical Industries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 Etihad Gold Refinery DMCC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 Etihad Gold Refinery DMCC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Alexy Metals</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Allgemeine Gold-und Silberscheideanstalt A.G.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Almalyk Mining and Metallurgical Complex (AMMC)</w:t>
            </w:r>
          </w:p>
        </w:tc>
        <w:tc>
          <w:tcPr>
            <w:tcW w:w="3700" w:type="dxa"/>
            <w:vAlign w:val="bottom"/>
          </w:tcPr>
          <w:p>
            <w:pPr>
              <w:spacing w:after="0"/>
              <w:rPr>
                <w:sz w:val="20"/>
                <w:szCs w:val="20"/>
                <w:color w:val="auto"/>
              </w:rPr>
            </w:pPr>
            <w:r>
              <w:rPr>
                <w:rFonts w:ascii="Arial" w:cs="Arial" w:eastAsia="Arial" w:hAnsi="Arial"/>
                <w:sz w:val="18"/>
                <w:szCs w:val="18"/>
                <w:color w:val="auto"/>
              </w:rPr>
              <w:t>UZBEKISTAN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Pretec Corp.</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AngloGold Ashanti Corrego do Sitio Mineracao</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AngloGold Ashanti Corrego do Sitio Mineracao</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AngloGold Ashanti Corrego do Sitio Mineracao</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Tongling Nonferrous Metals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Argor-Heraeus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Pretec Corp.</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Refining Canada Ltd.</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Refining USA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Asaka Riken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Atasay Kuyumculuk Sanayi Ve Ticaret A.S.</w:t>
            </w:r>
          </w:p>
        </w:tc>
        <w:tc>
          <w:tcPr>
            <w:tcW w:w="3700" w:type="dxa"/>
            <w:vAlign w:val="bottom"/>
          </w:tcPr>
          <w:p>
            <w:pPr>
              <w:spacing w:after="0"/>
              <w:rPr>
                <w:sz w:val="20"/>
                <w:szCs w:val="20"/>
                <w:color w:val="auto"/>
              </w:rPr>
            </w:pPr>
            <w:r>
              <w:rPr>
                <w:rFonts w:ascii="Arial" w:cs="Arial" w:eastAsia="Arial" w:hAnsi="Arial"/>
                <w:sz w:val="18"/>
                <w:szCs w:val="18"/>
                <w:color w:val="auto"/>
              </w:rPr>
              <w:t>TURKEY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Atasay Kuyumculuk Sanayi Ve Ticaret A.S.</w:t>
            </w:r>
          </w:p>
        </w:tc>
        <w:tc>
          <w:tcPr>
            <w:tcW w:w="3700" w:type="dxa"/>
            <w:vAlign w:val="bottom"/>
          </w:tcPr>
          <w:p>
            <w:pPr>
              <w:spacing w:after="0"/>
              <w:rPr>
                <w:sz w:val="20"/>
                <w:szCs w:val="20"/>
                <w:color w:val="auto"/>
              </w:rPr>
            </w:pPr>
            <w:r>
              <w:rPr>
                <w:rFonts w:ascii="Arial" w:cs="Arial" w:eastAsia="Arial" w:hAnsi="Arial"/>
                <w:sz w:val="18"/>
                <w:szCs w:val="18"/>
                <w:color w:val="auto"/>
              </w:rPr>
              <w:t>TURKEY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AU Traders and Refiners</w:t>
            </w:r>
          </w:p>
        </w:tc>
        <w:tc>
          <w:tcPr>
            <w:tcW w:w="370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Augmont Enterprises Private Limited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Aurubis AG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Bangalore Refinery</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Bangalore Refinery</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Bangalore Refinery</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-4765675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-4457065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-4148455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-3839845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-3531235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-3222625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-2914015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-2605405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-2296795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-1988185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-1679575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-1370965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-1062355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-753745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-445135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-136525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-5091430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PHILIPPINES</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Boliden AB</w:t>
            </w:r>
          </w:p>
        </w:tc>
        <w:tc>
          <w:tcPr>
            <w:tcW w:w="3700" w:type="dxa"/>
            <w:vAlign w:val="bottom"/>
          </w:tcPr>
          <w:p>
            <w:pPr>
              <w:spacing w:after="0"/>
              <w:rPr>
                <w:sz w:val="20"/>
                <w:szCs w:val="20"/>
                <w:color w:val="auto"/>
              </w:rPr>
            </w:pPr>
            <w:r>
              <w:rPr>
                <w:rFonts w:ascii="Arial" w:cs="Arial" w:eastAsia="Arial" w:hAnsi="Arial"/>
                <w:sz w:val="18"/>
                <w:szCs w:val="18"/>
                <w:color w:val="auto"/>
              </w:rPr>
              <w:t>SWEDEN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 Hafner GmbH +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C.I Metales Procesados Industriales SAS</w:t>
            </w:r>
          </w:p>
        </w:tc>
        <w:tc>
          <w:tcPr>
            <w:tcW w:w="3700" w:type="dxa"/>
            <w:vAlign w:val="bottom"/>
          </w:tcPr>
          <w:p>
            <w:pPr>
              <w:spacing w:after="0"/>
              <w:rPr>
                <w:sz w:val="20"/>
                <w:szCs w:val="20"/>
                <w:color w:val="auto"/>
              </w:rPr>
            </w:pPr>
            <w:r>
              <w:rPr>
                <w:rFonts w:ascii="Arial" w:cs="Arial" w:eastAsia="Arial" w:hAnsi="Arial"/>
                <w:sz w:val="18"/>
                <w:szCs w:val="18"/>
                <w:color w:val="auto"/>
              </w:rPr>
              <w:t>COLOMBIA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Caridad</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CCR Refinery - Glencore Canada Corporation</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CCR Refinery - Glencore Canada Corporation</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Cendres + Metaux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Cendres + Metaux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Cendres + Metaux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Bangko Sentral ng Pilipinas (Central Bank of the Philippines)</w:t>
            </w:r>
          </w:p>
        </w:tc>
        <w:tc>
          <w:tcPr>
            <w:tcW w:w="370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CGR Metalloys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Yunnan Copper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CGR Metalloys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Chimet S.p.A.</w:t>
            </w:r>
          </w:p>
        </w:tc>
        <w:tc>
          <w:tcPr>
            <w:tcW w:w="3700" w:type="dxa"/>
            <w:vAlign w:val="bottom"/>
          </w:tcPr>
          <w:p>
            <w:pPr>
              <w:spacing w:after="0"/>
              <w:rPr>
                <w:sz w:val="20"/>
                <w:szCs w:val="20"/>
                <w:color w:val="auto"/>
              </w:rPr>
            </w:pPr>
            <w:r>
              <w:rPr>
                <w:rFonts w:ascii="Arial" w:cs="Arial" w:eastAsia="Arial" w:hAnsi="Arial"/>
                <w:sz w:val="18"/>
                <w:szCs w:val="18"/>
                <w:color w:val="auto"/>
              </w:rPr>
              <w:t>ITALY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Chugai Mining</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Daye Non-Ferrous Metals Mining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Degussa Sonne / Mond Goldhandel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Degussa Sonne / Mond Goldhandel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Dijllah Gold Refinery FZC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DSC (Do Sung Corporation)</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DODUCO Contacts and Refining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DODUCO Contacts and Refining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DSC (Do Sung Corporation)</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TSK Pretech</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DSC (Do Sung Corporation)</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Eco-System Recycling Co., Ltd. East Plant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Eco-System Recycling Co., Ltd. North Plant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Eco-System Recycling Co., Ltd. West Plant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JSC Ekaterinburg Non-Ferrous Metal Processing Plant</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Emerald Jewel Industry India Limited (Unit 1)</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-5382895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-5074285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-4765675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-4457065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-4148455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-3839845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-3531235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-3222625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-2914015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-2605405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-2296795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-1988185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-1679575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-1370965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-1062355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-753745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-445135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-136525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-5708650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4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Emerald Jewel Industry India Limited (Unit 2)</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INDIA</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Emerald Jewel Industry India Limited (Unit 3)</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Emerald Jewel Industry India Limited (Unit 4)</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Emirates Gold DMCC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Moscow Special Alloys Processing Plant</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Fidelity Printers and Refiners Ltd.</w:t>
            </w:r>
          </w:p>
        </w:tc>
        <w:tc>
          <w:tcPr>
            <w:tcW w:w="3700" w:type="dxa"/>
            <w:vAlign w:val="bottom"/>
          </w:tcPr>
          <w:p>
            <w:pPr>
              <w:spacing w:after="0"/>
              <w:rPr>
                <w:sz w:val="20"/>
                <w:szCs w:val="20"/>
                <w:color w:val="auto"/>
              </w:rPr>
            </w:pPr>
            <w:r>
              <w:rPr>
                <w:rFonts w:ascii="Arial" w:cs="Arial" w:eastAsia="Arial" w:hAnsi="Arial"/>
                <w:sz w:val="18"/>
                <w:szCs w:val="18"/>
                <w:color w:val="auto"/>
              </w:rPr>
              <w:t>ZIMBABWE</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JSC Novosibirsk Refinery</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Fujairah Gold FZC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Gold Refinery of Zijin Mining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GCC Gujrat Gold Centre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Geib Refining Corporation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Gold Coast Refinery</w:t>
            </w:r>
          </w:p>
        </w:tc>
        <w:tc>
          <w:tcPr>
            <w:tcW w:w="3700" w:type="dxa"/>
            <w:vAlign w:val="bottom"/>
          </w:tcPr>
          <w:p>
            <w:pPr>
              <w:spacing w:after="0"/>
              <w:rPr>
                <w:sz w:val="20"/>
                <w:szCs w:val="20"/>
                <w:color w:val="auto"/>
              </w:rPr>
            </w:pPr>
            <w:r>
              <w:rPr>
                <w:rFonts w:ascii="Arial" w:cs="Arial" w:eastAsia="Arial" w:hAnsi="Arial"/>
                <w:sz w:val="18"/>
                <w:szCs w:val="18"/>
                <w:color w:val="auto"/>
              </w:rPr>
              <w:t>GHANA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Gold Refinery of Zijin Mining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Great Wall Precious Metals Co., Ltd. of CBPM</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Great Wall Precious Metals Co., Ltd. of CBPM</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Guangdong Jinding Gold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Guangdong Jinding Gold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GCC Gujrat Gold Centre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Guoda Safina High-Tech Environmental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Hangzhou Fuchunjiang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LT Metal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Heimerle + Meule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Heraeus Germany GmbH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Heraeus Metals Hong Kong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Heraeus Metals Hong Kong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Heraeus Germany GmbH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Hunan Chenzhou Mining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Hunan Chenzhou Mining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Hunan Chenzhou Mining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Hunan Guiyang yinxing Nonferrous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Hunan Guiyang yinxing Nonferrous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HwaSeong CJ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-5228590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-4919980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-4611370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-4302760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-3994150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-3685540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-3376930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-3068320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-2759710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-2451100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-2142490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-1833880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-1525270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-1216660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-908050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-599440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-290830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-5554345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45"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Industrial Refining Company</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BELGIUM</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Inner Mongolia Qiankun Gold and Silver Refinery Share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International Precious Metal Refiners</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Ishifuku Metal Industry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Istanbul Gold Refinery</w:t>
            </w:r>
          </w:p>
        </w:tc>
        <w:tc>
          <w:tcPr>
            <w:tcW w:w="3700" w:type="dxa"/>
            <w:vAlign w:val="bottom"/>
          </w:tcPr>
          <w:p>
            <w:pPr>
              <w:spacing w:after="0"/>
              <w:rPr>
                <w:sz w:val="20"/>
                <w:szCs w:val="20"/>
                <w:color w:val="auto"/>
              </w:rPr>
            </w:pPr>
            <w:r>
              <w:rPr>
                <w:rFonts w:ascii="Arial" w:cs="Arial" w:eastAsia="Arial" w:hAnsi="Arial"/>
                <w:sz w:val="18"/>
                <w:szCs w:val="18"/>
                <w:color w:val="auto"/>
              </w:rPr>
              <w:t>TURKEY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Italpreziosi</w:t>
            </w:r>
          </w:p>
        </w:tc>
        <w:tc>
          <w:tcPr>
            <w:tcW w:w="3700" w:type="dxa"/>
            <w:vAlign w:val="bottom"/>
          </w:tcPr>
          <w:p>
            <w:pPr>
              <w:spacing w:after="0"/>
              <w:rPr>
                <w:sz w:val="20"/>
                <w:szCs w:val="20"/>
                <w:color w:val="auto"/>
              </w:rPr>
            </w:pPr>
            <w:r>
              <w:rPr>
                <w:rFonts w:ascii="Arial" w:cs="Arial" w:eastAsia="Arial" w:hAnsi="Arial"/>
                <w:sz w:val="18"/>
                <w:szCs w:val="18"/>
                <w:color w:val="auto"/>
              </w:rPr>
              <w:t>ITALY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JALAN &amp; Company</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Japan Mint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Jiangxi Copper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Jiangxi Copper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Refining Canada Ltd.</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Refining USA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Refining USA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Asahi Refining Canada Ltd.</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JSC Ekaterinburg Non-Ferrous Metal Processing Plant</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JSC Novosibirsk Refinery</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JSC Uralelectromed</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JX Nippon Mining &amp; Metals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K.A. Rasmussen</w:t>
            </w:r>
          </w:p>
        </w:tc>
        <w:tc>
          <w:tcPr>
            <w:tcW w:w="3700" w:type="dxa"/>
            <w:vAlign w:val="bottom"/>
          </w:tcPr>
          <w:p>
            <w:pPr>
              <w:spacing w:after="0"/>
              <w:rPr>
                <w:sz w:val="20"/>
                <w:szCs w:val="20"/>
                <w:color w:val="auto"/>
              </w:rPr>
            </w:pPr>
            <w:r>
              <w:rPr>
                <w:rFonts w:ascii="Arial" w:cs="Arial" w:eastAsia="Arial" w:hAnsi="Arial"/>
                <w:sz w:val="18"/>
                <w:szCs w:val="18"/>
                <w:color w:val="auto"/>
              </w:rPr>
              <w:t>NORWAY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Kaloti Precious Metals</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Kazakhmys Smelting LLC</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Kazzinc</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Kennecott Utah Copper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KGHM Polska Miedz Spolka Akcyjna</w:t>
            </w:r>
          </w:p>
        </w:tc>
        <w:tc>
          <w:tcPr>
            <w:tcW w:w="3700" w:type="dxa"/>
            <w:vAlign w:val="bottom"/>
          </w:tcPr>
          <w:p>
            <w:pPr>
              <w:spacing w:after="0"/>
              <w:rPr>
                <w:sz w:val="20"/>
                <w:szCs w:val="20"/>
                <w:color w:val="auto"/>
              </w:rPr>
            </w:pPr>
            <w:r>
              <w:rPr>
                <w:rFonts w:ascii="Arial" w:cs="Arial" w:eastAsia="Arial" w:hAnsi="Arial"/>
                <w:sz w:val="18"/>
                <w:szCs w:val="18"/>
                <w:color w:val="auto"/>
              </w:rPr>
              <w:t>POLAND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KGHM Polska Miedz Spolka Akcyjna</w:t>
            </w:r>
          </w:p>
        </w:tc>
        <w:tc>
          <w:tcPr>
            <w:tcW w:w="3700" w:type="dxa"/>
            <w:vAlign w:val="bottom"/>
          </w:tcPr>
          <w:p>
            <w:pPr>
              <w:spacing w:after="0"/>
              <w:rPr>
                <w:sz w:val="20"/>
                <w:szCs w:val="20"/>
                <w:color w:val="auto"/>
              </w:rPr>
            </w:pPr>
            <w:r>
              <w:rPr>
                <w:rFonts w:ascii="Arial" w:cs="Arial" w:eastAsia="Arial" w:hAnsi="Arial"/>
                <w:sz w:val="18"/>
                <w:szCs w:val="18"/>
                <w:color w:val="auto"/>
              </w:rPr>
              <w:t>POLAND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KGHM Polska Miedz Spolka Akcyjna</w:t>
            </w:r>
          </w:p>
        </w:tc>
        <w:tc>
          <w:tcPr>
            <w:tcW w:w="3700" w:type="dxa"/>
            <w:vAlign w:val="bottom"/>
          </w:tcPr>
          <w:p>
            <w:pPr>
              <w:spacing w:after="0"/>
              <w:rPr>
                <w:sz w:val="20"/>
                <w:szCs w:val="20"/>
                <w:color w:val="auto"/>
              </w:rPr>
            </w:pPr>
            <w:r>
              <w:rPr>
                <w:rFonts w:ascii="Arial" w:cs="Arial" w:eastAsia="Arial" w:hAnsi="Arial"/>
                <w:sz w:val="18"/>
                <w:szCs w:val="18"/>
                <w:color w:val="auto"/>
              </w:rPr>
              <w:t>POLAND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Kojima Chemicals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Kojima Chemicals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KGHM Polska Miedz Spolka Akcyjna</w:t>
            </w:r>
          </w:p>
        </w:tc>
        <w:tc>
          <w:tcPr>
            <w:tcW w:w="3700" w:type="dxa"/>
            <w:vAlign w:val="bottom"/>
          </w:tcPr>
          <w:p>
            <w:pPr>
              <w:spacing w:after="0"/>
              <w:rPr>
                <w:sz w:val="20"/>
                <w:szCs w:val="20"/>
                <w:color w:val="auto"/>
              </w:rPr>
            </w:pPr>
            <w:r>
              <w:rPr>
                <w:rFonts w:ascii="Arial" w:cs="Arial" w:eastAsia="Arial" w:hAnsi="Arial"/>
                <w:sz w:val="18"/>
                <w:szCs w:val="18"/>
                <w:color w:val="auto"/>
              </w:rPr>
              <w:t>POLAND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Korea Zinc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Kennecott Utah Copper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Kundan Care Products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Kyrgyzaltyn JSC</w:t>
            </w:r>
          </w:p>
        </w:tc>
        <w:tc>
          <w:tcPr>
            <w:tcW w:w="3700" w:type="dxa"/>
            <w:vAlign w:val="bottom"/>
          </w:tcPr>
          <w:p>
            <w:pPr>
              <w:spacing w:after="0"/>
              <w:rPr>
                <w:sz w:val="20"/>
                <w:szCs w:val="20"/>
                <w:color w:val="auto"/>
              </w:rPr>
            </w:pPr>
            <w:r>
              <w:rPr>
                <w:rFonts w:ascii="Arial" w:cs="Arial" w:eastAsia="Arial" w:hAnsi="Arial"/>
                <w:sz w:val="18"/>
                <w:szCs w:val="18"/>
                <w:color w:val="auto"/>
              </w:rPr>
              <w:t>KYRGYZSTAN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Kyshtym Copper-Electrolytic Plant ZAO</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Caridad</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-5228590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-4919980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-4611370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-4302760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-3994150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-3685540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-3376930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-3068320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-2759710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-2451100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-2142490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-1833880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-1525270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-1216660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-908050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-599440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-290830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-5554345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45"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Shandong Gold Smelting Co., Ltd.</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L’azurde Company For Jewelry</w:t>
            </w:r>
          </w:p>
        </w:tc>
        <w:tc>
          <w:tcPr>
            <w:tcW w:w="3700" w:type="dxa"/>
            <w:vAlign w:val="bottom"/>
          </w:tcPr>
          <w:p>
            <w:pPr>
              <w:spacing w:after="0"/>
              <w:rPr>
                <w:sz w:val="20"/>
                <w:szCs w:val="20"/>
                <w:color w:val="auto"/>
              </w:rPr>
            </w:pPr>
            <w:r>
              <w:rPr>
                <w:rFonts w:ascii="Arial" w:cs="Arial" w:eastAsia="Arial" w:hAnsi="Arial"/>
                <w:sz w:val="18"/>
                <w:szCs w:val="18"/>
                <w:color w:val="auto"/>
              </w:rPr>
              <w:t>SAUDI ARABIA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Lingbao Gold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Lingbao Gold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Lingbao Jinyuan Tonghui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L’Orfebre S.A.</w:t>
            </w:r>
          </w:p>
        </w:tc>
        <w:tc>
          <w:tcPr>
            <w:tcW w:w="3700" w:type="dxa"/>
            <w:vAlign w:val="bottom"/>
          </w:tcPr>
          <w:p>
            <w:pPr>
              <w:spacing w:after="0"/>
              <w:rPr>
                <w:sz w:val="20"/>
                <w:szCs w:val="20"/>
                <w:color w:val="auto"/>
              </w:rPr>
            </w:pPr>
            <w:r>
              <w:rPr>
                <w:rFonts w:ascii="Arial" w:cs="Arial" w:eastAsia="Arial" w:hAnsi="Arial"/>
                <w:sz w:val="18"/>
                <w:szCs w:val="18"/>
                <w:color w:val="auto"/>
              </w:rPr>
              <w:t>ANDORRA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LS-NIKKO Copper Inc.</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LT Metal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Luoyang Zijin Yinhui Gold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Luoyang Zijin Yinhui Gold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Luoyang Zijin Yinhui Gold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Marsam Metals</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Materion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Matsuda Sangyo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MD Overseas</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Sumitomo Metal Mining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 Concentrators SA (Pty) Ltd.</w:t>
            </w:r>
          </w:p>
        </w:tc>
        <w:tc>
          <w:tcPr>
            <w:tcW w:w="370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Metalurgica Met-Mex Penoles S.A. De C.V.</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Metallix Refining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Umicore S.A. Business Unit Precious Metals Refining</w:t>
            </w:r>
          </w:p>
        </w:tc>
        <w:tc>
          <w:tcPr>
            <w:tcW w:w="3700" w:type="dxa"/>
            <w:vAlign w:val="bottom"/>
          </w:tcPr>
          <w:p>
            <w:pPr>
              <w:spacing w:after="0"/>
              <w:rPr>
                <w:sz w:val="20"/>
                <w:szCs w:val="20"/>
                <w:color w:val="auto"/>
              </w:rPr>
            </w:pPr>
            <w:r>
              <w:rPr>
                <w:rFonts w:ascii="Arial" w:cs="Arial" w:eastAsia="Arial" w:hAnsi="Arial"/>
                <w:sz w:val="18"/>
                <w:szCs w:val="18"/>
                <w:color w:val="auto"/>
              </w:rPr>
              <w:t>BELGIUM</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Metalor Technologies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Metalor Technologies (Hong Kong)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Metalor Technologies (Singapore) Pte., Ltd.</w:t>
            </w:r>
          </w:p>
        </w:tc>
        <w:tc>
          <w:tcPr>
            <w:tcW w:w="3700" w:type="dxa"/>
            <w:vAlign w:val="bottom"/>
          </w:tcPr>
          <w:p>
            <w:pPr>
              <w:spacing w:after="0"/>
              <w:rPr>
                <w:sz w:val="20"/>
                <w:szCs w:val="20"/>
                <w:color w:val="auto"/>
              </w:rPr>
            </w:pPr>
            <w:r>
              <w:rPr>
                <w:rFonts w:ascii="Arial" w:cs="Arial" w:eastAsia="Arial" w:hAnsi="Arial"/>
                <w:sz w:val="18"/>
                <w:szCs w:val="18"/>
                <w:color w:val="auto"/>
              </w:rPr>
              <w:t>SINGAPORE</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Metalor Technologies (Suzhou)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Metalor Technologies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Metalor USA Refining Corporation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Metalurgica Met-Mex Penoles S.A. De C.V.</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Metalurgica Met-Mex Penoles S.A. De C.V.</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Metalurgica Met-Mex Penoles S.A. De C.V.</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Metalurgica Met-Mex Penoles S.A. De C.V.</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Mitsubishi Materials Corporation</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MMTC-PAMP India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Modeltech Sdn Bhd</w:t>
            </w:r>
          </w:p>
        </w:tc>
        <w:tc>
          <w:tcPr>
            <w:tcW w:w="3700" w:type="dxa"/>
            <w:vAlign w:val="bottom"/>
          </w:tcPr>
          <w:p>
            <w:pPr>
              <w:spacing w:after="0"/>
              <w:rPr>
                <w:sz w:val="20"/>
                <w:szCs w:val="20"/>
                <w:color w:val="auto"/>
              </w:rPr>
            </w:pPr>
            <w:r>
              <w:rPr>
                <w:rFonts w:ascii="Arial" w:cs="Arial" w:eastAsia="Arial" w:hAnsi="Arial"/>
                <w:sz w:val="18"/>
                <w:szCs w:val="18"/>
                <w:color w:val="auto"/>
              </w:rPr>
              <w:t>MALAYSIA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Morris and Watson</w:t>
            </w:r>
          </w:p>
        </w:tc>
        <w:tc>
          <w:tcPr>
            <w:tcW w:w="370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Moscow Special Alloys Processing Plant</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Nadir Metal Rafineri San. Ve Tic. A.S.</w:t>
            </w:r>
          </w:p>
        </w:tc>
        <w:tc>
          <w:tcPr>
            <w:tcW w:w="3700" w:type="dxa"/>
            <w:vAlign w:val="bottom"/>
          </w:tcPr>
          <w:p>
            <w:pPr>
              <w:spacing w:after="0"/>
              <w:rPr>
                <w:sz w:val="20"/>
                <w:szCs w:val="20"/>
                <w:color w:val="auto"/>
              </w:rPr>
            </w:pPr>
            <w:r>
              <w:rPr>
                <w:rFonts w:ascii="Arial" w:cs="Arial" w:eastAsia="Arial" w:hAnsi="Arial"/>
                <w:sz w:val="18"/>
                <w:szCs w:val="18"/>
                <w:color w:val="auto"/>
              </w:rPr>
              <w:t>TURKEY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Nadir Metal Rafineri San. Ve Tic. A.S.</w:t>
            </w:r>
          </w:p>
        </w:tc>
        <w:tc>
          <w:tcPr>
            <w:tcW w:w="3700" w:type="dxa"/>
            <w:vAlign w:val="bottom"/>
          </w:tcPr>
          <w:p>
            <w:pPr>
              <w:spacing w:after="0"/>
              <w:rPr>
                <w:sz w:val="20"/>
                <w:szCs w:val="20"/>
                <w:color w:val="auto"/>
              </w:rPr>
            </w:pPr>
            <w:r>
              <w:rPr>
                <w:rFonts w:ascii="Arial" w:cs="Arial" w:eastAsia="Arial" w:hAnsi="Arial"/>
                <w:sz w:val="18"/>
                <w:szCs w:val="18"/>
                <w:color w:val="auto"/>
              </w:rPr>
              <w:t>TURKEY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-5691505</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-5382895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-5074285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-4765675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-4457065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-4148455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-3839845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-3531235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-3222625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-2914015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-2605405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-2296795</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-1988185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-1679575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-1370965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-1062355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-753745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-445135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-136525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-6017260</wp:posOffset>
            </wp:positionV>
            <wp:extent cx="71323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4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Navoi Mining and Metallurgical Combinat</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UZBEKISTAN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NH Recytech Company</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Nihon Material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Sumitomo Metal Mining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Aurubis AG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Ogussa Osterreichische Gold- und Silber-Scheideanstalt GmbH</w:t>
            </w:r>
          </w:p>
        </w:tc>
        <w:tc>
          <w:tcPr>
            <w:tcW w:w="3700" w:type="dxa"/>
            <w:vAlign w:val="bottom"/>
          </w:tcPr>
          <w:p>
            <w:pPr>
              <w:spacing w:after="0"/>
              <w:rPr>
                <w:sz w:val="20"/>
                <w:szCs w:val="20"/>
                <w:color w:val="auto"/>
              </w:rPr>
            </w:pPr>
            <w:r>
              <w:rPr>
                <w:rFonts w:ascii="Arial" w:cs="Arial" w:eastAsia="Arial" w:hAnsi="Arial"/>
                <w:sz w:val="18"/>
                <w:szCs w:val="18"/>
                <w:color w:val="auto"/>
              </w:rPr>
              <w:t>AUSTRIA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Ogussa Osterreichische Gold- und Silber-Scheideanstalt GmbH</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Ohura Precious Metal Industry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5"/>
              </w:rPr>
              <w:t>OJSC “The Gulidov Krasnoyarsk Non-Ferrous Metals Plant” (OJSC Krastsvetmet)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w w:val="95"/>
              </w:rPr>
              <w:t>OJSC “The Gulidov Krasnoyarsk Non-Ferrous Metals Plant” (OJSC Krastsvetmet)</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JSC Novosibirsk Refinery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PAMP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JX Nippon Mining &amp;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Pease &amp; Curren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Penglai Penggang Gold Industry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Planta Recuperadora de Metales SpA</w:t>
            </w:r>
          </w:p>
        </w:tc>
        <w:tc>
          <w:tcPr>
            <w:tcW w:w="3700" w:type="dxa"/>
            <w:vAlign w:val="bottom"/>
          </w:tcPr>
          <w:p>
            <w:pPr>
              <w:spacing w:after="0"/>
              <w:rPr>
                <w:sz w:val="20"/>
                <w:szCs w:val="20"/>
                <w:color w:val="auto"/>
              </w:rPr>
            </w:pPr>
            <w:r>
              <w:rPr>
                <w:rFonts w:ascii="Arial" w:cs="Arial" w:eastAsia="Arial" w:hAnsi="Arial"/>
                <w:sz w:val="18"/>
                <w:szCs w:val="18"/>
                <w:color w:val="auto"/>
              </w:rPr>
              <w:t>CHILE</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Prioksky Plant of Non-Ferrous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PAMP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Aneka Tambang (Persero) Tbk</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PX Precinox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PX Precinox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QG Refining,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Rand Refinery (Pty)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LS-NIKKO Copper Inc.</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Refinery of Seemine Gold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REMONDIS PMR B.V.</w:t>
            </w:r>
          </w:p>
        </w:tc>
        <w:tc>
          <w:tcPr>
            <w:tcW w:w="370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REMONDIS PMR B.V.</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Royal Canadian Mint</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SAAMP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Sabin Metal Corp.</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Safimet S.p.A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SAFINA A.S.</w:t>
            </w:r>
          </w:p>
        </w:tc>
        <w:tc>
          <w:tcPr>
            <w:tcW w:w="3700" w:type="dxa"/>
            <w:vAlign w:val="bottom"/>
          </w:tcPr>
          <w:p>
            <w:pPr>
              <w:spacing w:after="0"/>
              <w:rPr>
                <w:sz w:val="20"/>
                <w:szCs w:val="20"/>
                <w:color w:val="auto"/>
              </w:rPr>
            </w:pPr>
            <w:r>
              <w:rPr>
                <w:rFonts w:ascii="Arial" w:cs="Arial" w:eastAsia="Arial" w:hAnsi="Arial"/>
                <w:sz w:val="18"/>
                <w:szCs w:val="18"/>
                <w:color w:val="auto"/>
              </w:rPr>
              <w:t>CZECHIA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JX Nippon Mining &amp;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Sai Refinery</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Samduck Precious Metals</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KOREA, REPUBLIC OF</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Samduck Precious Metals</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Samwon Metals Corp.</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Sancus ZFS (L’Orfebre, SA)</w:t>
            </w:r>
          </w:p>
        </w:tc>
        <w:tc>
          <w:tcPr>
            <w:tcW w:w="3700" w:type="dxa"/>
            <w:vAlign w:val="bottom"/>
          </w:tcPr>
          <w:p>
            <w:pPr>
              <w:spacing w:after="0"/>
              <w:rPr>
                <w:sz w:val="20"/>
                <w:szCs w:val="20"/>
                <w:color w:val="auto"/>
              </w:rPr>
            </w:pPr>
            <w:r>
              <w:rPr>
                <w:rFonts w:ascii="Arial" w:cs="Arial" w:eastAsia="Arial" w:hAnsi="Arial"/>
                <w:sz w:val="18"/>
                <w:szCs w:val="18"/>
                <w:color w:val="auto"/>
              </w:rPr>
              <w:t>COLOMBIA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SAXONIA Edelmetalle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Samduck Precious Metals</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Sellem Industries Ltd.</w:t>
            </w:r>
          </w:p>
        </w:tc>
        <w:tc>
          <w:tcPr>
            <w:tcW w:w="3700" w:type="dxa"/>
            <w:vAlign w:val="bottom"/>
          </w:tcPr>
          <w:p>
            <w:pPr>
              <w:spacing w:after="0"/>
              <w:rPr>
                <w:sz w:val="20"/>
                <w:szCs w:val="20"/>
                <w:color w:val="auto"/>
              </w:rPr>
            </w:pPr>
            <w:r>
              <w:rPr>
                <w:rFonts w:ascii="Arial" w:cs="Arial" w:eastAsia="Arial" w:hAnsi="Arial"/>
                <w:sz w:val="18"/>
                <w:szCs w:val="18"/>
                <w:color w:val="auto"/>
              </w:rPr>
              <w:t>MAURITANIA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SEMPSA Joyeria Plateria S.A.</w:t>
            </w:r>
          </w:p>
        </w:tc>
        <w:tc>
          <w:tcPr>
            <w:tcW w:w="3700" w:type="dxa"/>
            <w:vAlign w:val="bottom"/>
          </w:tcPr>
          <w:p>
            <w:pPr>
              <w:spacing w:after="0"/>
              <w:rPr>
                <w:sz w:val="20"/>
                <w:szCs w:val="20"/>
                <w:color w:val="auto"/>
              </w:rPr>
            </w:pPr>
            <w:r>
              <w:rPr>
                <w:rFonts w:ascii="Arial" w:cs="Arial" w:eastAsia="Arial" w:hAnsi="Arial"/>
                <w:sz w:val="18"/>
                <w:szCs w:val="18"/>
                <w:color w:val="auto"/>
              </w:rPr>
              <w:t>SPAIN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SEMPSA Joyeria Plateria S.A.</w:t>
            </w:r>
          </w:p>
        </w:tc>
        <w:tc>
          <w:tcPr>
            <w:tcW w:w="3700" w:type="dxa"/>
            <w:vAlign w:val="bottom"/>
          </w:tcPr>
          <w:p>
            <w:pPr>
              <w:spacing w:after="0"/>
              <w:rPr>
                <w:sz w:val="20"/>
                <w:szCs w:val="20"/>
                <w:color w:val="auto"/>
              </w:rPr>
            </w:pPr>
            <w:r>
              <w:rPr>
                <w:rFonts w:ascii="Arial" w:cs="Arial" w:eastAsia="Arial" w:hAnsi="Arial"/>
                <w:sz w:val="18"/>
                <w:szCs w:val="18"/>
                <w:color w:val="auto"/>
              </w:rPr>
              <w:t>SPAIN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SEMPSA Joyeria Plateria S.A.</w:t>
            </w:r>
          </w:p>
        </w:tc>
        <w:tc>
          <w:tcPr>
            <w:tcW w:w="3700" w:type="dxa"/>
            <w:vAlign w:val="bottom"/>
          </w:tcPr>
          <w:p>
            <w:pPr>
              <w:spacing w:after="0"/>
              <w:rPr>
                <w:sz w:val="20"/>
                <w:szCs w:val="20"/>
                <w:color w:val="auto"/>
              </w:rPr>
            </w:pPr>
            <w:r>
              <w:rPr>
                <w:rFonts w:ascii="Arial" w:cs="Arial" w:eastAsia="Arial" w:hAnsi="Arial"/>
                <w:sz w:val="18"/>
                <w:szCs w:val="18"/>
                <w:color w:val="auto"/>
              </w:rPr>
              <w:t>SPAIN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Guoda Safina High-Tech Environmental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Humon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Tiancheng Biological Gold Industrial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Tiancheng Biological Gold Industrial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Shenzhen Zhonghenglong Real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Shirpur Gold Refinery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SOE Shyolkovsky Factory of Secondary Precious Metals</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Sichuan Tianze Precious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Singway Technology Co., Ltd.</w:t>
            </w:r>
          </w:p>
        </w:tc>
        <w:tc>
          <w:tcPr>
            <w:tcW w:w="3700" w:type="dxa"/>
            <w:vAlign w:val="bottom"/>
          </w:tcPr>
          <w:p>
            <w:pPr>
              <w:spacing w:after="0"/>
              <w:rPr>
                <w:sz w:val="20"/>
                <w:szCs w:val="20"/>
                <w:color w:val="auto"/>
              </w:rPr>
            </w:pPr>
            <w:r>
              <w:rPr>
                <w:rFonts w:ascii="Arial" w:cs="Arial" w:eastAsia="Arial" w:hAnsi="Arial"/>
                <w:sz w:val="18"/>
                <w:szCs w:val="18"/>
                <w:color w:val="auto"/>
              </w:rPr>
              <w:t>TAIWAN, PROVINCE OF 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Sumitomo Metal Mining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SOE Shyolkovsky Factory of Secondary Precious Metals</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Solar Applied Materials Technology Corp.</w:t>
            </w:r>
          </w:p>
        </w:tc>
        <w:tc>
          <w:tcPr>
            <w:tcW w:w="3700" w:type="dxa"/>
            <w:vAlign w:val="bottom"/>
          </w:tcPr>
          <w:p>
            <w:pPr>
              <w:spacing w:after="0"/>
              <w:rPr>
                <w:sz w:val="20"/>
                <w:szCs w:val="20"/>
                <w:color w:val="auto"/>
              </w:rPr>
            </w:pPr>
            <w:r>
              <w:rPr>
                <w:rFonts w:ascii="Arial" w:cs="Arial" w:eastAsia="Arial" w:hAnsi="Arial"/>
                <w:sz w:val="18"/>
                <w:szCs w:val="18"/>
                <w:color w:val="auto"/>
              </w:rPr>
              <w:t>TAIWAN, PROVINCE OF 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Solar Applied Materials Technology Corp.</w:t>
            </w:r>
          </w:p>
        </w:tc>
        <w:tc>
          <w:tcPr>
            <w:tcW w:w="3700" w:type="dxa"/>
            <w:vAlign w:val="bottom"/>
          </w:tcPr>
          <w:p>
            <w:pPr>
              <w:spacing w:after="0"/>
              <w:rPr>
                <w:sz w:val="20"/>
                <w:szCs w:val="20"/>
                <w:color w:val="auto"/>
              </w:rPr>
            </w:pPr>
            <w:r>
              <w:rPr>
                <w:rFonts w:ascii="Arial" w:cs="Arial" w:eastAsia="Arial" w:hAnsi="Arial"/>
                <w:sz w:val="18"/>
                <w:szCs w:val="18"/>
                <w:color w:val="auto"/>
              </w:rPr>
              <w:t>TAIWAN, PROVINCE OF 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-4611370</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-4302760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-3994150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-3685540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-3376930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-3068320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-2759710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-2451100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-2142490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-1833880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-1525270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-1216660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-908050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-599440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-290830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-4937125</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4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Metal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Solar Applied Materials Technology Corp.</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TAIWAN, PROVINCE OF CHINA</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Sovereign Metals</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3700" w:type="dxa"/>
            <w:vAlign w:val="bottom"/>
          </w:tcPr>
          <w:p>
            <w:pPr>
              <w:spacing w:after="0"/>
              <w:rPr>
                <w:sz w:val="20"/>
                <w:szCs w:val="20"/>
                <w:color w:val="auto"/>
              </w:rPr>
            </w:pPr>
            <w:r>
              <w:rPr>
                <w:rFonts w:ascii="Arial" w:cs="Arial" w:eastAsia="Arial" w:hAnsi="Arial"/>
                <w:sz w:val="18"/>
                <w:szCs w:val="18"/>
                <w:color w:val="auto"/>
              </w:rPr>
              <w:t>LITHUANIA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Sudan Gold Refinery</w:t>
            </w:r>
          </w:p>
        </w:tc>
        <w:tc>
          <w:tcPr>
            <w:tcW w:w="3700" w:type="dxa"/>
            <w:vAlign w:val="bottom"/>
          </w:tcPr>
          <w:p>
            <w:pPr>
              <w:spacing w:after="0"/>
              <w:rPr>
                <w:sz w:val="20"/>
                <w:szCs w:val="20"/>
                <w:color w:val="auto"/>
              </w:rPr>
            </w:pPr>
            <w:r>
              <w:rPr>
                <w:rFonts w:ascii="Arial" w:cs="Arial" w:eastAsia="Arial" w:hAnsi="Arial"/>
                <w:sz w:val="18"/>
                <w:szCs w:val="18"/>
                <w:color w:val="auto"/>
              </w:rPr>
              <w:t>SUDAN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Sumitomo Metal Mining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Sumitomo Metal Mining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SungEel HiMetal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SungEel HiMetal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T.C.A S.p.A</w:t>
            </w:r>
          </w:p>
        </w:tc>
        <w:tc>
          <w:tcPr>
            <w:tcW w:w="3700" w:type="dxa"/>
            <w:vAlign w:val="bottom"/>
          </w:tcPr>
          <w:p>
            <w:pPr>
              <w:spacing w:after="0"/>
              <w:rPr>
                <w:sz w:val="20"/>
                <w:szCs w:val="20"/>
                <w:color w:val="auto"/>
              </w:rPr>
            </w:pPr>
            <w:r>
              <w:rPr>
                <w:rFonts w:ascii="Arial" w:cs="Arial" w:eastAsia="Arial" w:hAnsi="Arial"/>
                <w:sz w:val="18"/>
                <w:szCs w:val="18"/>
                <w:color w:val="auto"/>
              </w:rPr>
              <w:t>ITALY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JX Nippon Mining &amp; Metals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Tanaka Kikinzoku Kogyo K.K.</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Great Wall Precious Metals Co., Ltd. of CBPM</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Western Australian Mint (T/a The Perth Mint)</w:t>
            </w: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Gold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Tokuriki Honten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Tongling Nonferrous Metals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Tongling Nonferrous Metals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Industrial Refining Company</w:t>
            </w:r>
          </w:p>
        </w:tc>
        <w:tc>
          <w:tcPr>
            <w:tcW w:w="3700" w:type="dxa"/>
            <w:vAlign w:val="bottom"/>
          </w:tcPr>
          <w:p>
            <w:pPr>
              <w:spacing w:after="0"/>
              <w:rPr>
                <w:sz w:val="20"/>
                <w:szCs w:val="20"/>
                <w:color w:val="auto"/>
              </w:rPr>
            </w:pPr>
            <w:r>
              <w:rPr>
                <w:rFonts w:ascii="Arial" w:cs="Arial" w:eastAsia="Arial" w:hAnsi="Arial"/>
                <w:sz w:val="18"/>
                <w:szCs w:val="18"/>
                <w:color w:val="auto"/>
              </w:rPr>
              <w:t>BELGIUM</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TOO Tau-Ken-Altyn</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Torecom</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Sumitomo Metal Mining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TSK Pretech</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Umicore S.A. Business Unit Precious Metals Refining</w:t>
            </w:r>
          </w:p>
        </w:tc>
        <w:tc>
          <w:tcPr>
            <w:tcW w:w="3700" w:type="dxa"/>
            <w:vAlign w:val="bottom"/>
          </w:tcPr>
          <w:p>
            <w:pPr>
              <w:spacing w:after="0"/>
              <w:rPr>
                <w:sz w:val="20"/>
                <w:szCs w:val="20"/>
                <w:color w:val="auto"/>
              </w:rPr>
            </w:pPr>
            <w:r>
              <w:rPr>
                <w:rFonts w:ascii="Arial" w:cs="Arial" w:eastAsia="Arial" w:hAnsi="Arial"/>
                <w:sz w:val="18"/>
                <w:szCs w:val="18"/>
                <w:color w:val="auto"/>
              </w:rPr>
              <w:t>BELGIUM</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Umicore Precious Metals Thailand</w:t>
            </w: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Umicore S.A. Business Unit Precious Metals Refining</w:t>
            </w:r>
          </w:p>
        </w:tc>
        <w:tc>
          <w:tcPr>
            <w:tcW w:w="3700" w:type="dxa"/>
            <w:vAlign w:val="bottom"/>
          </w:tcPr>
          <w:p>
            <w:pPr>
              <w:spacing w:after="0"/>
              <w:rPr>
                <w:sz w:val="20"/>
                <w:szCs w:val="20"/>
                <w:color w:val="auto"/>
              </w:rPr>
            </w:pPr>
            <w:r>
              <w:rPr>
                <w:rFonts w:ascii="Arial" w:cs="Arial" w:eastAsia="Arial" w:hAnsi="Arial"/>
                <w:sz w:val="18"/>
                <w:szCs w:val="18"/>
                <w:color w:val="auto"/>
              </w:rPr>
              <w:t>BELGIUM</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United Precious Metal Refining,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Valcambi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Value Trading</w:t>
            </w:r>
          </w:p>
        </w:tc>
        <w:tc>
          <w:tcPr>
            <w:tcW w:w="3700" w:type="dxa"/>
            <w:vAlign w:val="bottom"/>
          </w:tcPr>
          <w:p>
            <w:pPr>
              <w:spacing w:after="0"/>
              <w:rPr>
                <w:sz w:val="20"/>
                <w:szCs w:val="20"/>
                <w:color w:val="auto"/>
              </w:rPr>
            </w:pPr>
            <w:r>
              <w:rPr>
                <w:rFonts w:ascii="Arial" w:cs="Arial" w:eastAsia="Arial" w:hAnsi="Arial"/>
                <w:sz w:val="18"/>
                <w:szCs w:val="18"/>
                <w:color w:val="auto"/>
              </w:rPr>
              <w:t>BELGIUM</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WEEEREFINING</w:t>
            </w:r>
          </w:p>
        </w:tc>
        <w:tc>
          <w:tcPr>
            <w:tcW w:w="3700" w:type="dxa"/>
            <w:vAlign w:val="bottom"/>
          </w:tcPr>
          <w:p>
            <w:pPr>
              <w:spacing w:after="0"/>
              <w:rPr>
                <w:sz w:val="20"/>
                <w:szCs w:val="20"/>
                <w:color w:val="auto"/>
              </w:rPr>
            </w:pPr>
            <w:r>
              <w:rPr>
                <w:rFonts w:ascii="Arial" w:cs="Arial" w:eastAsia="Arial" w:hAnsi="Arial"/>
                <w:sz w:val="18"/>
                <w:szCs w:val="18"/>
                <w:color w:val="auto"/>
              </w:rPr>
              <w:t>FRANCE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-5382895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-5074285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-4765675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-4457065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-4148455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-3839845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-3531235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-3222625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-2914015</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-2605405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-2296795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-1988185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-1679575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-1370965</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-1062355</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-753745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-445135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-136525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-5708650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2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0" w:space="720"/>
            <w:col w:w="9980"/>
          </w:cols>
          <w:pgMar w:left="320" w:top="94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Metal</w:t>
      </w:r>
    </w:p>
    <w:p>
      <w:pPr>
        <w:spacing w:after="0" w:line="67" w:lineRule="exact"/>
        <w:rPr>
          <w:sz w:val="20"/>
          <w:szCs w:val="20"/>
          <w:color w:val="auto"/>
        </w:rPr>
      </w:pPr>
    </w:p>
    <w:p>
      <w:pPr>
        <w:spacing w:after="0" w:line="318" w:lineRule="auto"/>
        <w:rPr>
          <w:sz w:val="20"/>
          <w:szCs w:val="20"/>
          <w:color w:val="auto"/>
        </w:rPr>
      </w:pPr>
      <w:r>
        <w:rPr>
          <w:rFonts w:ascii="Arial" w:cs="Arial" w:eastAsia="Arial" w:hAnsi="Arial"/>
          <w:sz w:val="16"/>
          <w:szCs w:val="16"/>
          <w:color w:val="auto"/>
        </w:rPr>
        <w:t>Gold Gold Gold Gold Gold Gold Gold Gold Gold Gold Gold Gold Gold Gold Gold Gold Gold Gold Gold Gold Gold Gold Gold Gold Tantalum Tantalum Tantalum Tantalum Tantalum Tantalum Tantalum Tantalum Tantalum Tantalum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Western Australian Mint (T/a The Perth Mint)</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WIELAND Edelmetalle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Materion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CCR Refinery - Glencore Canada Corporation</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Yamakin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Yamakin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Yamakin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Yamakin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Guoda Safina High-Tech Environmental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Yokohama Metal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Yunnan Copper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Zhongyuan Gold Smelter of Zhongjin Gold Corporation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Gold Refinery of Zijin Mining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Gold Refinery of Zijin Mining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486"/>
        </w:trPr>
        <w:tc>
          <w:tcPr>
            <w:tcW w:w="6280" w:type="dxa"/>
            <w:vAlign w:val="bottom"/>
            <w:gridSpan w:val="3"/>
          </w:tcPr>
          <w:p>
            <w:pPr>
              <w:spacing w:after="0"/>
              <w:rPr>
                <w:sz w:val="20"/>
                <w:szCs w:val="20"/>
                <w:color w:val="auto"/>
              </w:rPr>
            </w:pPr>
            <w:r>
              <w:rPr>
                <w:rFonts w:ascii="Arial" w:cs="Arial" w:eastAsia="Arial" w:hAnsi="Arial"/>
                <w:sz w:val="18"/>
                <w:szCs w:val="18"/>
                <w:color w:val="auto"/>
              </w:rPr>
              <w:t>Unknown</w:t>
            </w:r>
          </w:p>
        </w:tc>
        <w:tc>
          <w:tcPr>
            <w:tcW w:w="3700" w:type="dxa"/>
            <w:vAlign w:val="bottom"/>
          </w:tcPr>
          <w:p>
            <w:pPr>
              <w:spacing w:after="0"/>
              <w:rPr>
                <w:sz w:val="20"/>
                <w:szCs w:val="20"/>
                <w:color w:val="auto"/>
              </w:rPr>
            </w:pPr>
            <w:r>
              <w:rPr>
                <w:rFonts w:ascii="Arial" w:cs="Arial" w:eastAsia="Arial" w:hAnsi="Arial"/>
                <w:sz w:val="18"/>
                <w:szCs w:val="18"/>
                <w:color w:val="auto"/>
              </w:rPr>
              <w:t>Unknown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Asaka Riken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Changsha South Tantalum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Changsha South Tantalum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D Block Metals,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Exotech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F&amp;X Electro-Materials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F&amp;X Electro-Materials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FIR Metals &amp; Resource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Global Advanced Metals Aizu</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Global Advanced Metals Boyertown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-4919980</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-4611370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-4302760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-3994150</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-3685540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-3376930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-3068320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-2759710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-2451100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-2142490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-1833880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-1525270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-1216660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-908050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-599440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-290830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-5245735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580"/>
            <w:col w:w="9980"/>
          </w:cols>
          <w:pgMar w:left="320" w:top="94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Metal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XIMEI RESOURCES (GUANGDONG) LIMITED</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TANIOBIS Co., Ltd.</w:t>
            </w: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H.C. Starck Hermsdorf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H.C. Starck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Japan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Smelting GmbH &amp;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Hengyang King Xing Lifeng New Materials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Jiangxi Dinghai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Jiangxi Tuohong New Raw Material</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JiuJiang JinXin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Jiujiang Tanbre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Jiujiang Tanbre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Jiujiang Zhongao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KEMET de Mexico</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KEMET de Mexico</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LSM Brasil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 Materials</w:t>
            </w:r>
          </w:p>
        </w:tc>
        <w:tc>
          <w:tcPr>
            <w:tcW w:w="3700" w:type="dxa"/>
            <w:vAlign w:val="bottom"/>
          </w:tcPr>
          <w:p>
            <w:pPr>
              <w:spacing w:after="0"/>
              <w:rPr>
                <w:sz w:val="20"/>
                <w:szCs w:val="20"/>
                <w:color w:val="auto"/>
              </w:rPr>
            </w:pPr>
            <w:r>
              <w:rPr>
                <w:rFonts w:ascii="Arial" w:cs="Arial" w:eastAsia="Arial" w:hAnsi="Arial"/>
                <w:sz w:val="18"/>
                <w:szCs w:val="18"/>
                <w:color w:val="auto"/>
              </w:rPr>
              <w:t>NORTH MACEDONIA,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Metallurgical Products India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Metallurgical Products India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Mineracao Taboca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Mineracao Taboca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Mineracao Taboca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NPM Silmet AS</w:t>
            </w:r>
          </w:p>
        </w:tc>
        <w:tc>
          <w:tcPr>
            <w:tcW w:w="3700" w:type="dxa"/>
            <w:vAlign w:val="bottom"/>
          </w:tcPr>
          <w:p>
            <w:pPr>
              <w:spacing w:after="0"/>
              <w:rPr>
                <w:sz w:val="20"/>
                <w:szCs w:val="20"/>
                <w:color w:val="auto"/>
              </w:rPr>
            </w:pPr>
            <w:r>
              <w:rPr>
                <w:rFonts w:ascii="Arial" w:cs="Arial" w:eastAsia="Arial" w:hAnsi="Arial"/>
                <w:sz w:val="18"/>
                <w:szCs w:val="18"/>
                <w:color w:val="auto"/>
              </w:rPr>
              <w:t>ESTONIA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Ningxia Orient Tantalum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Ningxia Orient Tantalum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NPM Silmet AS</w:t>
            </w:r>
          </w:p>
        </w:tc>
        <w:tc>
          <w:tcPr>
            <w:tcW w:w="3700" w:type="dxa"/>
            <w:vAlign w:val="bottom"/>
          </w:tcPr>
          <w:p>
            <w:pPr>
              <w:spacing w:after="0"/>
              <w:rPr>
                <w:sz w:val="20"/>
                <w:szCs w:val="20"/>
                <w:color w:val="auto"/>
              </w:rPr>
            </w:pPr>
            <w:r>
              <w:rPr>
                <w:rFonts w:ascii="Arial" w:cs="Arial" w:eastAsia="Arial" w:hAnsi="Arial"/>
                <w:sz w:val="18"/>
                <w:szCs w:val="18"/>
                <w:color w:val="auto"/>
              </w:rPr>
              <w:t>ESTONIA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 Materials</w:t>
            </w:r>
          </w:p>
        </w:tc>
        <w:tc>
          <w:tcPr>
            <w:tcW w:w="3700" w:type="dxa"/>
            <w:vAlign w:val="bottom"/>
          </w:tcPr>
          <w:p>
            <w:pPr>
              <w:spacing w:after="0"/>
              <w:rPr>
                <w:sz w:val="20"/>
                <w:szCs w:val="20"/>
                <w:color w:val="auto"/>
              </w:rPr>
            </w:pPr>
            <w:r>
              <w:rPr>
                <w:rFonts w:ascii="Arial" w:cs="Arial" w:eastAsia="Arial" w:hAnsi="Arial"/>
                <w:sz w:val="18"/>
                <w:szCs w:val="18"/>
                <w:color w:val="auto"/>
              </w:rPr>
              <w:t>NORTH MACEDONIA,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 Materials</w:t>
            </w:r>
          </w:p>
        </w:tc>
        <w:tc>
          <w:tcPr>
            <w:tcW w:w="3700" w:type="dxa"/>
            <w:vAlign w:val="bottom"/>
          </w:tcPr>
          <w:p>
            <w:pPr>
              <w:spacing w:after="0"/>
              <w:rPr>
                <w:sz w:val="20"/>
                <w:szCs w:val="20"/>
                <w:color w:val="auto"/>
              </w:rPr>
            </w:pPr>
            <w:r>
              <w:rPr>
                <w:rFonts w:ascii="Arial" w:cs="Arial" w:eastAsia="Arial" w:hAnsi="Arial"/>
                <w:sz w:val="18"/>
                <w:szCs w:val="18"/>
                <w:color w:val="auto"/>
              </w:rPr>
              <w:t>NORTH MACEDONIA,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Meta Materials</w:t>
            </w:r>
          </w:p>
        </w:tc>
        <w:tc>
          <w:tcPr>
            <w:tcW w:w="3700" w:type="dxa"/>
            <w:vAlign w:val="bottom"/>
          </w:tcPr>
          <w:p>
            <w:pPr>
              <w:spacing w:after="0"/>
              <w:rPr>
                <w:sz w:val="20"/>
                <w:szCs w:val="20"/>
                <w:color w:val="auto"/>
              </w:rPr>
            </w:pPr>
            <w:r>
              <w:rPr>
                <w:rFonts w:ascii="Arial" w:cs="Arial" w:eastAsia="Arial" w:hAnsi="Arial"/>
                <w:sz w:val="18"/>
                <w:szCs w:val="18"/>
                <w:color w:val="auto"/>
              </w:rPr>
              <w:t>NORTH MACEDONIA, REPUBLIC OF</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QuantumClean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Resind Industria e Comercio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Resind Industria e Comercio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-5074285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-4765675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-4457065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-4148455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-3839845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-3531235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-3222625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-2914015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-2605405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-2296795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-1988185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-1679575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-1370965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-1062355</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-753745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-445135</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-136525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-5400040</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580"/>
            <w:col w:w="9980"/>
          </w:cols>
          <w:pgMar w:left="320" w:top="94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Metal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Tantalum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gridSpan w:val="2"/>
          </w:tcPr>
          <w:p>
            <w:pPr>
              <w:ind w:left="252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29"/>
        </w:trPr>
        <w:tc>
          <w:tcPr>
            <w:tcW w:w="20" w:type="dxa"/>
            <w:vAlign w:val="bottom"/>
          </w:tcPr>
          <w:p>
            <w:pPr>
              <w:spacing w:after="0"/>
              <w:rPr>
                <w:sz w:val="19"/>
                <w:szCs w:val="19"/>
                <w:color w:val="auto"/>
              </w:rPr>
            </w:pP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Resind Industria e Comercio Ltda.</w:t>
            </w:r>
          </w:p>
        </w:tc>
        <w:tc>
          <w:tcPr>
            <w:tcW w:w="10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BRAZIL</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Yanling Jincheng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Yanling Jincheng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Solikamsk Magnesium Works OAO</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Solikamsk Magnesium Works OAO</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Solikamsk Magnesium Works OAO</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Taki Chemical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Taki Chemical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Co., Ltd.</w:t>
            </w: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Japan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Smelting GmbH &amp;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Telex Metals</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Ulba Metallurgical Plant JSC</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Ulba Metallurgical Plant JSC</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XIMEI RESOURCES (GUANGDONG)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XinXing HaoRong Electronic Material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Yancheng Jinye New Material Technology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Yanling Jincheng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Yanling Jincheng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TANIOBIS Japan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486"/>
        </w:trPr>
        <w:tc>
          <w:tcPr>
            <w:tcW w:w="6280" w:type="dxa"/>
            <w:vAlign w:val="bottom"/>
            <w:gridSpan w:val="3"/>
          </w:tcPr>
          <w:p>
            <w:pPr>
              <w:spacing w:after="0"/>
              <w:rPr>
                <w:sz w:val="20"/>
                <w:szCs w:val="20"/>
                <w:color w:val="auto"/>
              </w:rPr>
            </w:pPr>
            <w:r>
              <w:rPr>
                <w:rFonts w:ascii="Arial" w:cs="Arial" w:eastAsia="Arial" w:hAnsi="Arial"/>
                <w:sz w:val="18"/>
                <w:szCs w:val="18"/>
                <w:color w:val="auto"/>
              </w:rPr>
              <w:t>Unknown</w:t>
            </w:r>
          </w:p>
        </w:tc>
        <w:tc>
          <w:tcPr>
            <w:tcW w:w="3700" w:type="dxa"/>
            <w:vAlign w:val="bottom"/>
          </w:tcPr>
          <w:p>
            <w:pPr>
              <w:spacing w:after="0"/>
              <w:rPr>
                <w:sz w:val="20"/>
                <w:szCs w:val="20"/>
                <w:color w:val="auto"/>
              </w:rPr>
            </w:pPr>
            <w:r>
              <w:rPr>
                <w:rFonts w:ascii="Arial" w:cs="Arial" w:eastAsia="Arial" w:hAnsi="Arial"/>
                <w:sz w:val="18"/>
                <w:szCs w:val="18"/>
                <w:color w:val="auto"/>
              </w:rPr>
              <w:t>Unknown</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An Vinh Joint Stock Mineral Processing Company</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PT Refined Bangka Tin</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Chenzhou Yunxiang Mining and Metallurgy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3"/>
        </w:trPr>
        <w:tc>
          <w:tcPr>
            <w:tcW w:w="6280" w:type="dxa"/>
            <w:vAlign w:val="bottom"/>
            <w:gridSpan w:val="3"/>
          </w:tcPr>
          <w:p>
            <w:pPr>
              <w:spacing w:after="0"/>
              <w:rPr>
                <w:sz w:val="20"/>
                <w:szCs w:val="20"/>
                <w:color w:val="auto"/>
              </w:rPr>
            </w:pPr>
            <w:r>
              <w:rPr>
                <w:rFonts w:ascii="Arial" w:cs="Arial" w:eastAsia="Arial" w:hAnsi="Arial"/>
                <w:sz w:val="18"/>
                <w:szCs w:val="18"/>
                <w:color w:val="auto"/>
              </w:rPr>
              <w:t>Chenzhou Yunxiang Mining and Metallurgy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-4765675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-4457065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-4148455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-3839845</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-3531235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-3222625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-2914015</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-2605405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-2296795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-1988185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-1679575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-1370965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-1062355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-753745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-445135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-136525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-5091430</wp:posOffset>
            </wp:positionV>
            <wp:extent cx="713232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6985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580"/>
            <w:col w:w="9980"/>
          </w:cols>
          <w:pgMar w:left="320" w:top="94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Chifeng Dajingzi Tin Industry Co., Ltd.</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Alpha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Alpha</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CRM Fundicao De Metais E Comercio De Equipamentos Eletronicos Do Brasil Ltda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w w:val="94"/>
              </w:rPr>
              <w:t>CRM Fundicao De Metais E Comercio De Equipamentos Eletronicos Do Brasil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CRM Synergies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CV Ayi Jaya</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Aries Kencana Sejahtera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Rajehan Ariq</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CV Venus Inti Perkasa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Dongguan CiEXPO Environmental Engineering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Dowa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08"/>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Electro-Mechanical Facility of the Cao Bang Minerals &amp; Metallurgy Joint Stock</w:t>
            </w:r>
          </w:p>
        </w:tc>
        <w:tc>
          <w:tcPr>
            <w:tcW w:w="3700" w:type="dxa"/>
            <w:vAlign w:val="bottom"/>
            <w:shd w:val="clear" w:color="auto" w:fill="CCEEFF"/>
          </w:tcPr>
          <w:p>
            <w:pPr>
              <w:spacing w:after="0"/>
              <w:rPr>
                <w:sz w:val="18"/>
                <w:szCs w:val="18"/>
                <w:color w:val="auto"/>
              </w:rPr>
            </w:pP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EM Vinto</w:t>
            </w:r>
          </w:p>
        </w:tc>
        <w:tc>
          <w:tcPr>
            <w:tcW w:w="3700" w:type="dxa"/>
            <w:vAlign w:val="bottom"/>
          </w:tcPr>
          <w:p>
            <w:pPr>
              <w:spacing w:after="0"/>
              <w:rPr>
                <w:sz w:val="20"/>
                <w:szCs w:val="20"/>
                <w:color w:val="auto"/>
              </w:rPr>
            </w:pPr>
            <w:r>
              <w:rPr>
                <w:rFonts w:ascii="Arial" w:cs="Arial" w:eastAsia="Arial" w:hAnsi="Arial"/>
                <w:sz w:val="18"/>
                <w:szCs w:val="18"/>
                <w:color w:val="auto"/>
              </w:rPr>
              <w:t>BOLIVIA (PLURINATIONAL STATE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EM Vinto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BOLIVIA (PLURINATIONAL STATE OF)</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EM Vinto</w:t>
            </w:r>
          </w:p>
        </w:tc>
        <w:tc>
          <w:tcPr>
            <w:tcW w:w="3700" w:type="dxa"/>
            <w:vAlign w:val="bottom"/>
          </w:tcPr>
          <w:p>
            <w:pPr>
              <w:spacing w:after="0"/>
              <w:rPr>
                <w:sz w:val="20"/>
                <w:szCs w:val="20"/>
                <w:color w:val="auto"/>
              </w:rPr>
            </w:pPr>
            <w:r>
              <w:rPr>
                <w:rFonts w:ascii="Arial" w:cs="Arial" w:eastAsia="Arial" w:hAnsi="Arial"/>
                <w:sz w:val="18"/>
                <w:szCs w:val="18"/>
                <w:color w:val="auto"/>
              </w:rPr>
              <w:t>BOLIVIA (PLURINATIONAL STATE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EM Vinto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BOLIVIA (PLURINATIONAL STATE OF)</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Estanho de Rondonia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Estanho de Rondonia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Fabrica Auricchio Industria e Comercio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Fabrica Auricchio Industria e Comercio Ltda.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Fabrica Auricchio Industria e Comercio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Fenix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Minsur</w:t>
            </w:r>
          </w:p>
        </w:tc>
        <w:tc>
          <w:tcPr>
            <w:tcW w:w="3700" w:type="dxa"/>
            <w:vAlign w:val="bottom"/>
          </w:tcPr>
          <w:p>
            <w:pPr>
              <w:spacing w:after="0"/>
              <w:rPr>
                <w:sz w:val="20"/>
                <w:szCs w:val="20"/>
                <w:color w:val="auto"/>
              </w:rPr>
            </w:pPr>
            <w:r>
              <w:rPr>
                <w:rFonts w:ascii="Arial" w:cs="Arial" w:eastAsia="Arial" w:hAnsi="Arial"/>
                <w:sz w:val="18"/>
                <w:szCs w:val="18"/>
                <w:color w:val="auto"/>
              </w:rPr>
              <w:t>PERU</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City Fuxiang Industry and Trade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Fengming Metallurgy Chemical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Gejiu City Fuxiang Industry and Trade Co., Ltd.</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Non-Ferrous Metal Processing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Zili Mining And Metallurgy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Zili Mining And Metallurgy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Guangdong Hanhe Non-Ferrous Metal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HuiChang Hill Tin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Timah Tbk Mentok</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New Nanshan Technology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New Nanshan Technology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Timah Tbk Kundur</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Luna Smelter,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RWANDA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Ma’anshan Weitai Tin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Magnu’s Minerais Metais e Ligas Ltda.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Malaysia Smelting Corporation (MSC)</w:t>
            </w:r>
          </w:p>
        </w:tc>
        <w:tc>
          <w:tcPr>
            <w:tcW w:w="3700" w:type="dxa"/>
            <w:vAlign w:val="bottom"/>
          </w:tcPr>
          <w:p>
            <w:pPr>
              <w:spacing w:after="0"/>
              <w:rPr>
                <w:sz w:val="20"/>
                <w:szCs w:val="20"/>
                <w:color w:val="auto"/>
              </w:rPr>
            </w:pPr>
            <w:r>
              <w:rPr>
                <w:rFonts w:ascii="Arial" w:cs="Arial" w:eastAsia="Arial" w:hAnsi="Arial"/>
                <w:sz w:val="18"/>
                <w:szCs w:val="18"/>
                <w:color w:val="auto"/>
              </w:rPr>
              <w:t>MALAYSIA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Melt Metais e Ligas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Timah Tbk Mentok</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Metallic Resources, Inc.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Metallo Belgium N.V.</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Metallo Spain S.L.U.</w:t>
            </w:r>
          </w:p>
        </w:tc>
        <w:tc>
          <w:tcPr>
            <w:tcW w:w="3700" w:type="dxa"/>
            <w:vAlign w:val="bottom"/>
          </w:tcPr>
          <w:p>
            <w:pPr>
              <w:spacing w:after="0"/>
              <w:rPr>
                <w:sz w:val="20"/>
                <w:szCs w:val="20"/>
                <w:color w:val="auto"/>
              </w:rPr>
            </w:pPr>
            <w:r>
              <w:rPr>
                <w:rFonts w:ascii="Arial" w:cs="Arial" w:eastAsia="Arial" w:hAnsi="Arial"/>
                <w:sz w:val="18"/>
                <w:szCs w:val="18"/>
                <w:color w:val="auto"/>
              </w:rPr>
              <w:t>SPAIN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Mineracao Taboca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Mineracao Taboca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Mineracao Taboca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VQB Mineral and Trading Group JSC</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Minsur</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PERU</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Mitsubishi Materials Corporation</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Modeltech Sdn Bhd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Malaysia Smelting Corporation (MSC)</w:t>
            </w:r>
          </w:p>
        </w:tc>
        <w:tc>
          <w:tcPr>
            <w:tcW w:w="3700" w:type="dxa"/>
            <w:vAlign w:val="bottom"/>
          </w:tcPr>
          <w:p>
            <w:pPr>
              <w:spacing w:after="0"/>
              <w:rPr>
                <w:sz w:val="20"/>
                <w:szCs w:val="20"/>
                <w:color w:val="auto"/>
              </w:rPr>
            </w:pPr>
            <w:r>
              <w:rPr>
                <w:rFonts w:ascii="Arial" w:cs="Arial" w:eastAsia="Arial" w:hAnsi="Arial"/>
                <w:sz w:val="18"/>
                <w:szCs w:val="18"/>
                <w:color w:val="auto"/>
              </w:rPr>
              <w:t>MALAYSIA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New Nanshan Technology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New Nanshan Technology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Nghe Tinh Non-Ferrous Metals Joint Stock Company</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Novosibirsk Processing Plant Ltd.</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O.M. Manufacturing (Thailand)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O.M. Manufacturing Philippines, Inc.</w:t>
            </w:r>
          </w:p>
        </w:tc>
        <w:tc>
          <w:tcPr>
            <w:tcW w:w="370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Operaciones Metalurgicas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BOLIVIA (PLURINATIONAL STATE OF)</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Operaciones Metalurgicas S.A.</w:t>
            </w:r>
          </w:p>
        </w:tc>
        <w:tc>
          <w:tcPr>
            <w:tcW w:w="3700" w:type="dxa"/>
            <w:vAlign w:val="bottom"/>
          </w:tcPr>
          <w:p>
            <w:pPr>
              <w:spacing w:after="0"/>
              <w:rPr>
                <w:sz w:val="20"/>
                <w:szCs w:val="20"/>
                <w:color w:val="auto"/>
              </w:rPr>
            </w:pPr>
            <w:r>
              <w:rPr>
                <w:rFonts w:ascii="Arial" w:cs="Arial" w:eastAsia="Arial" w:hAnsi="Arial"/>
                <w:sz w:val="18"/>
                <w:szCs w:val="18"/>
                <w:color w:val="auto"/>
              </w:rPr>
              <w:t>BOLIVIA (PLURINATIONAL STATE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Operaciones Metalurgicas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BOLIVIA (PLURINATIONAL STATE OF)</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Pongpipat Company Limited</w:t>
            </w:r>
          </w:p>
        </w:tc>
        <w:tc>
          <w:tcPr>
            <w:tcW w:w="3700" w:type="dxa"/>
            <w:vAlign w:val="bottom"/>
          </w:tcPr>
          <w:p>
            <w:pPr>
              <w:spacing w:after="0"/>
              <w:rPr>
                <w:sz w:val="20"/>
                <w:szCs w:val="20"/>
                <w:color w:val="auto"/>
              </w:rPr>
            </w:pPr>
            <w:r>
              <w:rPr>
                <w:rFonts w:ascii="Arial" w:cs="Arial" w:eastAsia="Arial" w:hAnsi="Arial"/>
                <w:sz w:val="18"/>
                <w:szCs w:val="18"/>
                <w:color w:val="auto"/>
              </w:rPr>
              <w:t>MYANMAR</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Precious Minerals and Smelting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Aries Kencana Sejahtera</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Artha Cipta Langgeng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ATD Makmur Mandiri Jaya</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Babel Surya Alam Lestari</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Bangka Serumpun</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Lautan Harmonis Sejahtera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Menara Cipta Mulia</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Mitra Stania Prima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Mitra Sukses Globalindo</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Prima Timah Utama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Rajawali Rimba Perkasa</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Rajehan Ariq</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Refined Bangka Tin</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Stanindo Inti Perkasa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Timah Tbk Kundur</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Timah Nusantara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Timah Tbk Kundur</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PT Timah Tbk Mentok</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Tinindo Inter Nusa</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Resind Industria e Comercio Ltda.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Resind Industria e Comercio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Resind Industria e Comercio Ltda.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Rui Da Hung</w:t>
            </w:r>
          </w:p>
        </w:tc>
        <w:tc>
          <w:tcPr>
            <w:tcW w:w="3700" w:type="dxa"/>
            <w:vAlign w:val="bottom"/>
          </w:tcPr>
          <w:p>
            <w:pPr>
              <w:spacing w:after="0"/>
              <w:rPr>
                <w:sz w:val="20"/>
                <w:szCs w:val="20"/>
                <w:color w:val="auto"/>
              </w:rPr>
            </w:pPr>
            <w:r>
              <w:rPr>
                <w:rFonts w:ascii="Arial" w:cs="Arial" w:eastAsia="Arial" w:hAnsi="Arial"/>
                <w:sz w:val="18"/>
                <w:szCs w:val="18"/>
                <w:color w:val="auto"/>
              </w:rPr>
              <w:t>TAIWAN, PROVINCE OF 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Soft Metais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Super Ligas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Thai Nguyen Mining and Metallurgy Co., Ltd.</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Thaisarco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Thaisarco</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THAILAND</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Thaisarco</w:t>
            </w: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Tin Technology &amp; Refining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Mineracao Taboca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Tuyen Quang Non-Ferrous Metals Joint Stock Company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Timah Tbk Kundur</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VQB Mineral and Trading Group JSC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White Solder Metalurgia e Mineracao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White Solder Metalurgia e Mineracao Ltda.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White Solder Metalurgia e Mineracao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Zili Mining And Metallurgy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Yunfan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shd w:val="clear" w:color="auto" w:fill="CCEEFF"/>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Unknown</w:t>
            </w:r>
          </w:p>
        </w:tc>
        <w:tc>
          <w:tcPr>
            <w:tcW w:w="3700" w:type="dxa"/>
            <w:vAlign w:val="bottom"/>
          </w:tcPr>
          <w:p>
            <w:pPr>
              <w:spacing w:after="0"/>
              <w:rPr>
                <w:sz w:val="20"/>
                <w:szCs w:val="20"/>
                <w:color w:val="auto"/>
              </w:rPr>
            </w:pPr>
            <w:r>
              <w:rPr>
                <w:rFonts w:ascii="Arial" w:cs="Arial" w:eastAsia="Arial" w:hAnsi="Arial"/>
                <w:sz w:val="18"/>
                <w:szCs w:val="18"/>
                <w:color w:val="auto"/>
              </w:rPr>
              <w:t>Unknown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A.L.M.T. Corp.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A.L.M.T. Corp.</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ACL Metais Eireli</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Albasteel Industria e Comercio de Ligas Para Fundicao Ltd.</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A.L.M.T. Corp.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A.L.M.T. Corp.</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Tungsten</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A.L.M.T. Corp.</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Artek LLC</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Asia Tungsten Products Vietnam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Kennametal Huntsville</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Kennametal Huntsville</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Guangdong Xianglu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Chenzhou Diamond Tungsten Products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Molybdenum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Molybdenum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Molybdenum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Chongyi Zhangyuan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CNMC (Guangxi) PGMA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Cronimet Brasil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Fujian Ganmin RareMetal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Fujian Xinlu Tungsten</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Haichuang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Jiangwu Ferrotungsten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Ganzhou Seadragon W &amp; Mo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GEM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Global Tungsten &amp; Powders Corp.</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Global Tungsten &amp; Powders Corp.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Guangdong Xianglu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TANIOBIS Smelting GmbH &amp; Co. KG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H.C. Starck Tungsten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Jiangwu Ferrotungsten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Hunan Chunchang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Hunan Chenzhou Mining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Hunan Chenzhou Mining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Hunan Chunchang Nonferrous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Hunan Litian Tungsten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Hydrometallurg, JSC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Japan New Metals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Gan Bei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5"/>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2"/>
                <w:szCs w:val="22"/>
                <w:color w:val="auto"/>
              </w:rPr>
            </w:pPr>
          </w:p>
        </w:tc>
        <w:tc>
          <w:tcPr>
            <w:tcW w:w="62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Smelter Name</w:t>
            </w:r>
          </w:p>
        </w:tc>
        <w:tc>
          <w:tcPr>
            <w:tcW w:w="3700" w:type="dxa"/>
            <w:vAlign w:val="bottom"/>
          </w:tcPr>
          <w:p>
            <w:pPr>
              <w:ind w:left="1520"/>
              <w:spacing w:after="0"/>
              <w:rPr>
                <w:sz w:val="20"/>
                <w:szCs w:val="20"/>
                <w:color w:val="auto"/>
              </w:rPr>
            </w:pPr>
            <w:r>
              <w:rPr>
                <w:rFonts w:ascii="Arial" w:cs="Arial" w:eastAsia="Arial" w:hAnsi="Arial"/>
                <w:sz w:val="18"/>
                <w:szCs w:val="18"/>
                <w:b w:val="1"/>
                <w:bCs w:val="1"/>
                <w:color w:val="auto"/>
              </w:rPr>
              <w:t>Country</w:t>
            </w:r>
          </w:p>
        </w:tc>
      </w:tr>
      <w:tr>
        <w:trPr>
          <w:trHeight w:val="243"/>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Tungsten</w:t>
            </w:r>
          </w:p>
        </w:tc>
        <w:tc>
          <w:tcPr>
            <w:tcW w:w="120" w:type="dxa"/>
            <w:vAlign w:val="bottom"/>
            <w:tcBorders>
              <w:top w:val="single" w:sz="8" w:color="CCEEFF"/>
            </w:tcBorders>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Jiangxi Minmetals Gao’an Non-ferrous Metals Co., Ltd.</w:t>
            </w:r>
          </w:p>
        </w:tc>
        <w:tc>
          <w:tcPr>
            <w:tcW w:w="100" w:type="dxa"/>
            <w:vAlign w:val="bottom"/>
            <w:tcBorders>
              <w:top w:val="single" w:sz="8" w:color="CCEEFF"/>
            </w:tcBorders>
            <w:shd w:val="clear" w:color="auto" w:fill="CCEEFF"/>
          </w:tcPr>
          <w:p>
            <w:pPr>
              <w:spacing w:after="0"/>
              <w:rPr>
                <w:sz w:val="21"/>
                <w:szCs w:val="21"/>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Tonggu Non-ferrous Metallurgical &amp; Chemical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Yaosheng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JSC “Kirovgrad Hard Alloys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Kennametal Fallon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Kennametal Huntsville</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KGETS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Lianyou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TAIWAN, PROVINCE OF 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Malipo Haiyu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Masan High-Tech Materials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Masan High-Tech Materials</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Moliren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Niagara Refining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NPP Tyazhmetprom LLC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Masan High-Tech Materials</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OOO “Technolom” 1</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OOO “Technolom” 2</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Philippine Chuangxin Industrial Co., Inc.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TANIOBIS Smelting GmbH &amp;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Unecha Refractory metals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Wolfram Bergbau und Hutten AG</w:t>
            </w:r>
          </w:p>
        </w:tc>
        <w:tc>
          <w:tcPr>
            <w:tcW w:w="3700" w:type="dxa"/>
            <w:vAlign w:val="bottom"/>
          </w:tcPr>
          <w:p>
            <w:pPr>
              <w:spacing w:after="0"/>
              <w:rPr>
                <w:sz w:val="20"/>
                <w:szCs w:val="20"/>
                <w:color w:val="auto"/>
              </w:rPr>
            </w:pPr>
            <w:r>
              <w:rPr>
                <w:rFonts w:ascii="Arial" w:cs="Arial" w:eastAsia="Arial" w:hAnsi="Arial"/>
                <w:sz w:val="18"/>
                <w:szCs w:val="18"/>
                <w:color w:val="auto"/>
              </w:rPr>
              <w:t>AUSTRIA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Wolfram Bergbau und Hutten AG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Wolfram Bergbau und Hutten AG</w:t>
            </w:r>
          </w:p>
        </w:tc>
        <w:tc>
          <w:tcPr>
            <w:tcW w:w="3700" w:type="dxa"/>
            <w:vAlign w:val="bottom"/>
          </w:tcPr>
          <w:p>
            <w:pPr>
              <w:spacing w:after="0"/>
              <w:rPr>
                <w:sz w:val="20"/>
                <w:szCs w:val="20"/>
                <w:color w:val="auto"/>
              </w:rPr>
            </w:pPr>
            <w:r>
              <w:rPr>
                <w:rFonts w:ascii="Arial" w:cs="Arial" w:eastAsia="Arial" w:hAnsi="Arial"/>
                <w:sz w:val="18"/>
                <w:szCs w:val="18"/>
                <w:color w:val="auto"/>
              </w:rPr>
              <w:t>AUSTRIA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Wolfram Bergbau und Hutten AG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Woltech Korea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Xiamen Tungsten (H.C.)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Xiamen Tungsten (H.C.)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Xiamen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Xinfeng Huarui Tungsten &amp; Molybdenum New Material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Chongyi Zhangyuan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Molybdenum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49"/>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120" w:type="dxa"/>
            <w:vAlign w:val="bottom"/>
            <w:shd w:val="clear" w:color="auto" w:fill="CCEEFF"/>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Unknown</w:t>
            </w:r>
          </w:p>
        </w:tc>
        <w:tc>
          <w:tcPr>
            <w:tcW w:w="3700" w:type="dxa"/>
            <w:vAlign w:val="bottom"/>
          </w:tcPr>
          <w:p>
            <w:pPr>
              <w:spacing w:after="0"/>
              <w:rPr>
                <w:sz w:val="20"/>
                <w:szCs w:val="20"/>
                <w:color w:val="auto"/>
              </w:rPr>
            </w:pPr>
            <w:r>
              <w:rPr>
                <w:rFonts w:ascii="Arial" w:cs="Arial" w:eastAsia="Arial" w:hAnsi="Arial"/>
                <w:sz w:val="18"/>
                <w:szCs w:val="18"/>
                <w:color w:val="auto"/>
              </w:rPr>
              <w:t>Unknown</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gridSpan w:val="3"/>
          </w:tcPr>
          <w:p>
            <w:pPr>
              <w:ind w:left="2340"/>
              <w:spacing w:after="0"/>
              <w:rPr>
                <w:sz w:val="20"/>
                <w:szCs w:val="20"/>
                <w:color w:val="auto"/>
              </w:rPr>
            </w:pPr>
            <w:r>
              <w:rPr>
                <w:rFonts w:ascii="Arial" w:cs="Arial" w:eastAsia="Arial" w:hAnsi="Arial"/>
                <w:sz w:val="18"/>
                <w:szCs w:val="18"/>
                <w:b w:val="1"/>
                <w:bCs w:val="1"/>
                <w:color w:val="auto"/>
              </w:rPr>
              <w:t>Annex 2</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3"/>
          </w:tcPr>
          <w:p>
            <w:pPr>
              <w:ind w:left="1660"/>
              <w:spacing w:after="0"/>
              <w:rPr>
                <w:sz w:val="20"/>
                <w:szCs w:val="20"/>
                <w:color w:val="auto"/>
              </w:rPr>
            </w:pPr>
            <w:r>
              <w:rPr>
                <w:rFonts w:ascii="Arial" w:cs="Arial" w:eastAsia="Arial" w:hAnsi="Arial"/>
                <w:sz w:val="18"/>
                <w:szCs w:val="18"/>
                <w:color w:val="auto"/>
              </w:rPr>
              <w:t>Reported Country of Origin</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9"/>
        </w:trPr>
        <w:tc>
          <w:tcPr>
            <w:tcW w:w="2960" w:type="dxa"/>
            <w:vAlign w:val="bottom"/>
            <w:gridSpan w:val="2"/>
          </w:tcPr>
          <w:p>
            <w:pPr>
              <w:ind w:left="1280"/>
              <w:spacing w:after="0"/>
              <w:rPr>
                <w:sz w:val="20"/>
                <w:szCs w:val="20"/>
                <w:color w:val="auto"/>
              </w:rPr>
            </w:pPr>
            <w:r>
              <w:rPr>
                <w:rFonts w:ascii="Arial" w:cs="Arial" w:eastAsia="Arial" w:hAnsi="Arial"/>
                <w:sz w:val="18"/>
                <w:szCs w:val="18"/>
                <w:b w:val="1"/>
                <w:bCs w:val="1"/>
                <w:color w:val="auto"/>
              </w:rPr>
              <w:t>Gold</w:t>
            </w:r>
          </w:p>
        </w:tc>
        <w:tc>
          <w:tcPr>
            <w:tcW w:w="2800" w:type="dxa"/>
            <w:vAlign w:val="bottom"/>
            <w:gridSpan w:val="2"/>
          </w:tcPr>
          <w:p>
            <w:pPr>
              <w:ind w:left="960"/>
              <w:spacing w:after="0"/>
              <w:rPr>
                <w:sz w:val="20"/>
                <w:szCs w:val="20"/>
                <w:color w:val="auto"/>
              </w:rPr>
            </w:pPr>
            <w:r>
              <w:rPr>
                <w:rFonts w:ascii="Arial" w:cs="Arial" w:eastAsia="Arial" w:hAnsi="Arial"/>
                <w:sz w:val="18"/>
                <w:szCs w:val="18"/>
                <w:b w:val="1"/>
                <w:bCs w:val="1"/>
                <w:color w:val="auto"/>
              </w:rPr>
              <w:t>Tantalum</w:t>
            </w:r>
          </w:p>
        </w:tc>
        <w:tc>
          <w:tcPr>
            <w:tcW w:w="2680" w:type="dxa"/>
            <w:vAlign w:val="bottom"/>
          </w:tcPr>
          <w:p>
            <w:pPr>
              <w:ind w:left="1200"/>
              <w:spacing w:after="0"/>
              <w:rPr>
                <w:sz w:val="20"/>
                <w:szCs w:val="20"/>
                <w:color w:val="auto"/>
              </w:rPr>
            </w:pPr>
            <w:r>
              <w:rPr>
                <w:rFonts w:ascii="Arial" w:cs="Arial" w:eastAsia="Arial" w:hAnsi="Arial"/>
                <w:sz w:val="18"/>
                <w:szCs w:val="18"/>
                <w:b w:val="1"/>
                <w:bCs w:val="1"/>
                <w:color w:val="auto"/>
              </w:rPr>
              <w:t>Tin</w:t>
            </w:r>
          </w:p>
        </w:tc>
        <w:tc>
          <w:tcPr>
            <w:tcW w:w="120" w:type="dxa"/>
            <w:vAlign w:val="bottom"/>
          </w:tcPr>
          <w:p>
            <w:pPr>
              <w:spacing w:after="0"/>
              <w:rPr>
                <w:sz w:val="24"/>
                <w:szCs w:val="24"/>
                <w:color w:val="auto"/>
              </w:rPr>
            </w:pPr>
          </w:p>
        </w:tc>
        <w:tc>
          <w:tcPr>
            <w:tcW w:w="2680" w:type="dxa"/>
            <w:vAlign w:val="bottom"/>
          </w:tcPr>
          <w:p>
            <w:pPr>
              <w:ind w:left="980"/>
              <w:spacing w:after="0"/>
              <w:rPr>
                <w:sz w:val="20"/>
                <w:szCs w:val="20"/>
                <w:color w:val="auto"/>
              </w:rPr>
            </w:pPr>
            <w:r>
              <w:rPr>
                <w:rFonts w:ascii="Arial" w:cs="Arial" w:eastAsia="Arial" w:hAnsi="Arial"/>
                <w:sz w:val="18"/>
                <w:szCs w:val="18"/>
                <w:b w:val="1"/>
                <w:bCs w:val="1"/>
                <w:color w:val="auto"/>
              </w:rPr>
              <w:t>Tungsten</w:t>
            </w:r>
          </w:p>
        </w:tc>
      </w:tr>
      <w:tr>
        <w:trPr>
          <w:trHeight w:val="237"/>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ANDORRA</w:t>
            </w:r>
          </w:p>
        </w:tc>
        <w:tc>
          <w:tcPr>
            <w:tcW w:w="14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10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BELGIUM</w:t>
            </w:r>
          </w:p>
        </w:tc>
        <w:tc>
          <w:tcPr>
            <w:tcW w:w="12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AUSTRIA</w:t>
            </w: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AUSTRALIA</w:t>
            </w: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CHINA</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BOLIVIA (PLURINATIONAL</w:t>
            </w: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STATE OF)</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BRAZIL</w:t>
            </w: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43"/>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AUSTRIA</w:t>
            </w: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ESTONIA</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CHINA</w:t>
            </w: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28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680" w:type="dxa"/>
            <w:vAlign w:val="bottom"/>
          </w:tcPr>
          <w:p>
            <w:pPr>
              <w:spacing w:after="0"/>
              <w:rPr>
                <w:sz w:val="20"/>
                <w:szCs w:val="20"/>
                <w:color w:val="auto"/>
              </w:rPr>
            </w:pPr>
            <w:r>
              <w:rPr>
                <w:rFonts w:ascii="Arial" w:cs="Arial" w:eastAsia="Arial" w:hAnsi="Arial"/>
                <w:sz w:val="18"/>
                <w:szCs w:val="18"/>
                <w:color w:val="auto"/>
              </w:rPr>
              <w:t>CHINA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GERMANY</w:t>
            </w: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JAPAN</w:t>
            </w: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800" w:type="dxa"/>
            <w:vAlign w:val="bottom"/>
            <w:gridSpan w:val="2"/>
          </w:tcPr>
          <w:p>
            <w:pPr>
              <w:spacing w:after="0"/>
              <w:rPr>
                <w:sz w:val="20"/>
                <w:szCs w:val="20"/>
                <w:color w:val="auto"/>
              </w:rPr>
            </w:pPr>
            <w:r>
              <w:rPr>
                <w:rFonts w:ascii="Arial" w:cs="Arial" w:eastAsia="Arial" w:hAnsi="Arial"/>
                <w:sz w:val="18"/>
                <w:szCs w:val="18"/>
                <w:color w:val="auto"/>
              </w:rPr>
              <w:t>JAPAN</w:t>
            </w:r>
          </w:p>
        </w:tc>
        <w:tc>
          <w:tcPr>
            <w:tcW w:w="2680" w:type="dxa"/>
            <w:vAlign w:val="bottom"/>
          </w:tcPr>
          <w:p>
            <w:pPr>
              <w:spacing w:after="0"/>
              <w:rPr>
                <w:sz w:val="20"/>
                <w:szCs w:val="20"/>
                <w:color w:val="auto"/>
              </w:rPr>
            </w:pPr>
            <w:r>
              <w:rPr>
                <w:rFonts w:ascii="Arial" w:cs="Arial" w:eastAsia="Arial" w:hAnsi="Arial"/>
                <w:sz w:val="18"/>
                <w:szCs w:val="18"/>
                <w:color w:val="auto"/>
              </w:rPr>
              <w:t>INDONESIA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KOREA, REPUBLIC OF</w:t>
            </w: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CHILE</w:t>
            </w: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KAZAKHSTAN</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PHILIPPINES</w:t>
            </w: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CHINA</w:t>
            </w:r>
          </w:p>
        </w:tc>
        <w:tc>
          <w:tcPr>
            <w:tcW w:w="280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80" w:type="dxa"/>
            <w:vAlign w:val="bottom"/>
          </w:tcPr>
          <w:p>
            <w:pPr>
              <w:spacing w:after="0"/>
              <w:rPr>
                <w:sz w:val="20"/>
                <w:szCs w:val="20"/>
                <w:color w:val="auto"/>
              </w:rPr>
            </w:pPr>
            <w:r>
              <w:rPr>
                <w:rFonts w:ascii="Arial" w:cs="Arial" w:eastAsia="Arial" w:hAnsi="Arial"/>
                <w:sz w:val="18"/>
                <w:szCs w:val="18"/>
                <w:color w:val="auto"/>
              </w:rPr>
              <w:t>MALAYSIA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RUSSIAN FEDERATION</w:t>
            </w:r>
          </w:p>
        </w:tc>
      </w:tr>
      <w:tr>
        <w:trPr>
          <w:trHeight w:val="208"/>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MACEDONIA,</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REPUBLIC OF</w:t>
            </w: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MYANMAR</w:t>
            </w:r>
          </w:p>
        </w:tc>
        <w:tc>
          <w:tcPr>
            <w:tcW w:w="2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TAIWAN, PROVINCE OF CHINA</w:t>
            </w: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CZECHIA</w:t>
            </w:r>
          </w:p>
        </w:tc>
        <w:tc>
          <w:tcPr>
            <w:tcW w:w="2800" w:type="dxa"/>
            <w:vAlign w:val="bottom"/>
            <w:gridSpan w:val="2"/>
          </w:tcPr>
          <w:p>
            <w:pPr>
              <w:spacing w:after="0"/>
              <w:rPr>
                <w:sz w:val="20"/>
                <w:szCs w:val="20"/>
                <w:color w:val="auto"/>
              </w:rPr>
            </w:pPr>
            <w:r>
              <w:rPr>
                <w:rFonts w:ascii="Arial" w:cs="Arial" w:eastAsia="Arial" w:hAnsi="Arial"/>
                <w:sz w:val="18"/>
                <w:szCs w:val="18"/>
                <w:color w:val="auto"/>
              </w:rPr>
              <w:t>RUSSIAN FEDERATION</w:t>
            </w:r>
          </w:p>
        </w:tc>
        <w:tc>
          <w:tcPr>
            <w:tcW w:w="2680" w:type="dxa"/>
            <w:vAlign w:val="bottom"/>
          </w:tcPr>
          <w:p>
            <w:pPr>
              <w:spacing w:after="0"/>
              <w:rPr>
                <w:sz w:val="20"/>
                <w:szCs w:val="20"/>
                <w:color w:val="auto"/>
              </w:rPr>
            </w:pPr>
            <w:r>
              <w:rPr>
                <w:rFonts w:ascii="Arial" w:cs="Arial" w:eastAsia="Arial" w:hAnsi="Arial"/>
                <w:sz w:val="18"/>
                <w:szCs w:val="18"/>
                <w:color w:val="auto"/>
              </w:rPr>
              <w:t>PERU</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THAILAND</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Unknown</w:t>
            </w: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80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2680" w:type="dxa"/>
            <w:vAlign w:val="bottom"/>
          </w:tcPr>
          <w:p>
            <w:pPr>
              <w:spacing w:after="0"/>
              <w:rPr>
                <w:sz w:val="20"/>
                <w:szCs w:val="20"/>
                <w:color w:val="auto"/>
              </w:rPr>
            </w:pPr>
            <w:r>
              <w:rPr>
                <w:rFonts w:ascii="Arial" w:cs="Arial" w:eastAsia="Arial" w:hAnsi="Arial"/>
                <w:sz w:val="18"/>
                <w:szCs w:val="18"/>
                <w:color w:val="auto"/>
              </w:rPr>
              <w:t>POLAND</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VIET NAM</w:t>
            </w: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GHANA</w:t>
            </w: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Unknown</w:t>
            </w: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INDIA</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RWANDA</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INDONESIA</w:t>
            </w:r>
          </w:p>
        </w:tc>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ITALY</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TAIWAN, PROVINCE OF CHINA</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KAZAKHSTAN</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 REPUBLIC OF</w:t>
            </w:r>
          </w:p>
        </w:tc>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Unknown</w:t>
            </w:r>
          </w:p>
        </w:tc>
        <w:tc>
          <w:tcPr>
            <w:tcW w:w="12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KYRGYZSTAN</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VIET NAM</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LITHUANIA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MAURITANIA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TAIWAN, PROVINCE OF CHINA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UGANDA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Unknown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UZBEKISTAN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2022-05-26T11:28:03Z</dcterms:created>
  <dcterms:modified xsi:type="dcterms:W3CDTF">2022-05-26T11:28:03Z</dcterms:modified>
</cp:coreProperties>
</file>