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184281-6ka_kornitdigi.htm"/>
      <w:bookmarkStart w:id="1" w:name="ksea1842816ka_kornitdigi"/>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001-36903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Ha’Amal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Park Afek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 Ha’Ayin 4824096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Clarification of Outstanding Share Number in Proxy Statement for Annual Shareholder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2023, Kornit Digital Ltd. (“</w:t>
      </w:r>
      <w:r>
        <w:rPr>
          <w:rFonts w:ascii="Times New Roman;Times;Serif" w:hAnsi="Times New Roman;Times;Serif"/>
          <w:b/>
          <w:i w:val="false"/>
          <w:caps w:val="false"/>
          <w:smallCaps w:val="false"/>
          <w:sz w:val="20"/>
        </w:rPr>
        <w:t>Kornit</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furnished a Report of Foreign Private Issuer on Form 6-K (the “</w:t>
      </w:r>
      <w:r>
        <w:rPr>
          <w:rFonts w:ascii="Times New Roman;Times;Serif" w:hAnsi="Times New Roman;Times;Serif"/>
          <w:b/>
          <w:i w:val="false"/>
          <w:caps w:val="false"/>
          <w:smallCaps w:val="false"/>
          <w:sz w:val="20"/>
        </w:rPr>
        <w:t>Original Form 6-K</w:t>
      </w:r>
      <w:r>
        <w:rPr>
          <w:rFonts w:ascii="Times New Roman;Times;Serif" w:hAnsi="Times New Roman;Times;Serif"/>
          <w:b w:val="false"/>
          <w:i w:val="false"/>
          <w:caps w:val="false"/>
          <w:smallCaps w:val="false"/>
          <w:sz w:val="20"/>
        </w:rPr>
        <w:t>”) to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This amended Report of Foreign Private Issuer on Form 6-K (this “</w:t>
      </w:r>
      <w:r>
        <w:rPr>
          <w:rFonts w:ascii="Times New Roman;Times;Serif" w:hAnsi="Times New Roman;Times;Serif"/>
          <w:b/>
          <w:i w:val="false"/>
          <w:caps w:val="false"/>
          <w:smallCaps w:val="false"/>
          <w:sz w:val="20"/>
        </w:rPr>
        <w:t>Form 6-K Amendment</w:t>
      </w:r>
      <w:r>
        <w:rPr>
          <w:rFonts w:ascii="Times New Roman;Times;Serif" w:hAnsi="Times New Roman;Times;Serif"/>
          <w:b w:val="false"/>
          <w:i w:val="false"/>
          <w:caps w:val="false"/>
          <w:smallCaps w:val="false"/>
          <w:sz w:val="20"/>
        </w:rPr>
        <w:t>”) amends the Original Form 6-K in the manner described herein.</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Form 6-K attached the notice and proxy statement, each dated July 20, 2023, for Kornit’s 2023 annual general meeting of shareholders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which took place at 12:00 p.m. (Israel time) on Monday, August 28, 2023, at Kornit’s offices at 12 Ha’Amal Street, Park Afek, Rosh Ha’Ayin, Israel. For the results of the Meeting, please see “</w:t>
      </w:r>
      <w:r>
        <w:rPr>
          <w:rFonts w:ascii="Times New Roman;Times;Serif" w:hAnsi="Times New Roman;Times;Serif"/>
          <w:b/>
          <w:i/>
          <w:caps w:val="false"/>
          <w:smallCaps w:val="false"/>
          <w:sz w:val="20"/>
        </w:rPr>
        <w:t>Results of Annual Shareholder Meeting</w:t>
      </w:r>
      <w:r>
        <w:rPr>
          <w:rFonts w:ascii="Times New Roman;Times;Serif" w:hAnsi="Times New Roman;Times;Serif"/>
          <w:b w:val="false"/>
          <w:i w:val="false"/>
          <w:caps w:val="false"/>
          <w:smallCaps w:val="false"/>
          <w:sz w:val="20"/>
        </w:rPr>
        <w:t>” below.</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Pages 2 and 6 of the proxy statement for the Annual Meeting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indicated that as of July 5, 2023, there were 50,115,773 Kornit ordinary shares, par value NIS 0.01 per share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xml:space="preserve">”) outstanding. That number of ordinary shares inadvertently included 938,151 ordinary shares that had been repurchased by Kornit under its </w:t>
      </w:r>
      <w:r>
        <w:rPr>
          <w:rFonts w:ascii="Times New Roman;Times;Serif" w:hAnsi="Times New Roman;Times;Serif"/>
          <w:b w:val="false"/>
          <w:i w:val="false"/>
          <w:caps w:val="false"/>
          <w:smallCaps w:val="false"/>
          <w:sz w:val="20"/>
          <w:shd w:fill="FFFFFF" w:val="clear"/>
        </w:rPr>
        <w:t>previously announced share repurchase plan approved by the Israeli court in December 2022, under which Kornit may purchase up to US$75 million of its ordinary shares</w:t>
      </w:r>
      <w:r>
        <w:rPr>
          <w:rFonts w:ascii="Times New Roman;Times;Serif" w:hAnsi="Times New Roman;Times;Serif"/>
          <w:b w:val="false"/>
          <w:i w:val="false"/>
          <w:caps w:val="false"/>
          <w:smallCaps w:val="false"/>
          <w:sz w:val="20"/>
        </w:rPr>
        <w:t>. After excluding those repurchased shares from the outstanding ordinary shares (as is customary, due to their being held in treasury by the Company, which does not possess voting rights or other rights related to ownership of those shares), the number of outstanding ordinary shares as of July 5, 2023 was actually 49,177,622.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update to the number of outstanding shares reported in this Form 6-K Amendment did not impact any of the proposals for the Annual Meeting and did not impact, in a material manner, any information in the proxy statement for the Annual Meeting or any other disclosures made by the Company in its reports under the Securities Exchange Act of 1934, as amended. After adjusting the number of outstanding ordinary shares to 49,177,622, the shareholders beneficially owning more than 5% of Kornit’s ordinary shares, as appeared in the Proxy Statement, possessed the following corrected beneficial ownership percentages as of July 5, 2023 (based on their public filings):</w:t>
      </w:r>
    </w:p>
    <w:p>
      <w:pPr>
        <w:pStyle w:val="TextBody"/>
        <w:bidi w:val="0"/>
        <w:spacing w:before="0" w:after="0"/>
        <w:ind w:left="0" w:right="0" w:hanging="0"/>
        <w:jc w:val="both"/>
        <w:rPr>
          <w:caps w:val="false"/>
          <w:smallCaps w:val="false"/>
        </w:rPr>
      </w:pPr>
      <w:r>
        <w:rPr>
          <w:caps w:val="false"/>
          <w:smallCaps w:val="false"/>
        </w:rPr>
        <w:t> </w:t>
      </w:r>
    </w:p>
    <w:tbl>
      <w:tblPr>
        <w:tblW w:w="8100" w:type="dxa"/>
        <w:jc w:val="left"/>
        <w:tblInd w:w="0" w:type="dxa"/>
        <w:tblLayout w:type="fixed"/>
        <w:tblCellMar>
          <w:top w:w="0" w:type="dxa"/>
          <w:left w:w="0" w:type="dxa"/>
          <w:bottom w:w="28" w:type="dxa"/>
          <w:right w:w="0" w:type="dxa"/>
        </w:tblCellMar>
      </w:tblPr>
      <w:tblGrid>
        <w:gridCol w:w="3935"/>
        <w:gridCol w:w="60"/>
        <w:gridCol w:w="68"/>
        <w:gridCol w:w="1122"/>
        <w:gridCol w:w="60"/>
        <w:gridCol w:w="60"/>
        <w:gridCol w:w="180"/>
        <w:gridCol w:w="965"/>
        <w:gridCol w:w="215"/>
        <w:gridCol w:w="60"/>
        <w:gridCol w:w="180"/>
        <w:gridCol w:w="965"/>
        <w:gridCol w:w="230"/>
      </w:tblGrid>
      <w:tr>
        <w:trPr/>
        <w:tc>
          <w:tcPr>
            <w:tcW w:w="393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b/>
              </w:rPr>
            </w:pPr>
            <w:r>
              <w:rPr>
                <w:b/>
              </w:rPr>
              <w:t>Number of</w:t>
              <w:br/>
              <w:t>Shares</w:t>
              <w:br/>
              <w:t>Beneficially</w:t>
              <w:br/>
              <w:t>Held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Originally</w:t>
              <w:br/>
              <w:t>Listed</w:t>
              <w:br/>
              <w:t>Percentage</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Actual</w:t>
              <w:br/>
              <w:t>Percentage</w:t>
            </w:r>
          </w:p>
        </w:tc>
        <w:tc>
          <w:tcPr>
            <w:tcW w:w="230" w:type="dxa"/>
            <w:tcBorders/>
            <w:tcMar>
              <w:bottom w:w="0" w:type="dxa"/>
            </w:tcMar>
            <w:vAlign w:val="center"/>
          </w:tcPr>
          <w:p>
            <w:pPr>
              <w:pStyle w:val="TableContents"/>
              <w:bidi w:val="0"/>
              <w:spacing w:before="0" w:after="283"/>
              <w:jc w:val="left"/>
              <w:rPr/>
            </w:pPr>
            <w:r>
              <w:rPr/>
              <w:t> </w:t>
            </w:r>
          </w:p>
        </w:tc>
      </w:tr>
      <w:tr>
        <w:trPr/>
        <w:tc>
          <w:tcPr>
            <w:tcW w:w="3935" w:type="dxa"/>
            <w:tcBorders/>
            <w:shd w:fill="CCEEFF" w:val="clear"/>
            <w:tcMar>
              <w:bottom w:w="0" w:type="dxa"/>
            </w:tcMar>
            <w:vAlign w:val="center"/>
          </w:tcPr>
          <w:p>
            <w:pPr>
              <w:pStyle w:val="TableContents"/>
              <w:bidi w:val="0"/>
              <w:spacing w:before="0" w:after="283"/>
              <w:jc w:val="left"/>
              <w:rPr>
                <w:b/>
              </w:rPr>
            </w:pPr>
            <w:r>
              <w:rPr>
                <w:b/>
              </w:rPr>
              <w:t>5% or Greater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935" w:type="dxa"/>
            <w:tcBorders/>
            <w:shd w:fill="FFFFFF" w:val="clear"/>
            <w:tcMar>
              <w:bottom w:w="0" w:type="dxa"/>
            </w:tcMar>
            <w:vAlign w:val="center"/>
          </w:tcPr>
          <w:p>
            <w:pPr>
              <w:pStyle w:val="TableContents"/>
              <w:bidi w:val="0"/>
              <w:spacing w:before="0" w:after="283"/>
              <w:jc w:val="left"/>
              <w:rPr/>
            </w:pPr>
            <w:r>
              <w:rPr/>
              <w:t>Wasatch Advisors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4,691,897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9.4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9.5</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935" w:type="dxa"/>
            <w:tcBorders/>
            <w:shd w:fill="CCEEFF" w:val="clear"/>
            <w:tcMar>
              <w:bottom w:w="0" w:type="dxa"/>
            </w:tcMar>
            <w:vAlign w:val="center"/>
          </w:tcPr>
          <w:p>
            <w:pPr>
              <w:pStyle w:val="TableContents"/>
              <w:bidi w:val="0"/>
              <w:spacing w:before="0" w:after="283"/>
              <w:jc w:val="left"/>
              <w:rPr/>
            </w:pPr>
            <w:r>
              <w:rPr/>
              <w:t>Artisan Partners Limited Partnership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4,396,955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8.8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8.9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935" w:type="dxa"/>
            <w:tcBorders/>
            <w:shd w:fill="FFFFFF" w:val="clear"/>
            <w:tcMar>
              <w:bottom w:w="0" w:type="dxa"/>
            </w:tcMar>
            <w:vAlign w:val="center"/>
          </w:tcPr>
          <w:p>
            <w:pPr>
              <w:pStyle w:val="TableContents"/>
              <w:bidi w:val="0"/>
              <w:spacing w:before="0" w:after="283"/>
              <w:jc w:val="left"/>
              <w:rPr/>
            </w:pPr>
            <w:r>
              <w:rPr/>
              <w:t>Granahan Investment Management,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3,514,473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7.1</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935" w:type="dxa"/>
            <w:tcBorders/>
            <w:shd w:fill="CCEEFF" w:val="clear"/>
            <w:tcMar>
              <w:bottom w:w="0" w:type="dxa"/>
            </w:tcMar>
            <w:vAlign w:val="center"/>
          </w:tcPr>
          <w:p>
            <w:pPr>
              <w:pStyle w:val="TableContents"/>
              <w:bidi w:val="0"/>
              <w:spacing w:before="0" w:after="283"/>
              <w:jc w:val="left"/>
              <w:rPr/>
            </w:pPr>
            <w:r>
              <w:rPr/>
              <w:t>Senvest Management,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4,145,259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8.3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8.4</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the footnotes to the above table on page 6 of the Proxy Statement for further information concerning the 5% or greater shareholders of the Company.</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Annual Shareholder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scheduled, Kornit held the Annual Meeting at 12:00 p.m., Israel time, on August 28, 2023, at Kornit’s offices at 12 Ha’Amal Street, Park Afek, Rosh Ha’Ayin, Israel. At the Annual Meeting, the Company’s shareholders voted on three proposals, which are listed below and which were described in more detail in the Company’s notice and proxy statement for the Annual Meeting, which were attached as Exhibit 99.1 to the Report of Foreign Private Issuer on Form 6-K that the Company furnished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June 30,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presence in person or by proxy at the Annual Meeting of 33,881,827, or 68.9%, of the Company’s 49,177,622 outstanding ordinary shares, par value 0.01 New Israeli Shekels per share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as of the July 20, 2023 record date for the Annual Meeting, constituting more than the minimum percentage of outstanding shares (25%) required for a quorum under the Company’s Articles of Association, as amended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each of the following three proposals (and, as applicable, sub-proposals thereof) was approved by the requisite majority of the Company’s ordinary shares under the Israeli Companies Law, 5759-1999 (the “</w:t>
      </w:r>
      <w:r>
        <w:rPr>
          <w:rFonts w:ascii="Times New Roman;Times;Serif" w:hAnsi="Times New Roman;Times;Serif"/>
          <w:b/>
          <w:i w:val="false"/>
          <w:caps w:val="false"/>
          <w:smallCaps w:val="false"/>
          <w:sz w:val="20"/>
        </w:rPr>
        <w:t>Companies Law</w:t>
      </w:r>
      <w:r>
        <w:rPr>
          <w:rFonts w:ascii="Times New Roman;Times;Serif" w:hAnsi="Times New Roman;Times;Serif"/>
          <w:b w:val="false"/>
          <w:i w:val="false"/>
          <w:caps w:val="false"/>
          <w:smallCaps w:val="false"/>
          <w:sz w:val="20"/>
        </w:rPr>
        <w:t>”) and the Articles, based on the tallies of votes specified below:</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283"/>
              <w:jc w:val="left"/>
              <w:rPr/>
            </w:pPr>
            <w:r>
              <w:rPr/>
              <w:t>Re-election of each of Ofer Ben-Zur and Gabi Seligsohn, and initial election of Naama Halevi Davidov, in each case for a three-year term as a Class II director of the Company, until the Company’s annual general meeting of shareholders in 2026 and until his or her successor is duly elected and qualified (majority needed for election of each director nominee: ordinary majority of votes cast, excluding abstentions):</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28" w:type="dxa"/>
          <w:right w:w="0" w:type="dxa"/>
        </w:tblCellMar>
      </w:tblPr>
      <w:tblGrid>
        <w:gridCol w:w="2765"/>
        <w:gridCol w:w="60"/>
        <w:gridCol w:w="78"/>
        <w:gridCol w:w="1441"/>
        <w:gridCol w:w="60"/>
        <w:gridCol w:w="60"/>
        <w:gridCol w:w="73"/>
        <w:gridCol w:w="1356"/>
        <w:gridCol w:w="60"/>
        <w:gridCol w:w="60"/>
        <w:gridCol w:w="85"/>
        <w:gridCol w:w="1135"/>
        <w:gridCol w:w="75"/>
      </w:tblGrid>
      <w:tr>
        <w:trPr/>
        <w:tc>
          <w:tcPr>
            <w:tcW w:w="2765" w:type="dxa"/>
            <w:tcBorders>
              <w:bottom w:val="single" w:sz="12" w:space="0" w:color="000000"/>
            </w:tcBorders>
            <w:vAlign w:val="center"/>
          </w:tcPr>
          <w:p>
            <w:pPr>
              <w:pStyle w:val="TableContents"/>
              <w:bidi w:val="0"/>
              <w:spacing w:before="0" w:after="283"/>
              <w:jc w:val="left"/>
              <w:rPr>
                <w:b/>
              </w:rPr>
            </w:pPr>
            <w:r>
              <w:rPr>
                <w:b/>
              </w:rPr>
              <w:t>Name of Director Nominee</w:t>
            </w:r>
          </w:p>
        </w:tc>
        <w:tc>
          <w:tcPr>
            <w:tcW w:w="60" w:type="dxa"/>
            <w:tcBorders/>
            <w:tcMar>
              <w:bottom w:w="0" w:type="dxa"/>
            </w:tcMar>
            <w:vAlign w:val="center"/>
          </w:tcPr>
          <w:p>
            <w:pPr>
              <w:pStyle w:val="TableContents"/>
              <w:bidi w:val="0"/>
              <w:spacing w:before="0" w:after="283"/>
              <w:jc w:val="left"/>
              <w:rPr/>
            </w:pPr>
            <w:r>
              <w:rPr/>
              <w:t> </w:t>
            </w:r>
          </w:p>
        </w:tc>
        <w:tc>
          <w:tcPr>
            <w:tcW w:w="1519" w:type="dxa"/>
            <w:gridSpan w:val="2"/>
            <w:tcBorders>
              <w:bottom w:val="single" w:sz="12" w:space="0" w:color="000000"/>
            </w:tcBorders>
            <w:vAlign w:val="center"/>
          </w:tcPr>
          <w:p>
            <w:pPr>
              <w:pStyle w:val="TableContents"/>
              <w:bidi w:val="0"/>
              <w:spacing w:before="0" w:after="283"/>
              <w:jc w:val="center"/>
              <w:rPr>
                <w:b/>
              </w:rPr>
            </w:pPr>
            <w:r>
              <w:rPr>
                <w:b/>
              </w:rPr>
              <w:t>Votes in Favor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12" w:space="0" w:color="000000"/>
            </w:tcBorders>
            <w:vAlign w:val="center"/>
          </w:tcPr>
          <w:p>
            <w:pPr>
              <w:pStyle w:val="TableContents"/>
              <w:bidi w:val="0"/>
              <w:spacing w:before="0" w:after="283"/>
              <w:jc w:val="center"/>
              <w:rPr>
                <w:b/>
              </w:rPr>
            </w:pPr>
            <w:r>
              <w:rPr>
                <w:b/>
              </w:rPr>
              <w:t>Votes 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Abstentions</w:t>
            </w:r>
          </w:p>
        </w:tc>
        <w:tc>
          <w:tcPr>
            <w:tcW w:w="75" w:type="dxa"/>
            <w:tcBorders/>
            <w:tcMar>
              <w:bottom w:w="0" w:type="dxa"/>
            </w:tcMar>
            <w:vAlign w:val="center"/>
          </w:tcPr>
          <w:p>
            <w:pPr>
              <w:pStyle w:val="TableContents"/>
              <w:bidi w:val="0"/>
              <w:spacing w:before="0" w:after="283"/>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pPr>
            <w:r>
              <w:rPr/>
              <w:t>Ofer Ben-Zur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31,369,680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pPr>
            <w:r>
              <w:rPr/>
              <w:t>2,484,672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27,473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65" w:type="dxa"/>
            <w:tcBorders/>
            <w:shd w:fill="FFFFFF" w:val="clear"/>
            <w:tcMar>
              <w:bottom w:w="0" w:type="dxa"/>
            </w:tcMar>
            <w:vAlign w:val="center"/>
          </w:tcPr>
          <w:p>
            <w:pPr>
              <w:pStyle w:val="TableContents"/>
              <w:bidi w:val="0"/>
              <w:spacing w:before="0" w:after="283"/>
              <w:jc w:val="left"/>
              <w:rPr/>
            </w:pPr>
            <w:r>
              <w:rPr/>
              <w:t>Naama Halevi Davidov</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32,287,609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356" w:type="dxa"/>
            <w:tcBorders/>
            <w:shd w:fill="FFFFFF" w:val="clear"/>
            <w:tcMar>
              <w:bottom w:w="0" w:type="dxa"/>
            </w:tcMar>
            <w:vAlign w:val="center"/>
          </w:tcPr>
          <w:p>
            <w:pPr>
              <w:pStyle w:val="TableContents"/>
              <w:bidi w:val="0"/>
              <w:spacing w:before="0" w:after="283"/>
              <w:jc w:val="right"/>
              <w:rPr/>
            </w:pPr>
            <w:r>
              <w:rPr/>
              <w:t>1,566,748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pPr>
            <w:r>
              <w:rPr/>
              <w:t>27,468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pPr>
            <w:r>
              <w:rPr/>
              <w:t>Gabi Seligsohn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22,812,474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pPr>
            <w:r>
              <w:rPr/>
              <w:t>10,220,977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848,374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left"/>
              <w:rPr/>
            </w:pPr>
            <w:r>
              <w:rPr/>
              <w:t>Re-adoption and amendment of the compensation policy for the Company’s office holders (as defined under the Companies Law) (general majority needed among all shareholders: ordinary majority of votes cast, excluding abstentions)</w:t>
            </w:r>
          </w:p>
        </w:tc>
      </w:tr>
    </w:tbl>
    <w:p>
      <w:pPr>
        <w:pStyle w:val="TextBody"/>
        <w:bidi w:val="0"/>
        <w:spacing w:before="0" w:after="0"/>
        <w:ind w:left="0" w:right="0" w:hanging="0"/>
        <w:jc w:val="left"/>
        <w:rPr>
          <w:caps w:val="false"/>
          <w:smallCaps w:val="false"/>
        </w:rPr>
      </w:pPr>
      <w:r>
        <w:rPr>
          <w:caps w:val="false"/>
          <w:smallCaps w:val="false"/>
        </w:rPr>
        <w:t> </w:t>
      </w:r>
    </w:p>
    <w:tbl>
      <w:tblPr>
        <w:tblW w:w="4498" w:type="dxa"/>
        <w:jc w:val="left"/>
        <w:tblInd w:w="0" w:type="dxa"/>
        <w:tblLayout w:type="fixed"/>
        <w:tblCellMar>
          <w:top w:w="0" w:type="dxa"/>
          <w:left w:w="0" w:type="dxa"/>
          <w:bottom w:w="28" w:type="dxa"/>
          <w:right w:w="0" w:type="dxa"/>
        </w:tblCellMar>
      </w:tblPr>
      <w:tblGrid>
        <w:gridCol w:w="97"/>
        <w:gridCol w:w="1437"/>
        <w:gridCol w:w="60"/>
        <w:gridCol w:w="60"/>
        <w:gridCol w:w="82"/>
        <w:gridCol w:w="1347"/>
        <w:gridCol w:w="60"/>
        <w:gridCol w:w="60"/>
        <w:gridCol w:w="98"/>
        <w:gridCol w:w="1122"/>
        <w:gridCol w:w="75"/>
      </w:tblGrid>
      <w:tr>
        <w:trPr/>
        <w:tc>
          <w:tcPr>
            <w:tcW w:w="1534" w:type="dxa"/>
            <w:gridSpan w:val="2"/>
            <w:tcBorders>
              <w:bottom w:val="single" w:sz="12" w:space="0" w:color="000000"/>
            </w:tcBorders>
            <w:vAlign w:val="center"/>
          </w:tcPr>
          <w:p>
            <w:pPr>
              <w:pStyle w:val="TableContents"/>
              <w:bidi w:val="0"/>
              <w:spacing w:before="0" w:after="283"/>
              <w:jc w:val="center"/>
              <w:rPr>
                <w:b/>
              </w:rPr>
            </w:pPr>
            <w:r>
              <w:rPr>
                <w:b/>
              </w:rPr>
              <w:t>Votes in Favor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12" w:space="0" w:color="000000"/>
            </w:tcBorders>
            <w:vAlign w:val="center"/>
          </w:tcPr>
          <w:p>
            <w:pPr>
              <w:pStyle w:val="TableContents"/>
              <w:bidi w:val="0"/>
              <w:spacing w:before="0" w:after="283"/>
              <w:jc w:val="center"/>
              <w:rPr>
                <w:b/>
              </w:rPr>
            </w:pPr>
            <w:r>
              <w:rPr>
                <w:b/>
              </w:rPr>
              <w:t>Votes 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Abstentions</w:t>
            </w:r>
          </w:p>
        </w:tc>
        <w:tc>
          <w:tcPr>
            <w:tcW w:w="75" w:type="dxa"/>
            <w:tcBorders/>
            <w:tcMar>
              <w:bottom w:w="0" w:type="dxa"/>
            </w:tcMar>
            <w:vAlign w:val="center"/>
          </w:tcPr>
          <w:p>
            <w:pPr>
              <w:pStyle w:val="TableContents"/>
              <w:bidi w:val="0"/>
              <w:spacing w:before="0" w:after="283"/>
              <w:jc w:val="left"/>
              <w:rPr/>
            </w:pPr>
            <w:r>
              <w:rPr/>
              <w:t> </w:t>
            </w:r>
          </w:p>
        </w:tc>
      </w:tr>
      <w:tr>
        <w:trPr/>
        <w:tc>
          <w:tcPr>
            <w:tcW w:w="97"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r>
              <w:rPr/>
              <w:t>31,174,047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347" w:type="dxa"/>
            <w:tcBorders/>
            <w:shd w:fill="CCEEFF" w:val="clear"/>
            <w:tcMar>
              <w:bottom w:w="0" w:type="dxa"/>
            </w:tcMar>
            <w:vAlign w:val="center"/>
          </w:tcPr>
          <w:p>
            <w:pPr>
              <w:pStyle w:val="TableContents"/>
              <w:bidi w:val="0"/>
              <w:spacing w:before="0" w:after="283"/>
              <w:jc w:val="center"/>
              <w:rPr/>
            </w:pPr>
            <w:r>
              <w:rPr/>
              <w:t>2,678,992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center"/>
              <w:rPr/>
            </w:pPr>
            <w:r>
              <w:rPr/>
              <w:t>28,786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tally on Proposal 2 also achieved the requisite special majority under the Companies Law, as a majority of shareholders (excluding abstentions) who (i) were not controlling shareholders and (ii) indicated that they lacked a “personal interest” (as defined under the Companies Law) voted in favor of Proposal 2, as reflected in the below tally among those shareholders:</w:t>
      </w:r>
    </w:p>
    <w:p>
      <w:pPr>
        <w:pStyle w:val="TextBody"/>
        <w:bidi w:val="0"/>
        <w:spacing w:before="0" w:after="0"/>
        <w:ind w:left="0" w:right="0" w:hanging="0"/>
        <w:jc w:val="left"/>
        <w:rPr>
          <w:caps w:val="false"/>
          <w:smallCaps w:val="false"/>
        </w:rPr>
      </w:pPr>
      <w:r>
        <w:rPr>
          <w:caps w:val="false"/>
          <w:smallCaps w:val="false"/>
        </w:rPr>
        <w:t> </w:t>
      </w:r>
    </w:p>
    <w:tbl>
      <w:tblPr>
        <w:tblW w:w="4498" w:type="dxa"/>
        <w:jc w:val="left"/>
        <w:tblInd w:w="0" w:type="dxa"/>
        <w:tblLayout w:type="fixed"/>
        <w:tblCellMar>
          <w:top w:w="0" w:type="dxa"/>
          <w:left w:w="0" w:type="dxa"/>
          <w:bottom w:w="28" w:type="dxa"/>
          <w:right w:w="0" w:type="dxa"/>
        </w:tblCellMar>
      </w:tblPr>
      <w:tblGrid>
        <w:gridCol w:w="97"/>
        <w:gridCol w:w="1437"/>
        <w:gridCol w:w="60"/>
        <w:gridCol w:w="60"/>
        <w:gridCol w:w="82"/>
        <w:gridCol w:w="1347"/>
        <w:gridCol w:w="60"/>
        <w:gridCol w:w="60"/>
        <w:gridCol w:w="98"/>
        <w:gridCol w:w="1122"/>
        <w:gridCol w:w="75"/>
      </w:tblGrid>
      <w:tr>
        <w:trPr/>
        <w:tc>
          <w:tcPr>
            <w:tcW w:w="1534" w:type="dxa"/>
            <w:gridSpan w:val="2"/>
            <w:tcBorders>
              <w:bottom w:val="single" w:sz="12" w:space="0" w:color="000000"/>
            </w:tcBorders>
            <w:vAlign w:val="center"/>
          </w:tcPr>
          <w:p>
            <w:pPr>
              <w:pStyle w:val="TableContents"/>
              <w:bidi w:val="0"/>
              <w:spacing w:before="0" w:after="283"/>
              <w:jc w:val="center"/>
              <w:rPr>
                <w:b/>
              </w:rPr>
            </w:pPr>
            <w:r>
              <w:rPr>
                <w:b/>
              </w:rPr>
              <w:t>Votes in Favor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12" w:space="0" w:color="000000"/>
            </w:tcBorders>
            <w:vAlign w:val="center"/>
          </w:tcPr>
          <w:p>
            <w:pPr>
              <w:pStyle w:val="TableContents"/>
              <w:bidi w:val="0"/>
              <w:spacing w:before="0" w:after="283"/>
              <w:jc w:val="center"/>
              <w:rPr>
                <w:b/>
              </w:rPr>
            </w:pPr>
            <w:r>
              <w:rPr>
                <w:b/>
              </w:rPr>
              <w:t>Votes 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Abstentions</w:t>
            </w:r>
          </w:p>
        </w:tc>
        <w:tc>
          <w:tcPr>
            <w:tcW w:w="75" w:type="dxa"/>
            <w:tcBorders/>
            <w:tcMar>
              <w:bottom w:w="0" w:type="dxa"/>
            </w:tcMar>
            <w:vAlign w:val="center"/>
          </w:tcPr>
          <w:p>
            <w:pPr>
              <w:pStyle w:val="TableContents"/>
              <w:bidi w:val="0"/>
              <w:spacing w:before="0" w:after="283"/>
              <w:jc w:val="left"/>
              <w:rPr/>
            </w:pPr>
            <w:r>
              <w:rPr/>
              <w:t> </w:t>
            </w:r>
          </w:p>
        </w:tc>
      </w:tr>
      <w:tr>
        <w:trPr/>
        <w:tc>
          <w:tcPr>
            <w:tcW w:w="97"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r>
              <w:rPr/>
              <w:t>30,964,915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347" w:type="dxa"/>
            <w:tcBorders/>
            <w:shd w:fill="CCEEFF" w:val="clear"/>
            <w:tcMar>
              <w:bottom w:w="0" w:type="dxa"/>
            </w:tcMar>
            <w:vAlign w:val="center"/>
          </w:tcPr>
          <w:p>
            <w:pPr>
              <w:pStyle w:val="TableContents"/>
              <w:bidi w:val="0"/>
              <w:spacing w:before="0" w:after="283"/>
              <w:jc w:val="center"/>
              <w:rPr/>
            </w:pPr>
            <w:r>
              <w:rPr/>
              <w:t>2,678,992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center"/>
              <w:rPr/>
            </w:pPr>
            <w:r>
              <w:rPr/>
              <w:t>28,786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sz w:val="20"/>
              </w:rPr>
            </w:pPr>
            <w:r>
              <w:rPr>
                <w:sz w:val="20"/>
              </w:rPr>
              <w:t>(3)</w:t>
            </w:r>
          </w:p>
        </w:tc>
        <w:tc>
          <w:tcPr>
            <w:tcW w:w="9993" w:type="dxa"/>
            <w:tcBorders/>
            <w:vAlign w:val="center"/>
          </w:tcPr>
          <w:p>
            <w:pPr>
              <w:pStyle w:val="TableContents"/>
              <w:bidi w:val="0"/>
              <w:spacing w:before="0" w:after="283"/>
              <w:jc w:val="left"/>
              <w:rPr>
                <w:sz w:val="20"/>
              </w:rPr>
            </w:pPr>
            <w:r>
              <w:rPr>
                <w:sz w:val="20"/>
              </w:rPr>
              <w:t>Re-appointment of Kost Forer Gabbay &amp; Kasierer, registered public accounting firm, a member firm of Ernst &amp; Young Global, as the Company’s independent registered public accounting firm for the year ending December 31, 2022 and the additional period until the Company’s 2023 annual general meeting of shareholders, and authorization of the Company’s board of directors (or the audit committee thereof) to fix such accounting firm’s annual compensation (majority needed for approval: ordinary majority of votes cast, excluding abstentions):</w:t>
            </w:r>
          </w:p>
        </w:tc>
      </w:tr>
    </w:tbl>
    <w:p>
      <w:pPr>
        <w:pStyle w:val="TextBody"/>
        <w:bidi w:val="0"/>
        <w:spacing w:before="0" w:after="0"/>
        <w:ind w:left="0" w:right="0" w:hanging="0"/>
        <w:jc w:val="left"/>
        <w:rPr>
          <w:caps w:val="false"/>
          <w:smallCaps w:val="false"/>
        </w:rPr>
      </w:pPr>
      <w:r>
        <w:rPr>
          <w:caps w:val="false"/>
          <w:smallCaps w:val="false"/>
        </w:rPr>
        <w:t> </w:t>
      </w:r>
    </w:p>
    <w:tbl>
      <w:tblPr>
        <w:tblW w:w="4498" w:type="dxa"/>
        <w:jc w:val="left"/>
        <w:tblInd w:w="0" w:type="dxa"/>
        <w:tblLayout w:type="fixed"/>
        <w:tblCellMar>
          <w:top w:w="0" w:type="dxa"/>
          <w:left w:w="0" w:type="dxa"/>
          <w:bottom w:w="28" w:type="dxa"/>
          <w:right w:w="0" w:type="dxa"/>
        </w:tblCellMar>
      </w:tblPr>
      <w:tblGrid>
        <w:gridCol w:w="97"/>
        <w:gridCol w:w="1437"/>
        <w:gridCol w:w="60"/>
        <w:gridCol w:w="60"/>
        <w:gridCol w:w="114"/>
        <w:gridCol w:w="1315"/>
        <w:gridCol w:w="60"/>
        <w:gridCol w:w="60"/>
        <w:gridCol w:w="85"/>
        <w:gridCol w:w="1135"/>
        <w:gridCol w:w="75"/>
      </w:tblGrid>
      <w:tr>
        <w:trPr/>
        <w:tc>
          <w:tcPr>
            <w:tcW w:w="1534" w:type="dxa"/>
            <w:gridSpan w:val="2"/>
            <w:tcBorders>
              <w:bottom w:val="single" w:sz="12" w:space="0" w:color="000000"/>
            </w:tcBorders>
            <w:vAlign w:val="center"/>
          </w:tcPr>
          <w:p>
            <w:pPr>
              <w:pStyle w:val="TableContents"/>
              <w:bidi w:val="0"/>
              <w:spacing w:before="0" w:after="283"/>
              <w:jc w:val="center"/>
              <w:rPr>
                <w:b/>
              </w:rPr>
            </w:pPr>
            <w:r>
              <w:rPr>
                <w:b/>
              </w:rPr>
              <w:t>Votes in Favor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12" w:space="0" w:color="000000"/>
            </w:tcBorders>
            <w:vAlign w:val="center"/>
          </w:tcPr>
          <w:p>
            <w:pPr>
              <w:pStyle w:val="TableContents"/>
              <w:bidi w:val="0"/>
              <w:spacing w:before="0" w:after="283"/>
              <w:jc w:val="center"/>
              <w:rPr>
                <w:b/>
              </w:rPr>
            </w:pPr>
            <w:r>
              <w:rPr>
                <w:b/>
              </w:rPr>
              <w:t>Votes 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Abstentions</w:t>
            </w:r>
          </w:p>
        </w:tc>
        <w:tc>
          <w:tcPr>
            <w:tcW w:w="75" w:type="dxa"/>
            <w:tcBorders/>
            <w:tcMar>
              <w:bottom w:w="0" w:type="dxa"/>
            </w:tcMar>
            <w:vAlign w:val="center"/>
          </w:tcPr>
          <w:p>
            <w:pPr>
              <w:pStyle w:val="TableContents"/>
              <w:bidi w:val="0"/>
              <w:spacing w:before="0" w:after="283"/>
              <w:jc w:val="left"/>
              <w:rPr/>
            </w:pPr>
            <w:r>
              <w:rPr/>
              <w:t> </w:t>
            </w:r>
          </w:p>
        </w:tc>
      </w:tr>
      <w:tr>
        <w:trPr/>
        <w:tc>
          <w:tcPr>
            <w:tcW w:w="97"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r>
              <w:rPr/>
              <w:t>33,541,110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center"/>
              <w:rPr/>
            </w:pPr>
            <w:r>
              <w:rPr/>
              <w:t>83,319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center"/>
              <w:rPr/>
            </w:pPr>
            <w:r>
              <w:rPr/>
              <w:t>257,398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by Reference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contents of this Form 6-K Amendment are hereby incorporated by reference into the Proxy Statement and into the Company’s Registration Statements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333-248784) and Form S-8 (File No.’s </w:t>
      </w:r>
      <w:hyperlink r:id="rId3">
        <w:r>
          <w:rPr>
            <w:rStyle w:val="InternetLink"/>
            <w:rFonts w:ascii="Times New Roman;Times;Serif" w:hAnsi="Times New Roman;Times;Serif"/>
            <w:b w:val="false"/>
            <w:i w:val="false"/>
            <w:caps w:val="false"/>
            <w:smallCaps w:val="false"/>
            <w:sz w:val="20"/>
          </w:rPr>
          <w:t>333-203970</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333-214015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333-217039</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333-223794</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333-230567</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333-237346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333-254749</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333-263975</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09"/>
        <w:jc w:val="both"/>
        <w:rPr>
          <w:caps w:val="false"/>
          <w:smallCaps w:val="false"/>
        </w:rPr>
      </w:pPr>
      <w:r>
        <w:rPr>
          <w:caps w:val="false"/>
          <w:smallCaps w:val="false"/>
        </w:rPr>
        <w:t> </w:t>
      </w:r>
    </w:p>
    <w:tbl>
      <w:tblPr>
        <w:tblW w:w="4395" w:type="dxa"/>
        <w:jc w:val="left"/>
        <w:tblInd w:w="0" w:type="dxa"/>
        <w:tblLayout w:type="fixed"/>
        <w:tblCellMar>
          <w:top w:w="0" w:type="dxa"/>
          <w:left w:w="0" w:type="dxa"/>
          <w:bottom w:w="0" w:type="dxa"/>
          <w:right w:w="0" w:type="dxa"/>
        </w:tblCellMar>
      </w:tblPr>
      <w:tblGrid>
        <w:gridCol w:w="1865"/>
        <w:gridCol w:w="635"/>
        <w:gridCol w:w="1895"/>
      </w:tblGrid>
      <w:tr>
        <w:trPr/>
        <w:tc>
          <w:tcPr>
            <w:tcW w:w="186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sz w:val="20"/>
              </w:rPr>
            </w:pPr>
            <w:r>
              <w:rPr>
                <w:sz w:val="20"/>
              </w:rPr>
              <w:t>KORNIT DIGITAL LTD.</w:t>
            </w:r>
          </w:p>
        </w:tc>
      </w:tr>
      <w:tr>
        <w:trPr/>
        <w:tc>
          <w:tcPr>
            <w:tcW w:w="18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28, 2023</w:t>
            </w:r>
          </w:p>
        </w:tc>
        <w:tc>
          <w:tcPr>
            <w:tcW w:w="635"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Lauri Hanover</w:t>
            </w:r>
          </w:p>
        </w:tc>
      </w:tr>
      <w:tr>
        <w:trPr/>
        <w:tc>
          <w:tcPr>
            <w:tcW w:w="18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1895" w:type="dxa"/>
            <w:tcBorders/>
            <w:vAlign w:val="center"/>
          </w:tcPr>
          <w:p>
            <w:pPr>
              <w:pStyle w:val="TableContents"/>
              <w:bidi w:val="0"/>
              <w:spacing w:before="0" w:after="283"/>
              <w:jc w:val="left"/>
              <w:rPr>
                <w:sz w:val="20"/>
              </w:rPr>
            </w:pPr>
            <w:r>
              <w:rPr>
                <w:sz w:val="20"/>
              </w:rPr>
              <w:t>Lauri Hanover</w:t>
            </w:r>
          </w:p>
        </w:tc>
      </w:tr>
      <w:tr>
        <w:trPr/>
        <w:tc>
          <w:tcPr>
            <w:tcW w:w="18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5791/000121390020026445/ff3asr2020_kornitdigital.htm" TargetMode="External"/><Relationship Id="rId3" Type="http://schemas.openxmlformats.org/officeDocument/2006/relationships/hyperlink" Target="https://www.sec.gov/Archives/edgar/data/1625791/000161577415000908/s101052_forms8.htm" TargetMode="External"/><Relationship Id="rId4" Type="http://schemas.openxmlformats.org/officeDocument/2006/relationships/hyperlink" Target="http://www.sec.gov/Archives/edgar/data/1625791/000121390016017339/fs82016_kornitdigital.htm" TargetMode="External"/><Relationship Id="rId5" Type="http://schemas.openxmlformats.org/officeDocument/2006/relationships/hyperlink" Target="https://www.sec.gov/Archives/edgar/data/1625791/000121390017003012/fs82017_kornitdigital.htm" TargetMode="External"/><Relationship Id="rId6" Type="http://schemas.openxmlformats.org/officeDocument/2006/relationships/hyperlink" Target="http://www.sec.gov/Archives/edgar/data/1625791/000121390018003205/fs82018_kornitdigital.htm" TargetMode="External"/><Relationship Id="rId7" Type="http://schemas.openxmlformats.org/officeDocument/2006/relationships/hyperlink" Target="http://www.sec.gov/Archives/edgar/data/1625791/000121390019005079/fs82019_kornitdigitalltd.htm" TargetMode="External"/><Relationship Id="rId8" Type="http://schemas.openxmlformats.org/officeDocument/2006/relationships/hyperlink" Target="http://www.sec.gov/Archives/edgar/data/1625791/000121390020007116/ea119827-s8_kornitdigital.htm" TargetMode="External"/><Relationship Id="rId9" Type="http://schemas.openxmlformats.org/officeDocument/2006/relationships/hyperlink" Target="http://www.sec.gov/Archives/edgar/data/1625791/000121390021017777/ea138332-s8_kornitdigital.htm" TargetMode="External"/><Relationship Id="rId10" Type="http://schemas.openxmlformats.org/officeDocument/2006/relationships/hyperlink" Target="http://www.sec.gov/Archives/edgar/data/1625791/000121390022016164/ea157447-s8_kornitdigital.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1140</Words>
  <Characters>6243</Characters>
  <CharactersWithSpaces>7443</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