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Washington, D.C. 20549</w:t>
      </w:r>
    </w:p>
    <w:p>
      <w:pPr>
        <w:spacing w:after="0" w:line="193" w:lineRule="exact"/>
        <w:rPr>
          <w:sz w:val="24"/>
          <w:szCs w:val="24"/>
          <w:color w:val="auto"/>
        </w:rPr>
      </w:pPr>
    </w:p>
    <w:p>
      <w:pPr>
        <w:jc w:val="center"/>
        <w:ind w:right="-1200"/>
        <w:spacing w:after="0"/>
        <w:rPr>
          <w:sz w:val="20"/>
          <w:szCs w:val="20"/>
          <w:color w:val="auto"/>
        </w:rPr>
      </w:pPr>
      <w:r>
        <w:rPr>
          <w:rFonts w:ascii="Arial" w:cs="Arial" w:eastAsia="Arial" w:hAnsi="Arial"/>
          <w:sz w:val="29"/>
          <w:szCs w:val="29"/>
          <w:b w:val="1"/>
          <w:bCs w:val="1"/>
          <w:color w:val="auto"/>
        </w:rPr>
        <w:t>FORM 6-K</w:t>
      </w:r>
    </w:p>
    <w:p>
      <w:pPr>
        <w:spacing w:after="0" w:line="234"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PURSUANT TO RULE 13a-16 OR 15d-16 OF</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For the month of January 2017</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Commission File Number 001-36903</w:t>
      </w:r>
    </w:p>
    <w:p>
      <w:pPr>
        <w:spacing w:after="0" w:line="201" w:lineRule="exact"/>
        <w:rPr>
          <w:sz w:val="24"/>
          <w:szCs w:val="24"/>
          <w:color w:val="auto"/>
        </w:rPr>
      </w:pPr>
    </w:p>
    <w:p>
      <w:pPr>
        <w:jc w:val="center"/>
        <w:ind w:right="-1200"/>
        <w:spacing w:after="0"/>
        <w:rPr>
          <w:sz w:val="20"/>
          <w:szCs w:val="20"/>
          <w:color w:val="auto"/>
        </w:rPr>
      </w:pPr>
      <w:r>
        <w:rPr>
          <w:rFonts w:ascii="Arial" w:cs="Arial" w:eastAsia="Arial" w:hAnsi="Arial"/>
          <w:sz w:val="36"/>
          <w:szCs w:val="36"/>
          <w:b w:val="1"/>
          <w:bCs w:val="1"/>
          <w:color w:val="auto"/>
        </w:rPr>
        <w:t>KORNIT DIGITAL LTD.</w:t>
      </w:r>
    </w:p>
    <w:p>
      <w:pPr>
        <w:spacing w:after="0" w:line="4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Rosh Ha’Ayin 4824096 Israel</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ind w:left="4580" w:right="1719" w:hanging="4579"/>
        <w:spacing w:after="0" w:line="233"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p>
      <w:pPr>
        <w:spacing w:after="0" w:line="18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o</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638175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00" w:lineRule="exact"/>
        <w:rPr>
          <w:sz w:val="20"/>
          <w:szCs w:val="20"/>
          <w:color w:val="auto"/>
        </w:rPr>
      </w:pPr>
    </w:p>
    <w:p>
      <w:pPr>
        <w:spacing w:after="0" w:line="201" w:lineRule="exact"/>
        <w:rPr>
          <w:sz w:val="20"/>
          <w:szCs w:val="20"/>
          <w:color w:val="auto"/>
        </w:rPr>
      </w:pPr>
    </w:p>
    <w:p>
      <w:pPr>
        <w:ind w:right="140" w:firstLine="638"/>
        <w:spacing w:after="0" w:line="258" w:lineRule="auto"/>
        <w:rPr>
          <w:sz w:val="20"/>
          <w:szCs w:val="20"/>
          <w:color w:val="auto"/>
        </w:rPr>
      </w:pPr>
      <w:r>
        <w:rPr>
          <w:rFonts w:ascii="Arial" w:cs="Arial" w:eastAsia="Arial" w:hAnsi="Arial"/>
          <w:sz w:val="18"/>
          <w:szCs w:val="18"/>
          <w:color w:val="auto"/>
        </w:rPr>
        <w:t>This Report of Foreign Private Issuer on Form 6-K (this “</w:t>
      </w:r>
      <w:r>
        <w:rPr>
          <w:rFonts w:ascii="Arial" w:cs="Arial" w:eastAsia="Arial" w:hAnsi="Arial"/>
          <w:sz w:val="18"/>
          <w:szCs w:val="18"/>
          <w:b w:val="1"/>
          <w:bCs w:val="1"/>
          <w:color w:val="auto"/>
        </w:rPr>
        <w:t>Form 6-K</w:t>
      </w:r>
      <w:r>
        <w:rPr>
          <w:rFonts w:ascii="Arial" w:cs="Arial" w:eastAsia="Arial" w:hAnsi="Arial"/>
          <w:sz w:val="18"/>
          <w:szCs w:val="18"/>
          <w:color w:val="auto"/>
        </w:rPr>
        <w:t>”) is being furnished by Kornit Digital Ltd. (“</w:t>
      </w:r>
      <w:r>
        <w:rPr>
          <w:rFonts w:ascii="Arial" w:cs="Arial" w:eastAsia="Arial" w:hAnsi="Arial"/>
          <w:sz w:val="18"/>
          <w:szCs w:val="18"/>
          <w:b w:val="1"/>
          <w:bCs w:val="1"/>
          <w:color w:val="auto"/>
        </w:rPr>
        <w:t>Kornit Digital</w:t>
      </w:r>
      <w:r>
        <w:rPr>
          <w:rFonts w:ascii="Arial" w:cs="Arial" w:eastAsia="Arial" w:hAnsi="Arial"/>
          <w:sz w:val="18"/>
          <w:szCs w:val="18"/>
          <w:color w:val="auto"/>
        </w:rPr>
        <w:t>”) to the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xml:space="preserve">”) for the sole purposes of: (i) furnishing, as </w:t>
      </w:r>
      <w:r>
        <w:rPr>
          <w:rFonts w:ascii="Arial" w:cs="Arial" w:eastAsia="Arial" w:hAnsi="Arial"/>
          <w:sz w:val="18"/>
          <w:szCs w:val="18"/>
          <w:u w:val="single" w:color="auto"/>
          <w:color w:val="auto"/>
        </w:rPr>
        <w:t>Exhibit 99.1</w:t>
      </w:r>
      <w:r>
        <w:rPr>
          <w:rFonts w:ascii="Arial" w:cs="Arial" w:eastAsia="Arial" w:hAnsi="Arial"/>
          <w:sz w:val="18"/>
          <w:szCs w:val="18"/>
          <w:color w:val="auto"/>
        </w:rPr>
        <w:t xml:space="preserve"> to this Form 6-K, unaudited interim consolidated financial statements of Kornit Digital as of September 30, 2016 (the “</w:t>
      </w:r>
      <w:r>
        <w:rPr>
          <w:rFonts w:ascii="Arial" w:cs="Arial" w:eastAsia="Arial" w:hAnsi="Arial"/>
          <w:sz w:val="18"/>
          <w:szCs w:val="18"/>
          <w:b w:val="1"/>
          <w:bCs w:val="1"/>
          <w:color w:val="auto"/>
        </w:rPr>
        <w:t>Financial Statements</w:t>
      </w:r>
      <w:r>
        <w:rPr>
          <w:rFonts w:ascii="Arial" w:cs="Arial" w:eastAsia="Arial" w:hAnsi="Arial"/>
          <w:sz w:val="18"/>
          <w:szCs w:val="18"/>
          <w:color w:val="auto"/>
        </w:rPr>
        <w:t xml:space="preserve">”); and (ii) furnishing, as </w:t>
      </w:r>
      <w:r>
        <w:rPr>
          <w:rFonts w:ascii="Arial" w:cs="Arial" w:eastAsia="Arial" w:hAnsi="Arial"/>
          <w:sz w:val="18"/>
          <w:szCs w:val="18"/>
          <w:u w:val="single" w:color="auto"/>
          <w:color w:val="auto"/>
        </w:rPr>
        <w:t>Exhibit 99.2</w:t>
      </w:r>
      <w:r>
        <w:rPr>
          <w:rFonts w:ascii="Arial" w:cs="Arial" w:eastAsia="Arial" w:hAnsi="Arial"/>
          <w:sz w:val="18"/>
          <w:szCs w:val="18"/>
          <w:color w:val="auto"/>
        </w:rPr>
        <w:t xml:space="preserve"> to this Form 6-K, Management’s Discussion and Analysis of Financial Condition and Results of Operations, which discusses and analyzes Kornit Digital’s financial condition and results of operations for the nine month period ended September 30, 2016.</w:t>
      </w:r>
    </w:p>
    <w:p>
      <w:pPr>
        <w:spacing w:after="0" w:line="188" w:lineRule="exact"/>
        <w:rPr>
          <w:sz w:val="20"/>
          <w:szCs w:val="20"/>
          <w:color w:val="auto"/>
        </w:rPr>
      </w:pPr>
    </w:p>
    <w:p>
      <w:pPr>
        <w:ind w:right="60" w:firstLine="638"/>
        <w:spacing w:after="0" w:line="286" w:lineRule="auto"/>
        <w:rPr>
          <w:sz w:val="20"/>
          <w:szCs w:val="20"/>
          <w:color w:val="auto"/>
        </w:rPr>
      </w:pPr>
      <w:r>
        <w:rPr>
          <w:rFonts w:ascii="Arial" w:cs="Arial" w:eastAsia="Arial" w:hAnsi="Arial"/>
          <w:sz w:val="17"/>
          <w:szCs w:val="17"/>
          <w:color w:val="auto"/>
        </w:rPr>
        <w:t>Kornit Digital intends to incorporate by reference the foregoing nine-month unaudited condensed interim consolidated financial statements of Kornit Digital, together with the Management’s Discussion and Analysis of Financial Condition and Results of Operations covering that nine month period, in the Registration Statement on Form F-3 that Kornit Digital intends to file with the SEC immediately hereafter on the date hereof.</w:t>
      </w:r>
    </w:p>
    <w:p>
      <w:pPr>
        <w:spacing w:after="0" w:line="166" w:lineRule="exact"/>
        <w:rPr>
          <w:sz w:val="20"/>
          <w:szCs w:val="20"/>
          <w:color w:val="auto"/>
        </w:rPr>
      </w:pPr>
    </w:p>
    <w:p>
      <w:pPr>
        <w:ind w:right="160" w:firstLine="270"/>
        <w:spacing w:after="0" w:line="277" w:lineRule="auto"/>
        <w:rPr>
          <w:sz w:val="20"/>
          <w:szCs w:val="20"/>
          <w:color w:val="auto"/>
        </w:rPr>
      </w:pP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Exhibit 101</w:t>
      </w:r>
      <w:r>
        <w:rPr>
          <w:rFonts w:ascii="Arial" w:cs="Arial" w:eastAsia="Arial" w:hAnsi="Arial"/>
          <w:sz w:val="18"/>
          <w:szCs w:val="18"/>
          <w:color w:val="auto"/>
        </w:rPr>
        <w:t xml:space="preserve"> are the Financial Statements, formatted in XBRL (eXtensible Business Reporting Language), consisting of the following sub-exhibits: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18"/>
                <w:szCs w:val="18"/>
                <w:color w:val="auto"/>
              </w:rPr>
            </w:pPr>
          </w:p>
        </w:tc>
        <w:tc>
          <w:tcPr>
            <w:tcW w:w="10160" w:type="dxa"/>
            <w:vAlign w:val="bottom"/>
          </w:tcPr>
          <w:p>
            <w:pPr>
              <w:spacing w:after="0"/>
              <w:rPr>
                <w:sz w:val="18"/>
                <w:szCs w:val="18"/>
                <w:color w:val="auto"/>
              </w:rPr>
            </w:pPr>
          </w:p>
        </w:tc>
      </w:tr>
      <w:tr>
        <w:trPr>
          <w:trHeight w:val="241"/>
        </w:trPr>
        <w:tc>
          <w:tcPr>
            <w:tcW w:w="116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10260" w:type="dxa"/>
            <w:vAlign w:val="bottom"/>
            <w:gridSpan w:val="2"/>
          </w:tcPr>
          <w:p>
            <w:pPr>
              <w:ind w:left="100"/>
              <w:spacing w:after="0"/>
              <w:rPr>
                <w:sz w:val="20"/>
                <w:szCs w:val="20"/>
                <w:color w:val="auto"/>
              </w:rPr>
            </w:pPr>
            <w:r>
              <w:rPr>
                <w:rFonts w:ascii="Arial" w:cs="Arial" w:eastAsia="Arial" w:hAnsi="Arial"/>
                <w:sz w:val="18"/>
                <w:szCs w:val="18"/>
                <w:b w:val="1"/>
                <w:bCs w:val="1"/>
                <w:color w:val="auto"/>
              </w:rPr>
              <w:t>Document Description</w:t>
            </w:r>
          </w:p>
        </w:tc>
      </w:tr>
      <w:tr>
        <w:trPr>
          <w:trHeight w:val="216"/>
        </w:trPr>
        <w:tc>
          <w:tcPr>
            <w:tcW w:w="1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EX-101.INS</w:t>
            </w:r>
          </w:p>
        </w:tc>
        <w:tc>
          <w:tcPr>
            <w:tcW w:w="100" w:type="dxa"/>
            <w:vAlign w:val="bottom"/>
            <w:tcBorders>
              <w:top w:val="single" w:sz="8" w:color="CCEEFF"/>
            </w:tcBorders>
            <w:shd w:val="clear" w:color="auto" w:fill="CCEEFF"/>
          </w:tcPr>
          <w:p>
            <w:pPr>
              <w:spacing w:after="0"/>
              <w:rPr>
                <w:sz w:val="18"/>
                <w:szCs w:val="18"/>
                <w:color w:val="auto"/>
              </w:rPr>
            </w:pPr>
          </w:p>
        </w:tc>
        <w:tc>
          <w:tcPr>
            <w:tcW w:w="10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XBRL Taxonomy Instance Document</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EX-101.SCH</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EX-101.CAL</w:t>
            </w:r>
          </w:p>
        </w:tc>
        <w:tc>
          <w:tcPr>
            <w:tcW w:w="10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XBRL Taxonomy Calculation Linkbase Document</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EX-101.DEF</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EX-101.LAB</w:t>
            </w:r>
          </w:p>
        </w:tc>
        <w:tc>
          <w:tcPr>
            <w:tcW w:w="10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XBRL Taxonomy Label Linkbase Document</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EX-101.PRE</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Taxonomy Presentation Linkbase Document</w:t>
            </w:r>
          </w:p>
        </w:tc>
      </w:tr>
    </w:tbl>
    <w:p>
      <w:pPr>
        <w:spacing w:after="0" w:line="187" w:lineRule="exact"/>
        <w:rPr>
          <w:sz w:val="20"/>
          <w:szCs w:val="20"/>
          <w:color w:val="auto"/>
        </w:rPr>
      </w:pPr>
    </w:p>
    <w:p>
      <w:pPr>
        <w:jc w:val="both"/>
        <w:ind w:right="120" w:firstLine="510"/>
        <w:spacing w:after="0" w:line="286" w:lineRule="auto"/>
        <w:rPr>
          <w:sz w:val="20"/>
          <w:szCs w:val="20"/>
          <w:color w:val="auto"/>
        </w:rPr>
      </w:pPr>
      <w:r>
        <w:rPr>
          <w:rFonts w:ascii="Arial" w:cs="Arial" w:eastAsia="Arial" w:hAnsi="Arial"/>
          <w:sz w:val="17"/>
          <w:szCs w:val="17"/>
          <w:color w:val="auto"/>
        </w:rPr>
        <w:t>The XBRL related information in Exhibit 101 to this Form 6-K shall not deemed “filed” for purposes of Section 18 of the Securities Exchange Act of 1934, as amended, or otherwise subject to liability under that section and shall not be incorporated by reference into any filing or other document pursuant to the Securities Act of 1933, as amended, except as shall be expressly set forth by specific reference in such filing or document.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800"/>
        <w:spacing w:after="0"/>
        <w:rPr>
          <w:sz w:val="20"/>
          <w:szCs w:val="20"/>
          <w:color w:val="auto"/>
        </w:rPr>
      </w:pPr>
      <w:r>
        <w:rPr>
          <w:rFonts w:ascii="Arial" w:cs="Arial" w:eastAsia="Arial" w:hAnsi="Arial"/>
          <w:sz w:val="18"/>
          <w:szCs w:val="18"/>
          <w:b w:val="1"/>
          <w:bCs w:val="1"/>
          <w:color w:val="auto"/>
        </w:rPr>
        <w:t>KORNIT DIGITAL LTD.</w:t>
      </w:r>
    </w:p>
    <w:p>
      <w:pPr>
        <w:spacing w:after="0" w:line="229" w:lineRule="exact"/>
        <w:rPr>
          <w:sz w:val="20"/>
          <w:szCs w:val="20"/>
          <w:color w:val="auto"/>
        </w:rPr>
      </w:pPr>
    </w:p>
    <w:p>
      <w:pPr>
        <w:spacing w:after="0"/>
        <w:tabs>
          <w:tab w:leader="none" w:pos="6780" w:val="left"/>
          <w:tab w:leader="none" w:pos="7300" w:val="left"/>
        </w:tabs>
        <w:rPr>
          <w:sz w:val="20"/>
          <w:szCs w:val="20"/>
          <w:color w:val="auto"/>
        </w:rPr>
      </w:pPr>
      <w:r>
        <w:rPr>
          <w:rFonts w:ascii="Arial" w:cs="Arial" w:eastAsia="Arial" w:hAnsi="Arial"/>
          <w:sz w:val="18"/>
          <w:szCs w:val="18"/>
          <w:color w:val="auto"/>
        </w:rPr>
        <w:t>Date : January 3,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14605</wp:posOffset>
            </wp:positionV>
            <wp:extent cx="25984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98420" cy="17145"/>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Name: Guy Avidan</w:t>
      </w:r>
    </w:p>
    <w:p>
      <w:pPr>
        <w:spacing w:after="0" w:line="23" w:lineRule="exact"/>
        <w:rPr>
          <w:sz w:val="20"/>
          <w:szCs w:val="20"/>
          <w:color w:val="auto"/>
        </w:rPr>
      </w:pPr>
    </w:p>
    <w:p>
      <w:pPr>
        <w:ind w:left="680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4"/>
              </w:rPr>
              <w:t>Exhibit Index</w:t>
            </w:r>
          </w:p>
        </w:tc>
      </w:tr>
      <w:tr>
        <w:trPr>
          <w:trHeight w:val="453"/>
        </w:trPr>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100" w:type="dxa"/>
            <w:vAlign w:val="bottom"/>
            <w:tcBorders>
              <w:bottom w:val="single" w:sz="8" w:color="CCEEFF"/>
            </w:tcBorders>
          </w:tcPr>
          <w:p>
            <w:pPr>
              <w:spacing w:after="0"/>
              <w:rPr>
                <w:sz w:val="24"/>
                <w:szCs w:val="24"/>
                <w:color w:val="auto"/>
              </w:rPr>
            </w:pPr>
          </w:p>
        </w:tc>
        <w:tc>
          <w:tcPr>
            <w:tcW w:w="10160" w:type="dxa"/>
            <w:vAlign w:val="bottom"/>
            <w:tcBorders>
              <w:bottom w:val="single" w:sz="8" w:color="auto"/>
            </w:tcBorders>
          </w:tcPr>
          <w:p>
            <w:pPr>
              <w:ind w:left="464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99.1</w:t>
            </w:r>
          </w:p>
        </w:tc>
        <w:tc>
          <w:tcPr>
            <w:tcW w:w="100" w:type="dxa"/>
            <w:vAlign w:val="bottom"/>
            <w:shd w:val="clear" w:color="auto" w:fill="CCEEFF"/>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Unaudited condensed interim consolidated financial statements of the registrant as of September 30, 2016</w:t>
            </w:r>
          </w:p>
        </w:tc>
      </w:tr>
      <w:tr>
        <w:trPr>
          <w:trHeight w:val="202"/>
        </w:trPr>
        <w:tc>
          <w:tcPr>
            <w:tcW w:w="1160" w:type="dxa"/>
            <w:vAlign w:val="bottom"/>
          </w:tcPr>
          <w:p>
            <w:pPr>
              <w:spacing w:after="0" w:line="201" w:lineRule="exact"/>
              <w:rPr>
                <w:sz w:val="20"/>
                <w:szCs w:val="20"/>
                <w:color w:val="auto"/>
              </w:rPr>
            </w:pPr>
            <w:r>
              <w:rPr>
                <w:rFonts w:ascii="Arial" w:cs="Arial" w:eastAsia="Arial" w:hAnsi="Arial"/>
                <w:sz w:val="18"/>
                <w:szCs w:val="18"/>
                <w:color w:val="auto"/>
              </w:rPr>
              <w:t>99.2</w:t>
            </w:r>
          </w:p>
        </w:tc>
        <w:tc>
          <w:tcPr>
            <w:tcW w:w="10260" w:type="dxa"/>
            <w:vAlign w:val="bottom"/>
            <w:gridSpan w:val="2"/>
          </w:tcPr>
          <w:p>
            <w:pPr>
              <w:ind w:left="100"/>
              <w:spacing w:after="0" w:line="201" w:lineRule="exact"/>
              <w:rPr>
                <w:sz w:val="20"/>
                <w:szCs w:val="20"/>
                <w:color w:val="auto"/>
              </w:rPr>
            </w:pPr>
            <w:r>
              <w:rPr>
                <w:rFonts w:ascii="Arial" w:cs="Arial" w:eastAsia="Arial" w:hAnsi="Arial"/>
                <w:sz w:val="18"/>
                <w:szCs w:val="18"/>
                <w:color w:val="auto"/>
                <w:w w:val="92"/>
              </w:rPr>
              <w:t>Management’s Discussion and Analysis of Financial Condition and Results of Operations of the registrant for the nine month period ended</w:t>
            </w: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September 30, 2016</w:t>
            </w: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EX-101.INS</w:t>
            </w:r>
          </w:p>
        </w:tc>
        <w:tc>
          <w:tcPr>
            <w:tcW w:w="10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XBRL Taxonomy Instance Document</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EX-101.SCH</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EX-101.CAL</w:t>
            </w:r>
          </w:p>
        </w:tc>
        <w:tc>
          <w:tcPr>
            <w:tcW w:w="10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XBRL Taxonomy Calculation Linkbase Document</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EX-101.DEF</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EX-101.LAB</w:t>
            </w:r>
          </w:p>
        </w:tc>
        <w:tc>
          <w:tcPr>
            <w:tcW w:w="10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XBRL Taxonomy Label Linkbase Document</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EX-101.PRE</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Taxonomy Presentation Linkbase Document</w:t>
            </w:r>
          </w:p>
        </w:tc>
      </w:tr>
      <w:tr>
        <w:trPr>
          <w:trHeight w:val="641"/>
        </w:trPr>
        <w:tc>
          <w:tcPr>
            <w:tcW w:w="1160" w:type="dxa"/>
            <w:vAlign w:val="bottom"/>
            <w:tcBorders>
              <w:bottom w:val="single" w:sz="8" w:color="auto"/>
            </w:tcBorders>
          </w:tcPr>
          <w:p>
            <w:pPr>
              <w:spacing w:after="0"/>
              <w:rPr>
                <w:sz w:val="24"/>
                <w:szCs w:val="24"/>
                <w:color w:val="auto"/>
              </w:rPr>
            </w:pPr>
          </w:p>
        </w:tc>
        <w:tc>
          <w:tcPr>
            <w:tcW w:w="10260" w:type="dxa"/>
            <w:vAlign w:val="bottom"/>
            <w:tcBorders>
              <w:bottom w:val="single" w:sz="8" w:color="auto"/>
            </w:tcBorders>
            <w:gridSpan w:val="2"/>
          </w:tcPr>
          <w:p>
            <w:pPr>
              <w:jc w:val="right"/>
              <w:ind w:right="557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420"/>
          </w:cols>
          <w:pgMar w:left="240" w:top="90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14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50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50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Consolidated Balance Sheets</w:t>
            </w:r>
          </w:p>
        </w:tc>
        <w:tc>
          <w:tcPr>
            <w:tcW w:w="6900" w:type="dxa"/>
            <w:vAlign w:val="bottom"/>
            <w:gridSpan w:val="2"/>
            <w:shd w:val="clear" w:color="auto" w:fill="CCEEFF"/>
          </w:tcPr>
          <w:p>
            <w:pPr>
              <w:jc w:val="center"/>
              <w:ind w:left="5690"/>
              <w:spacing w:after="0" w:line="189" w:lineRule="exact"/>
              <w:rPr>
                <w:sz w:val="20"/>
                <w:szCs w:val="20"/>
                <w:color w:val="auto"/>
              </w:rPr>
            </w:pPr>
            <w:r>
              <w:rPr>
                <w:rFonts w:ascii="Arial" w:cs="Arial" w:eastAsia="Arial" w:hAnsi="Arial"/>
                <w:sz w:val="18"/>
                <w:szCs w:val="18"/>
                <w:b w:val="1"/>
                <w:bCs w:val="1"/>
                <w:color w:val="auto"/>
                <w:w w:val="92"/>
              </w:rPr>
              <w:t>2-3</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50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50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Consolidated Statements of Income</w:t>
            </w:r>
          </w:p>
        </w:tc>
        <w:tc>
          <w:tcPr>
            <w:tcW w:w="6900" w:type="dxa"/>
            <w:vAlign w:val="bottom"/>
            <w:gridSpan w:val="2"/>
            <w:shd w:val="clear" w:color="auto" w:fill="CCEEFF"/>
          </w:tcPr>
          <w:p>
            <w:pPr>
              <w:jc w:val="center"/>
              <w:ind w:left="5670"/>
              <w:spacing w:after="0" w:line="189" w:lineRule="exact"/>
              <w:rPr>
                <w:sz w:val="20"/>
                <w:szCs w:val="20"/>
                <w:color w:val="auto"/>
              </w:rPr>
            </w:pPr>
            <w:r>
              <w:rPr>
                <w:rFonts w:ascii="Arial" w:cs="Arial" w:eastAsia="Arial" w:hAnsi="Arial"/>
                <w:sz w:val="18"/>
                <w:szCs w:val="18"/>
                <w:b w:val="1"/>
                <w:bCs w:val="1"/>
                <w:color w:val="auto"/>
                <w:w w:val="99"/>
              </w:rPr>
              <w:t>4</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50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50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Consolidated Statement of Comprehensive Income</w:t>
            </w:r>
          </w:p>
        </w:tc>
        <w:tc>
          <w:tcPr>
            <w:tcW w:w="6900" w:type="dxa"/>
            <w:vAlign w:val="bottom"/>
            <w:gridSpan w:val="2"/>
            <w:shd w:val="clear" w:color="auto" w:fill="CCEEFF"/>
          </w:tcPr>
          <w:p>
            <w:pPr>
              <w:jc w:val="center"/>
              <w:ind w:left="5670"/>
              <w:spacing w:after="0" w:line="189" w:lineRule="exact"/>
              <w:rPr>
                <w:sz w:val="20"/>
                <w:szCs w:val="20"/>
                <w:color w:val="auto"/>
              </w:rPr>
            </w:pPr>
            <w:r>
              <w:rPr>
                <w:rFonts w:ascii="Arial" w:cs="Arial" w:eastAsia="Arial" w:hAnsi="Arial"/>
                <w:sz w:val="18"/>
                <w:szCs w:val="18"/>
                <w:b w:val="1"/>
                <w:bCs w:val="1"/>
                <w:color w:val="auto"/>
                <w:w w:val="99"/>
              </w:rPr>
              <w:t>5</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50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50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Statements of Changes in Shareholders' Equity</w:t>
            </w:r>
          </w:p>
        </w:tc>
        <w:tc>
          <w:tcPr>
            <w:tcW w:w="6900" w:type="dxa"/>
            <w:vAlign w:val="bottom"/>
            <w:gridSpan w:val="2"/>
            <w:shd w:val="clear" w:color="auto" w:fill="CCEEFF"/>
          </w:tcPr>
          <w:p>
            <w:pPr>
              <w:jc w:val="center"/>
              <w:ind w:left="5670"/>
              <w:spacing w:after="0" w:line="189" w:lineRule="exact"/>
              <w:rPr>
                <w:sz w:val="20"/>
                <w:szCs w:val="20"/>
                <w:color w:val="auto"/>
              </w:rPr>
            </w:pPr>
            <w:r>
              <w:rPr>
                <w:rFonts w:ascii="Arial" w:cs="Arial" w:eastAsia="Arial" w:hAnsi="Arial"/>
                <w:sz w:val="18"/>
                <w:szCs w:val="18"/>
                <w:b w:val="1"/>
                <w:bCs w:val="1"/>
                <w:color w:val="auto"/>
                <w:w w:val="99"/>
              </w:rPr>
              <w:t>6</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50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50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Consolidated Statements of Cash Flows</w:t>
            </w:r>
          </w:p>
        </w:tc>
        <w:tc>
          <w:tcPr>
            <w:tcW w:w="6900" w:type="dxa"/>
            <w:vAlign w:val="bottom"/>
            <w:gridSpan w:val="2"/>
            <w:shd w:val="clear" w:color="auto" w:fill="CCEEFF"/>
          </w:tcPr>
          <w:p>
            <w:pPr>
              <w:jc w:val="center"/>
              <w:ind w:left="5670"/>
              <w:spacing w:after="0" w:line="189" w:lineRule="exact"/>
              <w:rPr>
                <w:sz w:val="20"/>
                <w:szCs w:val="20"/>
                <w:color w:val="auto"/>
              </w:rPr>
            </w:pPr>
            <w:r>
              <w:rPr>
                <w:rFonts w:ascii="Arial" w:cs="Arial" w:eastAsia="Arial" w:hAnsi="Arial"/>
                <w:sz w:val="18"/>
                <w:szCs w:val="18"/>
                <w:b w:val="1"/>
                <w:bCs w:val="1"/>
                <w:color w:val="auto"/>
                <w:w w:val="99"/>
              </w:rPr>
              <w:t>7</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50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50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Notes to Consolidated Interim Financial Statements</w:t>
            </w:r>
          </w:p>
        </w:tc>
        <w:tc>
          <w:tcPr>
            <w:tcW w:w="6900" w:type="dxa"/>
            <w:vAlign w:val="bottom"/>
            <w:gridSpan w:val="2"/>
            <w:shd w:val="clear" w:color="auto" w:fill="CCEEFF"/>
          </w:tcPr>
          <w:p>
            <w:pPr>
              <w:jc w:val="center"/>
              <w:ind w:left="5670"/>
              <w:spacing w:after="0" w:line="189" w:lineRule="exact"/>
              <w:rPr>
                <w:sz w:val="20"/>
                <w:szCs w:val="20"/>
                <w:color w:val="auto"/>
              </w:rPr>
            </w:pPr>
            <w:r>
              <w:rPr>
                <w:rFonts w:ascii="Arial" w:cs="Arial" w:eastAsia="Arial" w:hAnsi="Arial"/>
                <w:sz w:val="18"/>
                <w:szCs w:val="18"/>
                <w:color w:val="auto"/>
                <w:w w:val="94"/>
              </w:rPr>
              <w:t>9</w:t>
            </w:r>
            <w:r>
              <w:rPr>
                <w:rFonts w:ascii="Arial" w:cs="Arial" w:eastAsia="Arial" w:hAnsi="Arial"/>
                <w:sz w:val="18"/>
                <w:szCs w:val="18"/>
                <w:b w:val="1"/>
                <w:bCs w:val="1"/>
                <w:color w:val="auto"/>
                <w:w w:val="94"/>
              </w:rPr>
              <w:t>-21</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5760" w:type="dxa"/>
            <w:vAlign w:val="bottom"/>
          </w:tcPr>
          <w:p>
            <w:pPr>
              <w:jc w:val="right"/>
              <w:ind w:right="3810"/>
              <w:spacing w:after="0"/>
              <w:rPr>
                <w:sz w:val="20"/>
                <w:szCs w:val="20"/>
                <w:color w:val="auto"/>
              </w:rPr>
            </w:pPr>
            <w:r>
              <w:rPr>
                <w:rFonts w:ascii="Arial" w:cs="Arial" w:eastAsia="Arial" w:hAnsi="Arial"/>
                <w:sz w:val="18"/>
                <w:szCs w:val="18"/>
                <w:color w:val="auto"/>
              </w:rPr>
              <w:t>- - - - - - - - - - - - -</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57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2" w:right="239" w:bottom="1440" w:gutter="0" w:footer="0" w:header="0"/>
        </w:sectPr>
      </w:pPr>
    </w:p>
    <w:bookmarkStart w:id="5" w:name="page6"/>
    <w:bookmarkEnd w:id="5"/>
    <w:p>
      <w:pPr>
        <w:ind w:left="73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9"/>
                <w:szCs w:val="19"/>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3"/>
              </w:rPr>
              <w:t>Unaudited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140" w:type="dxa"/>
            <w:vAlign w:val="bottom"/>
            <w:gridSpan w:val="3"/>
          </w:tcPr>
          <w:p>
            <w:pPr>
              <w:spacing w:after="0"/>
              <w:rPr>
                <w:sz w:val="20"/>
                <w:szCs w:val="20"/>
                <w:color w:val="auto"/>
              </w:rPr>
            </w:pPr>
            <w:r>
              <w:rPr>
                <w:rFonts w:ascii="Arial" w:cs="Arial" w:eastAsia="Arial" w:hAnsi="Arial"/>
                <w:sz w:val="18"/>
                <w:szCs w:val="18"/>
                <w:color w:val="auto"/>
              </w:rPr>
              <w:t>ASSETS</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4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18,477</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Short-term bank deposits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 for sale marketable securities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12,069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Trade receivables, net</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29,477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accounts receivable and prepaid expenses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Inventories</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22,955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15,803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77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120" w:type="dxa"/>
            <w:vAlign w:val="bottom"/>
            <w:gridSpan w:val="2"/>
          </w:tcPr>
          <w:p>
            <w:pPr>
              <w:spacing w:after="0" w:line="156" w:lineRule="exact"/>
              <w:rPr>
                <w:sz w:val="20"/>
                <w:szCs w:val="20"/>
                <w:color w:val="auto"/>
              </w:rPr>
            </w:pPr>
            <w:r>
              <w:rPr>
                <w:rFonts w:ascii="Arial" w:cs="Arial" w:eastAsia="Arial" w:hAnsi="Arial"/>
                <w:sz w:val="18"/>
                <w:szCs w:val="18"/>
                <w:color w:val="auto"/>
              </w:rPr>
              <w:t>Total current assets</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00"/>
              <w:spacing w:after="0" w:line="156" w:lineRule="exact"/>
              <w:rPr>
                <w:sz w:val="20"/>
                <w:szCs w:val="20"/>
                <w:color w:val="auto"/>
              </w:rPr>
            </w:pPr>
            <w:r>
              <w:rPr>
                <w:rFonts w:ascii="Arial" w:cs="Arial" w:eastAsia="Arial" w:hAnsi="Arial"/>
                <w:sz w:val="18"/>
                <w:szCs w:val="18"/>
                <w:color w:val="auto"/>
              </w:rPr>
              <w:t>86,881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100"/>
              <w:spacing w:after="0" w:line="156" w:lineRule="exact"/>
              <w:rPr>
                <w:sz w:val="20"/>
                <w:szCs w:val="20"/>
                <w:color w:val="auto"/>
              </w:rPr>
            </w:pPr>
            <w:r>
              <w:rPr>
                <w:rFonts w:ascii="Arial" w:cs="Arial" w:eastAsia="Arial" w:hAnsi="Arial"/>
                <w:sz w:val="18"/>
                <w:szCs w:val="18"/>
                <w:color w:val="auto"/>
              </w:rPr>
              <w:t>86,706</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60" w:type="dxa"/>
            <w:vAlign w:val="bottom"/>
            <w:tcBorders>
              <w:top w:val="single" w:sz="8" w:color="auto"/>
              <w:bottom w:val="single" w:sz="8" w:color="CCEEFF"/>
            </w:tcBorders>
          </w:tcPr>
          <w:p>
            <w:pPr>
              <w:spacing w:after="0"/>
              <w:rPr>
                <w:sz w:val="3"/>
                <w:szCs w:val="3"/>
                <w:color w:val="auto"/>
              </w:rPr>
            </w:pPr>
          </w:p>
        </w:tc>
        <w:tc>
          <w:tcPr>
            <w:tcW w:w="7760" w:type="dxa"/>
            <w:vAlign w:val="bottom"/>
            <w:tcBorders>
              <w:bottom w:val="single" w:sz="8" w:color="CCEEFF"/>
            </w:tcBorders>
          </w:tcPr>
          <w:p>
            <w:pPr>
              <w:spacing w:after="0"/>
              <w:rPr>
                <w:sz w:val="3"/>
                <w:szCs w:val="3"/>
                <w:color w:val="auto"/>
              </w:rPr>
            </w:pPr>
          </w:p>
        </w:tc>
        <w:tc>
          <w:tcPr>
            <w:tcW w:w="6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Available for sale marketable securities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26,145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5,092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2,145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77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120" w:type="dxa"/>
            <w:vAlign w:val="bottom"/>
            <w:gridSpan w:val="2"/>
          </w:tcPr>
          <w:p>
            <w:pPr>
              <w:spacing w:after="0" w:line="156" w:lineRule="exact"/>
              <w:rPr>
                <w:sz w:val="20"/>
                <w:szCs w:val="20"/>
                <w:color w:val="auto"/>
              </w:rPr>
            </w:pPr>
            <w:r>
              <w:rPr>
                <w:rFonts w:ascii="Arial" w:cs="Arial" w:eastAsia="Arial" w:hAnsi="Arial"/>
                <w:sz w:val="18"/>
                <w:szCs w:val="18"/>
                <w:color w:val="auto"/>
              </w:rPr>
              <w:t>Total long-term assets</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00"/>
              <w:spacing w:after="0" w:line="156" w:lineRule="exact"/>
              <w:rPr>
                <w:sz w:val="20"/>
                <w:szCs w:val="20"/>
                <w:color w:val="auto"/>
              </w:rPr>
            </w:pPr>
            <w:r>
              <w:rPr>
                <w:rFonts w:ascii="Arial" w:cs="Arial" w:eastAsia="Arial" w:hAnsi="Arial"/>
                <w:sz w:val="18"/>
                <w:szCs w:val="18"/>
                <w:color w:val="auto"/>
              </w:rPr>
              <w:t>45,305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100"/>
              <w:spacing w:after="0" w:line="156" w:lineRule="exact"/>
              <w:rPr>
                <w:sz w:val="20"/>
                <w:szCs w:val="20"/>
                <w:color w:val="auto"/>
              </w:rPr>
            </w:pPr>
            <w:r>
              <w:rPr>
                <w:rFonts w:ascii="Arial" w:cs="Arial" w:eastAsia="Arial" w:hAnsi="Arial"/>
                <w:sz w:val="18"/>
                <w:szCs w:val="18"/>
                <w:color w:val="auto"/>
              </w:rPr>
              <w:t>36,646</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60" w:type="dxa"/>
            <w:vAlign w:val="bottom"/>
            <w:tcBorders>
              <w:top w:val="single" w:sz="8" w:color="auto"/>
              <w:bottom w:val="single" w:sz="8" w:color="CCEEFF"/>
            </w:tcBorders>
          </w:tcPr>
          <w:p>
            <w:pPr>
              <w:spacing w:after="0"/>
              <w:rPr>
                <w:sz w:val="3"/>
                <w:szCs w:val="3"/>
                <w:color w:val="auto"/>
              </w:rPr>
            </w:pPr>
          </w:p>
        </w:tc>
        <w:tc>
          <w:tcPr>
            <w:tcW w:w="7760" w:type="dxa"/>
            <w:vAlign w:val="bottom"/>
            <w:tcBorders>
              <w:bottom w:val="single" w:sz="8" w:color="CCEEFF"/>
            </w:tcBorders>
          </w:tcPr>
          <w:p>
            <w:pPr>
              <w:spacing w:after="0"/>
              <w:rPr>
                <w:sz w:val="3"/>
                <w:szCs w:val="3"/>
                <w:color w:val="auto"/>
              </w:rPr>
            </w:pPr>
          </w:p>
        </w:tc>
        <w:tc>
          <w:tcPr>
            <w:tcW w:w="6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132,186</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123,352</w:t>
            </w:r>
          </w:p>
        </w:tc>
        <w:tc>
          <w:tcPr>
            <w:tcW w:w="0" w:type="dxa"/>
            <w:vAlign w:val="bottom"/>
          </w:tcPr>
          <w:p>
            <w:pPr>
              <w:spacing w:after="0"/>
              <w:rPr>
                <w:sz w:val="1"/>
                <w:szCs w:val="1"/>
                <w:color w:val="auto"/>
              </w:rPr>
            </w:pPr>
          </w:p>
        </w:tc>
      </w:tr>
      <w:tr>
        <w:trPr>
          <w:trHeight w:val="21"/>
        </w:trPr>
        <w:tc>
          <w:tcPr>
            <w:tcW w:w="8140" w:type="dxa"/>
            <w:vAlign w:val="bottom"/>
            <w:gridSpan w:val="3"/>
            <w:vMerge w:val="restart"/>
          </w:tcPr>
          <w:p>
            <w:pPr>
              <w:spacing w:after="0"/>
              <w:rPr>
                <w:sz w:val="20"/>
                <w:szCs w:val="20"/>
                <w:color w:val="auto"/>
              </w:rPr>
            </w:pPr>
            <w:r>
              <w:rPr>
                <w:rFonts w:ascii="Arial" w:cs="Arial" w:eastAsia="Arial" w:hAnsi="Arial"/>
                <w:sz w:val="18"/>
                <w:szCs w:val="18"/>
                <w:color w:val="auto"/>
                <w:w w:val="98"/>
              </w:rPr>
              <w:t>The accompanying notes are an integral part of the unaudited interim consolidated financial statements.</w:t>
            </w: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140" w:type="dxa"/>
            <w:vAlign w:val="bottom"/>
            <w:gridSpan w:val="3"/>
            <w:vMerge w:val="continue"/>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8120" w:type="dxa"/>
            <w:vAlign w:val="bottom"/>
            <w:tcBorders>
              <w:bottom w:val="single" w:sz="8" w:color="auto"/>
            </w:tcBorders>
            <w:gridSpan w:val="2"/>
          </w:tcPr>
          <w:p>
            <w:pPr>
              <w:jc w:val="right"/>
              <w:ind w:right="2380"/>
              <w:spacing w:after="0"/>
              <w:rPr>
                <w:sz w:val="20"/>
                <w:szCs w:val="20"/>
                <w:color w:val="auto"/>
              </w:rPr>
            </w:pPr>
            <w:r>
              <w:rPr>
                <w:rFonts w:ascii="Arial" w:cs="Arial" w:eastAsia="Arial" w:hAnsi="Arial"/>
                <w:sz w:val="18"/>
                <w:szCs w:val="18"/>
                <w:color w:val="auto"/>
              </w:rPr>
              <w:t>2</w:t>
            </w: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6" w:name="page7"/>
    <w:bookmarkEnd w:id="6"/>
    <w:p>
      <w:pPr>
        <w:ind w:left="73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9"/>
                <w:szCs w:val="19"/>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3"/>
              </w:rPr>
              <w:t>Unaudited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60" w:type="dxa"/>
            <w:vAlign w:val="bottom"/>
            <w:gridSpan w:val="5"/>
          </w:tcPr>
          <w:p>
            <w:pPr>
              <w:spacing w:after="0"/>
              <w:rPr>
                <w:sz w:val="20"/>
                <w:szCs w:val="20"/>
                <w:color w:val="auto"/>
              </w:rPr>
            </w:pPr>
            <w:r>
              <w:rPr>
                <w:rFonts w:ascii="Arial" w:cs="Arial" w:eastAsia="Arial" w:hAnsi="Arial"/>
                <w:sz w:val="18"/>
                <w:szCs w:val="18"/>
                <w:color w:val="auto"/>
              </w:rPr>
              <w:t>LIABILITIES AND SHAREHOLDERS' EQUITY</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660" w:type="dxa"/>
            <w:vAlign w:val="bottom"/>
            <w:gridSpan w:val="5"/>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14,354</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4"/>
          </w:tcPr>
          <w:p>
            <w:pPr>
              <w:spacing w:after="0"/>
              <w:rPr>
                <w:sz w:val="20"/>
                <w:szCs w:val="20"/>
                <w:color w:val="auto"/>
              </w:rPr>
            </w:pPr>
            <w:r>
              <w:rPr>
                <w:rFonts w:ascii="Arial" w:cs="Arial" w:eastAsia="Arial" w:hAnsi="Arial"/>
                <w:sz w:val="18"/>
                <w:szCs w:val="18"/>
                <w:color w:val="auto"/>
              </w:rPr>
              <w:t>Employees and payroll accruals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4,590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Deferred revenues and advances from customers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40" w:type="dxa"/>
            <w:vAlign w:val="bottom"/>
            <w:gridSpan w:val="4"/>
          </w:tcPr>
          <w:p>
            <w:pPr>
              <w:spacing w:after="0"/>
              <w:rPr>
                <w:sz w:val="20"/>
                <w:szCs w:val="20"/>
                <w:color w:val="auto"/>
              </w:rPr>
            </w:pPr>
            <w:r>
              <w:rPr>
                <w:rFonts w:ascii="Arial" w:cs="Arial" w:eastAsia="Arial" w:hAnsi="Arial"/>
                <w:sz w:val="18"/>
                <w:szCs w:val="18"/>
                <w:color w:val="auto"/>
              </w:rPr>
              <w:t>Other payables and accrued expenses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5,972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640" w:type="dxa"/>
            <w:vAlign w:val="bottom"/>
            <w:gridSpan w:val="4"/>
          </w:tcPr>
          <w:p>
            <w:pPr>
              <w:spacing w:after="0" w:line="156" w:lineRule="exact"/>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00"/>
              <w:spacing w:after="0" w:line="156" w:lineRule="exact"/>
              <w:rPr>
                <w:sz w:val="20"/>
                <w:szCs w:val="20"/>
                <w:color w:val="auto"/>
              </w:rPr>
            </w:pPr>
            <w:r>
              <w:rPr>
                <w:rFonts w:ascii="Arial" w:cs="Arial" w:eastAsia="Arial" w:hAnsi="Arial"/>
                <w:sz w:val="18"/>
                <w:szCs w:val="18"/>
                <w:color w:val="auto"/>
              </w:rPr>
              <w:t>26,228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100"/>
              <w:spacing w:after="0" w:line="156" w:lineRule="exact"/>
              <w:rPr>
                <w:sz w:val="20"/>
                <w:szCs w:val="20"/>
                <w:color w:val="auto"/>
              </w:rPr>
            </w:pPr>
            <w:r>
              <w:rPr>
                <w:rFonts w:ascii="Arial" w:cs="Arial" w:eastAsia="Arial" w:hAnsi="Arial"/>
                <w:sz w:val="18"/>
                <w:szCs w:val="18"/>
                <w:color w:val="auto"/>
              </w:rPr>
              <w:t>21,251</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60" w:type="dxa"/>
            <w:vAlign w:val="bottom"/>
            <w:tcBorders>
              <w:top w:val="single" w:sz="8" w:color="auto"/>
              <w:bottom w:val="single" w:sz="8" w:color="CCEEFF"/>
            </w:tcBorders>
          </w:tcPr>
          <w:p>
            <w:pPr>
              <w:spacing w:after="0"/>
              <w:rPr>
                <w:sz w:val="3"/>
                <w:szCs w:val="3"/>
                <w:color w:val="auto"/>
              </w:rPr>
            </w:pPr>
          </w:p>
        </w:tc>
        <w:tc>
          <w:tcPr>
            <w:tcW w:w="200" w:type="dxa"/>
            <w:vAlign w:val="bottom"/>
            <w:tcBorders>
              <w:top w:val="single" w:sz="8" w:color="auto"/>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810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gridSpan w:val="4"/>
          </w:tcPr>
          <w:p>
            <w:pPr>
              <w:spacing w:after="0"/>
              <w:rPr>
                <w:sz w:val="20"/>
                <w:szCs w:val="20"/>
                <w:color w:val="auto"/>
              </w:rPr>
            </w:pPr>
            <w:r>
              <w:rPr>
                <w:rFonts w:ascii="Arial" w:cs="Arial" w:eastAsia="Arial" w:hAnsi="Arial"/>
                <w:sz w:val="18"/>
                <w:szCs w:val="18"/>
                <w:color w:val="auto"/>
              </w:rPr>
              <w:t>LONG TERM LIABILITIES: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Accrued severance pay</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40" w:type="dxa"/>
            <w:vAlign w:val="bottom"/>
            <w:gridSpan w:val="4"/>
          </w:tcPr>
          <w:p>
            <w:pPr>
              <w:spacing w:after="0"/>
              <w:rPr>
                <w:sz w:val="20"/>
                <w:szCs w:val="20"/>
                <w:color w:val="auto"/>
              </w:rPr>
            </w:pPr>
            <w:r>
              <w:rPr>
                <w:rFonts w:ascii="Arial" w:cs="Arial" w:eastAsia="Arial" w:hAnsi="Arial"/>
                <w:sz w:val="18"/>
                <w:szCs w:val="18"/>
                <w:color w:val="auto"/>
              </w:rPr>
              <w:t>Payment obligation related to acquisition</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1,030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640" w:type="dxa"/>
            <w:vAlign w:val="bottom"/>
            <w:gridSpan w:val="4"/>
          </w:tcPr>
          <w:p>
            <w:pPr>
              <w:spacing w:after="0"/>
              <w:rPr>
                <w:sz w:val="20"/>
                <w:szCs w:val="20"/>
                <w:color w:val="auto"/>
              </w:rPr>
            </w:pPr>
            <w:r>
              <w:rPr>
                <w:rFonts w:ascii="Arial" w:cs="Arial" w:eastAsia="Arial" w:hAnsi="Arial"/>
                <w:sz w:val="18"/>
                <w:szCs w:val="18"/>
                <w:color w:val="auto"/>
              </w:rPr>
              <w:t>Total long-term liabilities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2,594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gridSpan w:val="4"/>
          </w:tcPr>
          <w:p>
            <w:pPr>
              <w:spacing w:after="0"/>
              <w:rPr>
                <w:sz w:val="20"/>
                <w:szCs w:val="20"/>
                <w:color w:val="auto"/>
              </w:rPr>
            </w:pPr>
            <w:r>
              <w:rPr>
                <w:rFonts w:ascii="Arial" w:cs="Arial" w:eastAsia="Arial" w:hAnsi="Arial"/>
                <w:sz w:val="18"/>
                <w:szCs w:val="18"/>
                <w:color w:val="auto"/>
              </w:rPr>
              <w:t>SHAREHOLDERS' EQUITY:</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gridSpan w:val="4"/>
            <w:shd w:val="clear" w:color="auto" w:fill="CCEEFF"/>
          </w:tcPr>
          <w:p>
            <w:pPr>
              <w:ind w:left="160"/>
              <w:spacing w:after="0" w:line="201" w:lineRule="exact"/>
              <w:rPr>
                <w:sz w:val="20"/>
                <w:szCs w:val="20"/>
                <w:color w:val="auto"/>
              </w:rPr>
            </w:pPr>
            <w:r>
              <w:rPr>
                <w:rFonts w:ascii="Arial" w:cs="Arial" w:eastAsia="Arial" w:hAnsi="Arial"/>
                <w:sz w:val="18"/>
                <w:szCs w:val="18"/>
                <w:color w:val="auto"/>
              </w:rPr>
              <w:t>Ordinary shares of NIS 0.01 par value –</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1"/>
              </w:rPr>
              <w:t>Authorized: 200,000,000 shares at December 31, 2015 and September 30, 2016 (Unaudited), respectively; Issued</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5"/>
              </w:rPr>
              <w:t>and Outstanding: 30,295,949 shares and 30,704,348 shares at December 31, 2015 and September 30, 2016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(Unaudited), respectively</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4"/>
          </w:tcPr>
          <w:p>
            <w:pPr>
              <w:ind w:left="160"/>
              <w:spacing w:after="0"/>
              <w:rPr>
                <w:sz w:val="20"/>
                <w:szCs w:val="20"/>
                <w:color w:val="auto"/>
              </w:rPr>
            </w:pPr>
            <w:r>
              <w:rPr>
                <w:rFonts w:ascii="Arial" w:cs="Arial" w:eastAsia="Arial" w:hAnsi="Arial"/>
                <w:sz w:val="18"/>
                <w:szCs w:val="18"/>
                <w:color w:val="auto"/>
              </w:rPr>
              <w:t>Accumulated other comprehensive income (loss)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Additional paid in capital</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91,714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89,071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40" w:type="dxa"/>
            <w:vAlign w:val="bottom"/>
            <w:gridSpan w:val="4"/>
          </w:tcPr>
          <w:p>
            <w:pPr>
              <w:ind w:left="16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11,406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40" w:type="dxa"/>
            <w:vAlign w:val="bottom"/>
            <w:gridSpan w:val="4"/>
          </w:tcPr>
          <w:p>
            <w:pPr>
              <w:ind w:left="160"/>
              <w:spacing w:after="0" w:line="156" w:lineRule="exact"/>
              <w:rPr>
                <w:sz w:val="20"/>
                <w:szCs w:val="20"/>
                <w:color w:val="auto"/>
              </w:rPr>
            </w:pPr>
            <w:r>
              <w:rPr>
                <w:rFonts w:ascii="Arial" w:cs="Arial" w:eastAsia="Arial" w:hAnsi="Arial"/>
                <w:sz w:val="18"/>
                <w:szCs w:val="18"/>
                <w:color w:val="auto"/>
              </w:rPr>
              <w:t>Total shareholders' equity</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00"/>
              <w:spacing w:after="0" w:line="156" w:lineRule="exact"/>
              <w:rPr>
                <w:sz w:val="20"/>
                <w:szCs w:val="20"/>
                <w:color w:val="auto"/>
              </w:rPr>
            </w:pPr>
            <w:r>
              <w:rPr>
                <w:rFonts w:ascii="Arial" w:cs="Arial" w:eastAsia="Arial" w:hAnsi="Arial"/>
                <w:sz w:val="18"/>
                <w:szCs w:val="18"/>
                <w:color w:val="auto"/>
              </w:rPr>
              <w:t>103,364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100"/>
              <w:spacing w:after="0" w:line="156" w:lineRule="exact"/>
              <w:rPr>
                <w:sz w:val="20"/>
                <w:szCs w:val="20"/>
                <w:color w:val="auto"/>
              </w:rPr>
            </w:pPr>
            <w:r>
              <w:rPr>
                <w:rFonts w:ascii="Arial" w:cs="Arial" w:eastAsia="Arial" w:hAnsi="Arial"/>
                <w:sz w:val="18"/>
                <w:szCs w:val="18"/>
                <w:color w:val="auto"/>
              </w:rPr>
              <w:t>100,262</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200" w:type="dxa"/>
            <w:vAlign w:val="bottom"/>
            <w:tcBorders>
              <w:top w:val="single" w:sz="8" w:color="auto"/>
              <w:bottom w:val="single" w:sz="8" w:color="CCEEFF"/>
            </w:tcBorders>
          </w:tcPr>
          <w:p>
            <w:pPr>
              <w:spacing w:after="0"/>
              <w:rPr>
                <w:sz w:val="3"/>
                <w:szCs w:val="3"/>
                <w:color w:val="auto"/>
              </w:rPr>
            </w:pPr>
          </w:p>
        </w:tc>
        <w:tc>
          <w:tcPr>
            <w:tcW w:w="180" w:type="dxa"/>
            <w:vAlign w:val="bottom"/>
            <w:tcBorders>
              <w:top w:val="single" w:sz="8" w:color="auto"/>
              <w:bottom w:val="single" w:sz="8" w:color="CCEEFF"/>
            </w:tcBorders>
          </w:tcPr>
          <w:p>
            <w:pPr>
              <w:spacing w:after="0"/>
              <w:rPr>
                <w:sz w:val="3"/>
                <w:szCs w:val="3"/>
                <w:color w:val="auto"/>
              </w:rPr>
            </w:pPr>
          </w:p>
        </w:tc>
        <w:tc>
          <w:tcPr>
            <w:tcW w:w="810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vMerge w:val="restart"/>
          </w:tcPr>
          <w:p>
            <w:pPr>
              <w:spacing w:after="0"/>
              <w:rPr>
                <w:sz w:val="15"/>
                <w:szCs w:val="15"/>
                <w:color w:val="auto"/>
              </w:rPr>
            </w:pPr>
          </w:p>
        </w:tc>
        <w:tc>
          <w:tcPr>
            <w:tcW w:w="380" w:type="dxa"/>
            <w:vAlign w:val="bottom"/>
            <w:tcBorders>
              <w:bottom w:val="single" w:sz="8" w:color="auto"/>
            </w:tcBorders>
            <w:gridSpan w:val="2"/>
          </w:tcPr>
          <w:p>
            <w:pPr>
              <w:spacing w:after="0" w:line="156" w:lineRule="exact"/>
              <w:rPr>
                <w:sz w:val="20"/>
                <w:szCs w:val="20"/>
                <w:color w:val="auto"/>
              </w:rPr>
            </w:pPr>
            <w:r>
              <w:rPr>
                <w:rFonts w:ascii="Arial" w:cs="Arial" w:eastAsia="Arial" w:hAnsi="Arial"/>
                <w:sz w:val="18"/>
                <w:szCs w:val="18"/>
                <w:color w:val="auto"/>
                <w:w w:val="89"/>
              </w:rPr>
              <w:t>Total</w:t>
            </w:r>
          </w:p>
        </w:tc>
        <w:tc>
          <w:tcPr>
            <w:tcW w:w="8100" w:type="dxa"/>
            <w:vAlign w:val="bottom"/>
            <w:vMerge w:val="restart"/>
          </w:tcPr>
          <w:p>
            <w:pPr>
              <w:jc w:val="right"/>
              <w:ind w:right="5510"/>
              <w:spacing w:after="0"/>
              <w:rPr>
                <w:sz w:val="20"/>
                <w:szCs w:val="20"/>
                <w:color w:val="auto"/>
              </w:rPr>
            </w:pPr>
            <w:r>
              <w:rPr>
                <w:rFonts w:ascii="Arial" w:cs="Arial" w:eastAsia="Arial" w:hAnsi="Arial"/>
                <w:sz w:val="18"/>
                <w:szCs w:val="18"/>
                <w:color w:val="auto"/>
                <w:w w:val="92"/>
              </w:rPr>
              <w:t>liabilities and shareholders' equity</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132,186</w:t>
            </w:r>
          </w:p>
        </w:tc>
        <w:tc>
          <w:tcPr>
            <w:tcW w:w="36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123,352</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380" w:type="dxa"/>
            <w:vAlign w:val="bottom"/>
            <w:gridSpan w:val="2"/>
          </w:tcPr>
          <w:p>
            <w:pPr>
              <w:spacing w:after="0"/>
              <w:rPr>
                <w:sz w:val="5"/>
                <w:szCs w:val="5"/>
                <w:color w:val="auto"/>
              </w:rPr>
            </w:pPr>
          </w:p>
        </w:tc>
        <w:tc>
          <w:tcPr>
            <w:tcW w:w="8100" w:type="dxa"/>
            <w:vAlign w:val="bottom"/>
            <w:vMerge w:val="continue"/>
          </w:tcPr>
          <w:p>
            <w:pPr>
              <w:spacing w:after="0"/>
              <w:rPr>
                <w:sz w:val="5"/>
                <w:szCs w:val="5"/>
                <w:color w:val="auto"/>
              </w:rPr>
            </w:pPr>
          </w:p>
        </w:tc>
        <w:tc>
          <w:tcPr>
            <w:tcW w:w="280" w:type="dxa"/>
            <w:vAlign w:val="bottom"/>
            <w:gridSpan w:val="2"/>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8660" w:type="dxa"/>
            <w:vAlign w:val="bottom"/>
            <w:gridSpan w:val="5"/>
            <w:vMerge w:val="restart"/>
          </w:tcPr>
          <w:p>
            <w:pPr>
              <w:spacing w:after="0"/>
              <w:rPr>
                <w:sz w:val="20"/>
                <w:szCs w:val="20"/>
                <w:color w:val="auto"/>
              </w:rPr>
            </w:pPr>
            <w:r>
              <w:rPr>
                <w:rFonts w:ascii="Arial" w:cs="Arial" w:eastAsia="Arial" w:hAnsi="Arial"/>
                <w:sz w:val="18"/>
                <w:szCs w:val="18"/>
                <w:color w:val="auto"/>
              </w:rPr>
              <w:t>The accompanying notes are an integral part of the unaudited interim consolidated financial statements.</w:t>
            </w: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60" w:type="dxa"/>
            <w:vAlign w:val="bottom"/>
            <w:gridSpan w:val="5"/>
            <w:vMerge w:val="continue"/>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8640" w:type="dxa"/>
            <w:vAlign w:val="bottom"/>
            <w:tcBorders>
              <w:bottom w:val="single" w:sz="8" w:color="auto"/>
            </w:tcBorders>
            <w:gridSpan w:val="4"/>
          </w:tcPr>
          <w:p>
            <w:pPr>
              <w:jc w:val="right"/>
              <w:ind w:right="2810"/>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7" w:name="page8"/>
    <w:bookmarkEnd w:id="7"/>
    <w:p>
      <w:pPr>
        <w:ind w:left="73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per share data</w:t>
      </w:r>
    </w:p>
    <w:p>
      <w:pPr>
        <w:spacing w:after="0" w:line="225"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Unaudited</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76,707</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60,907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40,924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32,377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77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35,783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77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tcPr>
          <w:p>
            <w:pPr>
              <w:ind w:left="160"/>
              <w:spacing w:after="0"/>
              <w:rPr>
                <w:sz w:val="20"/>
                <w:szCs w:val="20"/>
                <w:color w:val="auto"/>
              </w:rPr>
            </w:pPr>
            <w:r>
              <w:rPr>
                <w:rFonts w:ascii="Arial" w:cs="Arial" w:eastAsia="Arial" w:hAnsi="Arial"/>
                <w:sz w:val="18"/>
                <w:szCs w:val="18"/>
                <w:color w:val="auto"/>
              </w:rPr>
              <w:t>Research and development</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12,293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Selling and marketing</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13,585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9,175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20" w:type="dxa"/>
            <w:vAlign w:val="bottom"/>
            <w:gridSpan w:val="2"/>
          </w:tcPr>
          <w:p>
            <w:pPr>
              <w:ind w:left="160"/>
              <w:spacing w:after="0"/>
              <w:rPr>
                <w:sz w:val="20"/>
                <w:szCs w:val="20"/>
                <w:color w:val="auto"/>
              </w:rPr>
            </w:pPr>
            <w:r>
              <w:rPr>
                <w:rFonts w:ascii="Arial" w:cs="Arial" w:eastAsia="Arial" w:hAnsi="Arial"/>
                <w:sz w:val="18"/>
                <w:szCs w:val="18"/>
                <w:color w:val="auto"/>
              </w:rPr>
              <w:t>General and administrative</w:t>
            </w: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9,279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7,213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77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120" w:type="dxa"/>
            <w:vAlign w:val="bottom"/>
            <w:gridSpan w:val="2"/>
          </w:tcPr>
          <w:p>
            <w:pPr>
              <w:spacing w:after="0" w:line="156" w:lineRule="exact"/>
              <w:rPr>
                <w:sz w:val="20"/>
                <w:szCs w:val="20"/>
                <w:color w:val="auto"/>
              </w:rPr>
            </w:pPr>
            <w:r>
              <w:rPr>
                <w:rFonts w:ascii="Arial" w:cs="Arial" w:eastAsia="Arial" w:hAnsi="Arial"/>
                <w:sz w:val="18"/>
                <w:szCs w:val="18"/>
                <w:color w:val="auto"/>
              </w:rPr>
              <w:t>Total operating expenses</w:t>
            </w: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100"/>
              <w:spacing w:after="0" w:line="156" w:lineRule="exact"/>
              <w:rPr>
                <w:sz w:val="20"/>
                <w:szCs w:val="20"/>
                <w:color w:val="auto"/>
              </w:rPr>
            </w:pPr>
            <w:r>
              <w:rPr>
                <w:rFonts w:ascii="Arial" w:cs="Arial" w:eastAsia="Arial" w:hAnsi="Arial"/>
                <w:sz w:val="18"/>
                <w:szCs w:val="18"/>
                <w:color w:val="auto"/>
              </w:rPr>
              <w:t>35,157</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gridSpan w:val="2"/>
          </w:tcPr>
          <w:p>
            <w:pPr>
              <w:jc w:val="right"/>
              <w:ind w:right="100"/>
              <w:spacing w:after="0" w:line="156" w:lineRule="exact"/>
              <w:rPr>
                <w:sz w:val="20"/>
                <w:szCs w:val="20"/>
                <w:color w:val="auto"/>
              </w:rPr>
            </w:pPr>
            <w:r>
              <w:rPr>
                <w:rFonts w:ascii="Arial" w:cs="Arial" w:eastAsia="Arial" w:hAnsi="Arial"/>
                <w:sz w:val="18"/>
                <w:szCs w:val="18"/>
                <w:color w:val="auto"/>
              </w:rPr>
              <w:t>24,961</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60" w:type="dxa"/>
            <w:vAlign w:val="bottom"/>
            <w:tcBorders>
              <w:top w:val="single" w:sz="8" w:color="auto"/>
              <w:bottom w:val="single" w:sz="8" w:color="CCEEFF"/>
            </w:tcBorders>
          </w:tcPr>
          <w:p>
            <w:pPr>
              <w:spacing w:after="0"/>
              <w:rPr>
                <w:sz w:val="3"/>
                <w:szCs w:val="3"/>
                <w:color w:val="auto"/>
              </w:rPr>
            </w:pPr>
          </w:p>
        </w:tc>
        <w:tc>
          <w:tcPr>
            <w:tcW w:w="7760" w:type="dxa"/>
            <w:vAlign w:val="bottom"/>
            <w:tcBorders>
              <w:bottom w:val="single" w:sz="8" w:color="CCEEFF"/>
            </w:tcBorders>
          </w:tcPr>
          <w:p>
            <w:pPr>
              <w:spacing w:after="0"/>
              <w:rPr>
                <w:sz w:val="3"/>
                <w:szCs w:val="3"/>
                <w:color w:val="auto"/>
              </w:rPr>
            </w:pPr>
          </w:p>
        </w:tc>
        <w:tc>
          <w:tcPr>
            <w:tcW w:w="6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626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77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Finance income (expenses), net</w:t>
            </w: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77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Income before taxes on income</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3,399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Taxes on income</w:t>
            </w:r>
          </w:p>
        </w:tc>
        <w:tc>
          <w:tcPr>
            <w:tcW w:w="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7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7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net earnings per share</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7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net earnings per share</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7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
        </w:trPr>
        <w:tc>
          <w:tcPr>
            <w:tcW w:w="8140" w:type="dxa"/>
            <w:vAlign w:val="bottom"/>
            <w:gridSpan w:val="3"/>
            <w:vMerge w:val="restart"/>
          </w:tcPr>
          <w:p>
            <w:pPr>
              <w:spacing w:after="0"/>
              <w:rPr>
                <w:sz w:val="20"/>
                <w:szCs w:val="20"/>
                <w:color w:val="auto"/>
              </w:rPr>
            </w:pPr>
            <w:r>
              <w:rPr>
                <w:rFonts w:ascii="Arial" w:cs="Arial" w:eastAsia="Arial" w:hAnsi="Arial"/>
                <w:sz w:val="18"/>
                <w:szCs w:val="18"/>
                <w:color w:val="auto"/>
                <w:w w:val="98"/>
              </w:rPr>
              <w:t>The accompanying notes are an integral part of the unaudited interim consolidated financial statements.</w:t>
            </w: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140" w:type="dxa"/>
            <w:vAlign w:val="bottom"/>
            <w:gridSpan w:val="3"/>
            <w:vMerge w:val="continue"/>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8120" w:type="dxa"/>
            <w:vAlign w:val="bottom"/>
            <w:tcBorders>
              <w:bottom w:val="single" w:sz="8" w:color="auto"/>
            </w:tcBorders>
            <w:gridSpan w:val="2"/>
          </w:tcPr>
          <w:p>
            <w:pPr>
              <w:jc w:val="right"/>
              <w:ind w:right="2380"/>
              <w:spacing w:after="0"/>
              <w:rPr>
                <w:sz w:val="20"/>
                <w:szCs w:val="20"/>
                <w:color w:val="auto"/>
              </w:rPr>
            </w:pPr>
            <w:r>
              <w:rPr>
                <w:rFonts w:ascii="Arial" w:cs="Arial" w:eastAsia="Arial" w:hAnsi="Arial"/>
                <w:sz w:val="18"/>
                <w:szCs w:val="18"/>
                <w:color w:val="auto"/>
              </w:rPr>
              <w:t>4</w:t>
            </w: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8" w:name="page9"/>
    <w:bookmarkEnd w:id="8"/>
    <w:p>
      <w:pPr>
        <w:ind w:left="73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w:t>
      </w:r>
    </w:p>
    <w:p>
      <w:pPr>
        <w:spacing w:after="0" w:line="225"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6800" w:type="dxa"/>
            <w:vAlign w:val="bottom"/>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3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w w:val="93"/>
              </w:rPr>
              <w:t>Unaudited</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0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60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Available-for-sale marketable securities: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ind w:left="340"/>
              <w:spacing w:after="0"/>
              <w:rPr>
                <w:sz w:val="20"/>
                <w:szCs w:val="20"/>
                <w:color w:val="auto"/>
              </w:rPr>
            </w:pPr>
            <w:r>
              <w:rPr>
                <w:rFonts w:ascii="Arial" w:cs="Arial" w:eastAsia="Arial" w:hAnsi="Arial"/>
                <w:sz w:val="18"/>
                <w:szCs w:val="18"/>
                <w:color w:val="auto"/>
                <w:w w:val="91"/>
              </w:rPr>
              <w:t>Changes in unrealized</w:t>
            </w:r>
          </w:p>
        </w:tc>
        <w:tc>
          <w:tcPr>
            <w:tcW w:w="7600" w:type="dxa"/>
            <w:vAlign w:val="bottom"/>
            <w:gridSpan w:val="2"/>
          </w:tcPr>
          <w:p>
            <w:pPr>
              <w:jc w:val="right"/>
              <w:ind w:right="6570"/>
              <w:spacing w:after="0"/>
              <w:rPr>
                <w:sz w:val="20"/>
                <w:szCs w:val="20"/>
                <w:color w:val="auto"/>
              </w:rPr>
            </w:pPr>
            <w:r>
              <w:rPr>
                <w:rFonts w:ascii="Arial" w:cs="Arial" w:eastAsia="Arial" w:hAnsi="Arial"/>
                <w:sz w:val="18"/>
                <w:szCs w:val="18"/>
                <w:color w:val="auto"/>
                <w:w w:val="90"/>
              </w:rPr>
              <w:t>gain (losses)</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340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6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Reclassification adjustments for gain included in net income</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680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change</w:t>
            </w:r>
          </w:p>
        </w:tc>
        <w:tc>
          <w:tcPr>
            <w:tcW w:w="68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338</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680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Cash flow hedges:</w:t>
            </w:r>
          </w:p>
        </w:tc>
        <w:tc>
          <w:tcPr>
            <w:tcW w:w="6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3"/>
          </w:tcPr>
          <w:p>
            <w:pPr>
              <w:ind w:left="340"/>
              <w:spacing w:after="0"/>
              <w:rPr>
                <w:sz w:val="20"/>
                <w:szCs w:val="20"/>
                <w:color w:val="auto"/>
              </w:rPr>
            </w:pPr>
            <w:r>
              <w:rPr>
                <w:rFonts w:ascii="Arial" w:cs="Arial" w:eastAsia="Arial" w:hAnsi="Arial"/>
                <w:sz w:val="18"/>
                <w:szCs w:val="18"/>
                <w:color w:val="auto"/>
              </w:rPr>
              <w:t>Changes in unrealized gain</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152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6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Reclassification adjustments for loss included in net income</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680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change</w:t>
            </w:r>
          </w:p>
        </w:tc>
        <w:tc>
          <w:tcPr>
            <w:tcW w:w="68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680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6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680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9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change in accumulated comprehensive income (loss)</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450</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680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760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458</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Borders>
              <w:top w:val="single" w:sz="8" w:color="CCEEFF"/>
            </w:tcBorders>
            <w:gridSpan w:val="2"/>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9620" w:type="dxa"/>
            <w:vAlign w:val="bottom"/>
            <w:gridSpan w:val="4"/>
          </w:tcPr>
          <w:p>
            <w:pPr>
              <w:spacing w:after="0"/>
              <w:rPr>
                <w:sz w:val="20"/>
                <w:szCs w:val="20"/>
                <w:color w:val="auto"/>
              </w:rPr>
            </w:pPr>
            <w:r>
              <w:rPr>
                <w:rFonts w:ascii="Arial" w:cs="Arial" w:eastAsia="Arial" w:hAnsi="Arial"/>
                <w:sz w:val="18"/>
                <w:szCs w:val="18"/>
                <w:color w:val="auto"/>
              </w:rPr>
              <w:t>The accompanying notes are an integral part of the unaudited interim financial statements</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jc w:val="right"/>
              <w:ind w:right="2970"/>
              <w:spacing w:after="0"/>
              <w:rPr>
                <w:sz w:val="20"/>
                <w:szCs w:val="20"/>
                <w:color w:val="auto"/>
              </w:rPr>
            </w:pPr>
            <w:r>
              <w:rPr>
                <w:rFonts w:ascii="Arial" w:cs="Arial" w:eastAsia="Arial" w:hAnsi="Arial"/>
                <w:sz w:val="18"/>
                <w:szCs w:val="18"/>
                <w:color w:val="auto"/>
              </w:rPr>
              <w:t>5</w:t>
            </w: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9" w:name="page10"/>
    <w:bookmarkEnd w:id="9"/>
    <w:p>
      <w:pPr>
        <w:ind w:left="73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CHANGES IN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34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b w:val="1"/>
                <w:bCs w:val="1"/>
                <w:color w:val="auto"/>
              </w:rPr>
              <w:t>Ordinary shares</w:t>
            </w:r>
          </w:p>
        </w:tc>
        <w:tc>
          <w:tcPr>
            <w:tcW w:w="2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Accumulated</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400" w:type="dxa"/>
            <w:vAlign w:val="bottom"/>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91"/>
              </w:rPr>
              <w:t>Number of</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100"/>
              <w:spacing w:after="0" w:line="198" w:lineRule="exact"/>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17"/>
                <w:szCs w:val="17"/>
                <w:color w:val="auto"/>
              </w:rPr>
            </w:pPr>
          </w:p>
        </w:tc>
        <w:tc>
          <w:tcPr>
            <w:tcW w:w="134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88"/>
              </w:rPr>
              <w:t>other</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120"/>
              <w:spacing w:after="0" w:line="198" w:lineRule="exact"/>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shares</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paid in</w:t>
            </w:r>
          </w:p>
        </w:tc>
        <w:tc>
          <w:tcPr>
            <w:tcW w:w="14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6"/>
              </w:rPr>
              <w:t>comprehensive</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Retained</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Shareholders'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outstanding</w:t>
            </w:r>
          </w:p>
        </w:tc>
        <w:tc>
          <w:tcPr>
            <w:tcW w:w="940" w:type="dxa"/>
            <w:vAlign w:val="bottom"/>
          </w:tcPr>
          <w:p>
            <w:pPr>
              <w:ind w:left="260"/>
              <w:spacing w:after="0"/>
              <w:rPr>
                <w:sz w:val="20"/>
                <w:szCs w:val="20"/>
                <w:color w:val="auto"/>
              </w:rPr>
            </w:pPr>
            <w:r>
              <w:rPr>
                <w:rFonts w:ascii="Arial" w:cs="Arial" w:eastAsia="Arial" w:hAnsi="Arial"/>
                <w:sz w:val="18"/>
                <w:szCs w:val="18"/>
                <w:b w:val="1"/>
                <w:bCs w:val="1"/>
                <w:color w:val="auto"/>
                <w:w w:val="97"/>
              </w:rPr>
              <w:t>Amount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capital</w:t>
            </w:r>
          </w:p>
        </w:tc>
        <w:tc>
          <w:tcPr>
            <w:tcW w:w="12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income</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earnings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equity</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2016</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30,295,949</w:t>
            </w:r>
          </w:p>
        </w:tc>
        <w:tc>
          <w:tcPr>
            <w:tcW w:w="9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76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89,071</w:t>
            </w:r>
          </w:p>
        </w:tc>
        <w:tc>
          <w:tcPr>
            <w:tcW w:w="14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(283)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11,398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Exercise of options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408,399</w:t>
            </w:r>
          </w:p>
        </w:tc>
        <w:tc>
          <w:tcPr>
            <w:tcW w:w="9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2,080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450</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Net income</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3320" w:type="dxa"/>
            <w:vAlign w:val="bottom"/>
          </w:tcPr>
          <w:p>
            <w:pPr>
              <w:spacing w:after="0"/>
              <w:rPr>
                <w:sz w:val="20"/>
                <w:szCs w:val="20"/>
                <w:color w:val="auto"/>
              </w:rPr>
            </w:pPr>
            <w:r>
              <w:rPr>
                <w:rFonts w:ascii="Arial" w:cs="Arial" w:eastAsia="Arial" w:hAnsi="Arial"/>
                <w:sz w:val="18"/>
                <w:szCs w:val="18"/>
                <w:color w:val="auto"/>
                <w:w w:val="93"/>
              </w:rPr>
              <w:t>Balance at September 30, 2016 (Unaudited)</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30,704,348</w:t>
            </w:r>
          </w:p>
        </w:tc>
        <w:tc>
          <w:tcPr>
            <w:tcW w:w="940" w:type="dxa"/>
            <w:vAlign w:val="bottom"/>
          </w:tcPr>
          <w:p>
            <w:pPr>
              <w:spacing w:after="0"/>
              <w:rPr>
                <w:sz w:val="22"/>
                <w:szCs w:val="22"/>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77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91,714</w:t>
            </w:r>
          </w:p>
        </w:tc>
        <w:tc>
          <w:tcPr>
            <w:tcW w:w="1460" w:type="dxa"/>
            <w:vAlign w:val="bottom"/>
            <w:gridSpan w:val="3"/>
          </w:tcPr>
          <w:p>
            <w:pPr>
              <w:jc w:val="right"/>
              <w:ind w:right="200"/>
              <w:spacing w:after="0"/>
              <w:rPr>
                <w:sz w:val="20"/>
                <w:szCs w:val="20"/>
                <w:color w:val="auto"/>
              </w:rPr>
            </w:pPr>
            <w:r>
              <w:rPr>
                <w:rFonts w:ascii="Arial" w:cs="Arial" w:eastAsia="Arial" w:hAnsi="Arial"/>
                <w:sz w:val="18"/>
                <w:szCs w:val="18"/>
                <w:color w:val="auto"/>
              </w:rPr>
              <w:t>167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11,406</w:t>
            </w:r>
          </w:p>
        </w:tc>
        <w:tc>
          <w:tcPr>
            <w:tcW w:w="1140" w:type="dxa"/>
            <w:vAlign w:val="bottom"/>
          </w:tcPr>
          <w:p>
            <w:pPr>
              <w:jc w:val="right"/>
              <w:spacing w:after="0"/>
              <w:rPr>
                <w:sz w:val="20"/>
                <w:szCs w:val="20"/>
                <w:color w:val="auto"/>
              </w:rPr>
            </w:pPr>
            <w:r>
              <w:rPr>
                <w:rFonts w:ascii="Arial" w:cs="Arial" w:eastAsia="Arial" w:hAnsi="Arial"/>
                <w:sz w:val="18"/>
                <w:szCs w:val="18"/>
                <w:color w:val="auto"/>
              </w:rPr>
              <w:t>103,364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unaudited interim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ind w:left="73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w:t>
      </w:r>
    </w:p>
    <w:p>
      <w:pPr>
        <w:spacing w:after="0" w:line="225"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Unaudited</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140" w:type="dxa"/>
            <w:vAlign w:val="bottom"/>
            <w:gridSpan w:val="5"/>
          </w:tcPr>
          <w:p>
            <w:pPr>
              <w:spacing w:after="0" w:line="202" w:lineRule="exact"/>
              <w:rPr>
                <w:sz w:val="20"/>
                <w:szCs w:val="20"/>
                <w:color w:val="auto"/>
              </w:rPr>
            </w:pPr>
            <w:r>
              <w:rPr>
                <w:rFonts w:ascii="Arial" w:cs="Arial" w:eastAsia="Arial" w:hAnsi="Arial"/>
                <w:sz w:val="18"/>
                <w:szCs w:val="18"/>
                <w:color w:val="auto"/>
              </w:rPr>
              <w:t>Cash flows used in operating activities:</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82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4"/>
          </w:tcPr>
          <w:p>
            <w:pPr>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4"/>
          </w:tcPr>
          <w:p>
            <w:pPr>
              <w:spacing w:after="0"/>
              <w:rPr>
                <w:sz w:val="20"/>
                <w:szCs w:val="20"/>
                <w:color w:val="auto"/>
              </w:rPr>
            </w:pPr>
            <w:r>
              <w:rPr>
                <w:rFonts w:ascii="Arial" w:cs="Arial" w:eastAsia="Arial" w:hAnsi="Arial"/>
                <w:sz w:val="18"/>
                <w:szCs w:val="18"/>
                <w:color w:val="auto"/>
              </w:rPr>
              <w:t>Share based compensation</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2,080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Amortization of premium and accretion of discount on available for sale marketable securities</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4"/>
          </w:tcPr>
          <w:p>
            <w:pPr>
              <w:spacing w:after="0"/>
              <w:rPr>
                <w:sz w:val="20"/>
                <w:szCs w:val="20"/>
                <w:color w:val="auto"/>
              </w:rPr>
            </w:pPr>
            <w:r>
              <w:rPr>
                <w:rFonts w:ascii="Arial" w:cs="Arial" w:eastAsia="Arial" w:hAnsi="Arial"/>
                <w:sz w:val="18"/>
                <w:szCs w:val="18"/>
                <w:color w:val="auto"/>
              </w:rPr>
              <w:t>Accretion of payment obligation</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Increase in trade receivables</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(6,772)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4"/>
          </w:tcPr>
          <w:p>
            <w:pPr>
              <w:spacing w:after="0"/>
              <w:rPr>
                <w:sz w:val="20"/>
                <w:szCs w:val="20"/>
                <w:color w:val="auto"/>
              </w:rPr>
            </w:pPr>
            <w:r>
              <w:rPr>
                <w:rFonts w:ascii="Arial" w:cs="Arial" w:eastAsia="Arial" w:hAnsi="Arial"/>
                <w:sz w:val="18"/>
                <w:szCs w:val="18"/>
                <w:color w:val="auto"/>
              </w:rPr>
              <w:t>Increase in other receivables and prepaid expenses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(529)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Increase in inventories</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(4,697)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4"/>
          </w:tcPr>
          <w:p>
            <w:pPr>
              <w:spacing w:after="0"/>
              <w:rPr>
                <w:sz w:val="20"/>
                <w:szCs w:val="20"/>
                <w:color w:val="auto"/>
              </w:rPr>
            </w:pPr>
            <w:r>
              <w:rPr>
                <w:rFonts w:ascii="Arial" w:cs="Arial" w:eastAsia="Arial" w:hAnsi="Arial"/>
                <w:sz w:val="18"/>
                <w:szCs w:val="18"/>
                <w:color w:val="auto"/>
              </w:rPr>
              <w:t>Increase in deferred taxes, net</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(368)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Increase in other assets</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4"/>
          </w:tcPr>
          <w:p>
            <w:pPr>
              <w:spacing w:after="0"/>
              <w:rPr>
                <w:sz w:val="20"/>
                <w:szCs w:val="20"/>
                <w:color w:val="auto"/>
              </w:rPr>
            </w:pPr>
            <w:r>
              <w:rPr>
                <w:rFonts w:ascii="Arial" w:cs="Arial" w:eastAsia="Arial" w:hAnsi="Arial"/>
                <w:sz w:val="18"/>
                <w:szCs w:val="18"/>
                <w:color w:val="auto"/>
              </w:rPr>
              <w:t>Increase in trade payables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1,449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Increase in employees and payroll accruals</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4"/>
          </w:tcPr>
          <w:p>
            <w:pPr>
              <w:spacing w:after="0"/>
              <w:rPr>
                <w:sz w:val="20"/>
                <w:szCs w:val="20"/>
                <w:color w:val="auto"/>
              </w:rPr>
            </w:pPr>
            <w:r>
              <w:rPr>
                <w:rFonts w:ascii="Arial" w:cs="Arial" w:eastAsia="Arial" w:hAnsi="Arial"/>
                <w:sz w:val="18"/>
                <w:szCs w:val="18"/>
                <w:color w:val="auto"/>
              </w:rPr>
              <w:t>Increase (decrease) in deferred revenues and advances from customers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298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Increase in other payables and accrued expenses</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2,061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4"/>
          </w:tcPr>
          <w:p>
            <w:pPr>
              <w:spacing w:after="0"/>
              <w:rPr>
                <w:sz w:val="20"/>
                <w:szCs w:val="20"/>
                <w:color w:val="auto"/>
              </w:rPr>
            </w:pPr>
            <w:r>
              <w:rPr>
                <w:rFonts w:ascii="Arial" w:cs="Arial" w:eastAsia="Arial" w:hAnsi="Arial"/>
                <w:sz w:val="18"/>
                <w:szCs w:val="18"/>
                <w:color w:val="auto"/>
              </w:rPr>
              <w:t>loss from sale of property and equipment</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Foreign currency translation gain (loss) on inter company balances with foreign subsidiaries</w:t>
            </w:r>
          </w:p>
        </w:tc>
        <w:tc>
          <w:tcPr>
            <w:tcW w:w="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42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(4,324)</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42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12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Cash flows provided by (used in) investing activities:</w:t>
            </w: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2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(4,487)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4"/>
          </w:tcPr>
          <w:p>
            <w:pPr>
              <w:spacing w:after="0"/>
              <w:rPr>
                <w:sz w:val="20"/>
                <w:szCs w:val="20"/>
                <w:color w:val="auto"/>
              </w:rPr>
            </w:pPr>
            <w:r>
              <w:rPr>
                <w:rFonts w:ascii="Arial" w:cs="Arial" w:eastAsia="Arial" w:hAnsi="Arial"/>
                <w:sz w:val="18"/>
                <w:szCs w:val="18"/>
                <w:color w:val="auto"/>
              </w:rPr>
              <w:t>Cash paid in connection with acquisition</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(9,206)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Proceeds from bank deposits, net</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22,000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4"/>
          </w:tcPr>
          <w:p>
            <w:pPr>
              <w:spacing w:after="0"/>
              <w:rPr>
                <w:sz w:val="20"/>
                <w:szCs w:val="20"/>
                <w:color w:val="auto"/>
              </w:rPr>
            </w:pPr>
            <w:r>
              <w:rPr>
                <w:rFonts w:ascii="Arial" w:cs="Arial" w:eastAsia="Arial" w:hAnsi="Arial"/>
                <w:sz w:val="18"/>
                <w:szCs w:val="18"/>
                <w:color w:val="auto"/>
              </w:rPr>
              <w:t>Proceeds from maturity of marketable securities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3,500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Proceeds from sale of marketable securities</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20" w:type="dxa"/>
            <w:vAlign w:val="bottom"/>
            <w:gridSpan w:val="4"/>
          </w:tcPr>
          <w:p>
            <w:pPr>
              <w:spacing w:after="0"/>
              <w:rPr>
                <w:sz w:val="20"/>
                <w:szCs w:val="20"/>
                <w:color w:val="auto"/>
              </w:rPr>
            </w:pPr>
            <w:r>
              <w:rPr>
                <w:rFonts w:ascii="Arial" w:cs="Arial" w:eastAsia="Arial" w:hAnsi="Arial"/>
                <w:sz w:val="18"/>
                <w:szCs w:val="18"/>
                <w:color w:val="auto"/>
              </w:rPr>
              <w:t>Purchase of marketable securities</w:t>
            </w: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(9,564)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(27,428)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4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120" w:type="dxa"/>
            <w:vAlign w:val="bottom"/>
            <w:gridSpan w:val="4"/>
          </w:tcPr>
          <w:p>
            <w:pPr>
              <w:spacing w:after="0"/>
              <w:rPr>
                <w:sz w:val="20"/>
                <w:szCs w:val="20"/>
                <w:color w:val="auto"/>
              </w:rPr>
            </w:pPr>
            <w:r>
              <w:rPr>
                <w:rFonts w:ascii="Arial" w:cs="Arial" w:eastAsia="Arial" w:hAnsi="Arial"/>
                <w:sz w:val="18"/>
                <w:szCs w:val="18"/>
                <w:color w:val="auto"/>
              </w:rPr>
              <w:t>Net cash provided by (used in) investing activities</w:t>
            </w: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3,766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(38,972)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4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120" w:type="dxa"/>
            <w:vAlign w:val="bottom"/>
            <w:gridSpan w:val="4"/>
          </w:tcPr>
          <w:p>
            <w:pPr>
              <w:spacing w:after="0" w:line="176" w:lineRule="exact"/>
              <w:rPr>
                <w:sz w:val="20"/>
                <w:szCs w:val="20"/>
                <w:color w:val="auto"/>
              </w:rPr>
            </w:pPr>
            <w:r>
              <w:rPr>
                <w:rFonts w:ascii="Arial" w:cs="Arial" w:eastAsia="Arial" w:hAnsi="Arial"/>
                <w:sz w:val="18"/>
                <w:szCs w:val="18"/>
                <w:color w:val="auto"/>
              </w:rPr>
              <w:t>Cash flows provided by financing activities:</w:t>
            </w: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8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Proceeds from initial public offering, net</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74,180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20" w:type="dxa"/>
            <w:vAlign w:val="bottom"/>
            <w:gridSpan w:val="4"/>
          </w:tcPr>
          <w:p>
            <w:pPr>
              <w:spacing w:after="0"/>
              <w:rPr>
                <w:sz w:val="20"/>
                <w:szCs w:val="20"/>
                <w:color w:val="auto"/>
              </w:rPr>
            </w:pPr>
            <w:r>
              <w:rPr>
                <w:rFonts w:ascii="Arial" w:cs="Arial" w:eastAsia="Arial" w:hAnsi="Arial"/>
                <w:sz w:val="18"/>
                <w:szCs w:val="18"/>
                <w:color w:val="auto"/>
              </w:rPr>
              <w:t>Exercise of employee stock options</w:t>
            </w: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564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4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120" w:type="dxa"/>
            <w:vAlign w:val="bottom"/>
            <w:gridSpan w:val="4"/>
          </w:tcPr>
          <w:p>
            <w:pPr>
              <w:spacing w:after="0"/>
              <w:rPr>
                <w:sz w:val="20"/>
                <w:szCs w:val="20"/>
                <w:color w:val="auto"/>
              </w:rPr>
            </w:pPr>
            <w:r>
              <w:rPr>
                <w:rFonts w:ascii="Arial" w:cs="Arial" w:eastAsia="Arial" w:hAnsi="Arial"/>
                <w:sz w:val="18"/>
                <w:szCs w:val="18"/>
                <w:color w:val="auto"/>
              </w:rPr>
              <w:t>Net cash provided by financing activities</w:t>
            </w: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564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74,240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4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120" w:type="dxa"/>
            <w:vAlign w:val="bottom"/>
            <w:gridSpan w:val="4"/>
          </w:tcPr>
          <w:p>
            <w:pPr>
              <w:spacing w:after="0"/>
              <w:rPr>
                <w:sz w:val="20"/>
                <w:szCs w:val="20"/>
                <w:color w:val="auto"/>
              </w:rPr>
            </w:pPr>
            <w:r>
              <w:rPr>
                <w:rFonts w:ascii="Arial" w:cs="Arial" w:eastAsia="Arial" w:hAnsi="Arial"/>
                <w:sz w:val="18"/>
                <w:szCs w:val="18"/>
                <w:color w:val="auto"/>
              </w:rPr>
              <w:t>Foreign currency translation adjustments on cash and cash equivalents</w:t>
            </w: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4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gridSpan w:val="4"/>
          </w:tcPr>
          <w:p>
            <w:pPr>
              <w:spacing w:after="0"/>
              <w:rPr>
                <w:sz w:val="20"/>
                <w:szCs w:val="20"/>
                <w:color w:val="auto"/>
              </w:rPr>
            </w:pPr>
            <w:r>
              <w:rPr>
                <w:rFonts w:ascii="Arial" w:cs="Arial" w:eastAsia="Arial" w:hAnsi="Arial"/>
                <w:sz w:val="18"/>
                <w:szCs w:val="18"/>
                <w:color w:val="auto"/>
              </w:rPr>
              <w:t>Increase in cash and cash equivalents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32,384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18,464</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42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and cash equivalents at the end of the period</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18,477</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2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
        </w:trPr>
        <w:tc>
          <w:tcPr>
            <w:tcW w:w="8140" w:type="dxa"/>
            <w:vAlign w:val="bottom"/>
            <w:gridSpan w:val="5"/>
            <w:vMerge w:val="restart"/>
          </w:tcPr>
          <w:p>
            <w:pPr>
              <w:spacing w:after="0"/>
              <w:rPr>
                <w:sz w:val="20"/>
                <w:szCs w:val="20"/>
                <w:color w:val="auto"/>
              </w:rPr>
            </w:pPr>
            <w:r>
              <w:rPr>
                <w:rFonts w:ascii="Arial" w:cs="Arial" w:eastAsia="Arial" w:hAnsi="Arial"/>
                <w:sz w:val="18"/>
                <w:szCs w:val="18"/>
                <w:color w:val="auto"/>
                <w:w w:val="98"/>
              </w:rPr>
              <w:t>The accompanying notes are an integral part of the unaudited interim consolidated financial statements.</w:t>
            </w: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140" w:type="dxa"/>
            <w:vAlign w:val="bottom"/>
            <w:gridSpan w:val="5"/>
            <w:vMerge w:val="continue"/>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8120" w:type="dxa"/>
            <w:vAlign w:val="bottom"/>
            <w:tcBorders>
              <w:bottom w:val="single" w:sz="8" w:color="auto"/>
            </w:tcBorders>
            <w:gridSpan w:val="4"/>
          </w:tcPr>
          <w:p>
            <w:pPr>
              <w:jc w:val="right"/>
              <w:ind w:right="2380"/>
              <w:spacing w:after="0"/>
              <w:rPr>
                <w:sz w:val="20"/>
                <w:szCs w:val="20"/>
                <w:color w:val="auto"/>
              </w:rPr>
            </w:pPr>
            <w:r>
              <w:rPr>
                <w:rFonts w:ascii="Arial" w:cs="Arial" w:eastAsia="Arial" w:hAnsi="Arial"/>
                <w:sz w:val="18"/>
                <w:szCs w:val="18"/>
                <w:color w:val="auto"/>
              </w:rPr>
              <w:t>7</w:t>
            </w: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1" w:name="page12"/>
    <w:bookmarkEnd w:id="11"/>
    <w:p>
      <w:pPr>
        <w:ind w:left="73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w:t>
      </w:r>
    </w:p>
    <w:p>
      <w:pPr>
        <w:spacing w:after="0" w:line="225"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51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Unaudited</w:t>
            </w:r>
          </w:p>
        </w:tc>
        <w:tc>
          <w:tcPr>
            <w:tcW w:w="8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2"/>
        </w:trPr>
        <w:tc>
          <w:tcPr>
            <w:tcW w:w="6980" w:type="dxa"/>
            <w:vAlign w:val="bottom"/>
            <w:gridSpan w:val="3"/>
          </w:tcPr>
          <w:p>
            <w:pPr>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1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120" w:type="dxa"/>
            <w:vAlign w:val="bottom"/>
            <w:tcBorders>
              <w:top w:val="single" w:sz="8" w:color="auto"/>
            </w:tcBorders>
          </w:tcPr>
          <w:p>
            <w:pPr>
              <w:spacing w:after="0"/>
              <w:rPr>
                <w:sz w:val="20"/>
                <w:szCs w:val="20"/>
                <w:color w:val="auto"/>
              </w:rPr>
            </w:pPr>
          </w:p>
        </w:tc>
        <w:tc>
          <w:tcPr>
            <w:tcW w:w="18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property and equipment on credit</w:t>
            </w:r>
          </w:p>
        </w:tc>
        <w:tc>
          <w:tcPr>
            <w:tcW w:w="20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w:t>
            </w:r>
          </w:p>
        </w:tc>
        <w:tc>
          <w:tcPr>
            <w:tcW w:w="340" w:type="dxa"/>
            <w:vAlign w:val="bottom"/>
            <w:gridSpan w:val="2"/>
            <w:shd w:val="clear" w:color="auto" w:fill="CCEEFF"/>
          </w:tcPr>
          <w:p>
            <w:pPr>
              <w:jc w:val="right"/>
              <w:ind w:right="21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Inventory transferred to be used as property and equipment</w:t>
            </w:r>
          </w:p>
        </w:tc>
        <w:tc>
          <w:tcPr>
            <w:tcW w:w="20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1,090</w:t>
            </w:r>
          </w:p>
        </w:tc>
        <w:tc>
          <w:tcPr>
            <w:tcW w:w="340" w:type="dxa"/>
            <w:vAlign w:val="bottom"/>
            <w:gridSpan w:val="2"/>
            <w:shd w:val="clear" w:color="auto" w:fill="CCEEFF"/>
          </w:tcPr>
          <w:p>
            <w:pPr>
              <w:jc w:val="right"/>
              <w:ind w:right="21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592</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Property and equipment transferred to be used as inventory</w:t>
            </w:r>
          </w:p>
        </w:tc>
        <w:tc>
          <w:tcPr>
            <w:tcW w:w="1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gridSpan w:val="2"/>
            <w:vMerge w:val="continue"/>
          </w:tcPr>
          <w:p>
            <w:pPr>
              <w:spacing w:after="0"/>
              <w:rPr>
                <w:sz w:val="19"/>
                <w:szCs w:val="19"/>
                <w:color w:val="auto"/>
              </w:rPr>
            </w:pPr>
          </w:p>
        </w:tc>
        <w:tc>
          <w:tcPr>
            <w:tcW w:w="184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unaudited interim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p>
      <w:pPr>
        <w:ind w:left="73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185" w:lineRule="exact"/>
        <w:rPr>
          <w:sz w:val="20"/>
          <w:szCs w:val="20"/>
          <w:color w:val="auto"/>
        </w:rPr>
      </w:pPr>
    </w:p>
    <w:p>
      <w:pPr>
        <w:ind w:right="4700"/>
        <w:spacing w:after="0" w:line="313" w:lineRule="auto"/>
        <w:rPr>
          <w:sz w:val="20"/>
          <w:szCs w:val="20"/>
          <w:color w:val="auto"/>
        </w:rPr>
      </w:pPr>
      <w:r>
        <w:rPr>
          <w:rFonts w:ascii="Arial" w:cs="Arial" w:eastAsia="Arial" w:hAnsi="Arial"/>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1:-GENERAL</w:t>
      </w:r>
    </w:p>
    <w:p>
      <w:pPr>
        <w:spacing w:after="0" w:line="337" w:lineRule="exact"/>
        <w:rPr>
          <w:sz w:val="20"/>
          <w:szCs w:val="20"/>
          <w:color w:val="auto"/>
        </w:rPr>
      </w:pPr>
    </w:p>
    <w:p>
      <w:pPr>
        <w:jc w:val="both"/>
        <w:ind w:left="1300" w:hanging="522"/>
        <w:spacing w:after="0" w:line="312" w:lineRule="auto"/>
        <w:tabs>
          <w:tab w:leader="none" w:pos="1300" w:val="left"/>
        </w:tabs>
        <w:numPr>
          <w:ilvl w:val="0"/>
          <w:numId w:val="1"/>
        </w:numPr>
        <w:rPr>
          <w:rFonts w:ascii="Arial" w:cs="Arial" w:eastAsia="Arial" w:hAnsi="Arial"/>
          <w:sz w:val="16"/>
          <w:szCs w:val="16"/>
          <w:color w:val="auto"/>
        </w:rPr>
      </w:pPr>
      <w:r>
        <w:rPr>
          <w:rFonts w:ascii="Arial" w:cs="Arial" w:eastAsia="Arial" w:hAnsi="Arial"/>
          <w:sz w:val="16"/>
          <w:szCs w:val="16"/>
          <w:color w:val="auto"/>
        </w:rPr>
        <w:t>Kornit Digital Ltd. (the “Company”) was incorporated in 2002 under the laws of the State of Israel. The Company and its subsidiaries develop, design and market digital printing solutions for the global printed textile industry. The Company’s and its subsidiaries’ solutions are based on their proprietary digital textile printing systems, ink and other consumables, associated software and value added services.</w:t>
      </w:r>
    </w:p>
    <w:p>
      <w:pPr>
        <w:spacing w:after="0" w:line="146" w:lineRule="exact"/>
        <w:rPr>
          <w:rFonts w:ascii="Arial" w:cs="Arial" w:eastAsia="Arial" w:hAnsi="Arial"/>
          <w:sz w:val="16"/>
          <w:szCs w:val="16"/>
          <w:color w:val="auto"/>
        </w:rPr>
      </w:pPr>
    </w:p>
    <w:p>
      <w:pPr>
        <w:jc w:val="both"/>
        <w:ind w:left="1300" w:hanging="522"/>
        <w:spacing w:after="0" w:line="264"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has established wholly-owned subsidiaries in Israel, the United States, Germany and Hong Kong. The Company's subsidiaries are engaged primarily in sales, and marketing, except for the Israeli subsidiary which is engaged primarily in research and development and manufacturing.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229" w:lineRule="exact"/>
        <w:rPr>
          <w:sz w:val="20"/>
          <w:szCs w:val="20"/>
          <w:color w:val="auto"/>
        </w:rPr>
      </w:pPr>
    </w:p>
    <w:p>
      <w:pPr>
        <w:ind w:left="1300" w:hanging="522"/>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Unaudited interim consolidated financial statements:</w:t>
      </w:r>
    </w:p>
    <w:p>
      <w:pPr>
        <w:spacing w:after="0" w:line="225" w:lineRule="exact"/>
        <w:rPr>
          <w:rFonts w:ascii="Arial" w:cs="Arial" w:eastAsia="Arial" w:hAnsi="Arial"/>
          <w:sz w:val="18"/>
          <w:szCs w:val="18"/>
          <w:color w:val="auto"/>
        </w:rPr>
      </w:pPr>
    </w:p>
    <w:p>
      <w:pPr>
        <w:jc w:val="both"/>
        <w:ind w:left="1300"/>
        <w:spacing w:after="0" w:line="259" w:lineRule="auto"/>
        <w:rPr>
          <w:rFonts w:ascii="Arial" w:cs="Arial" w:eastAsia="Arial" w:hAnsi="Arial"/>
          <w:sz w:val="18"/>
          <w:szCs w:val="18"/>
          <w:color w:val="auto"/>
        </w:rPr>
      </w:pPr>
      <w:r>
        <w:rPr>
          <w:rFonts w:ascii="Arial" w:cs="Arial" w:eastAsia="Arial" w:hAnsi="Arial"/>
          <w:sz w:val="18"/>
          <w:szCs w:val="18"/>
          <w:color w:val="auto"/>
        </w:rPr>
        <w:t>The accompanying unaudited interim consolidated financial statements have been prepared in accordance with U.S. generally accepted accounting principles ("U.S. GAAP") for interim financial information. In the opinion of management, the unaudited interim consolidated financial statements include all adjustments of a normal recurring nature necessary for a fair presentation of the Company's consolidated financial statements.</w:t>
      </w:r>
    </w:p>
    <w:p>
      <w:pPr>
        <w:spacing w:after="0" w:line="186" w:lineRule="exact"/>
        <w:rPr>
          <w:rFonts w:ascii="Arial" w:cs="Arial" w:eastAsia="Arial" w:hAnsi="Arial"/>
          <w:sz w:val="18"/>
          <w:szCs w:val="18"/>
          <w:color w:val="auto"/>
        </w:rPr>
      </w:pPr>
    </w:p>
    <w:p>
      <w:pPr>
        <w:ind w:left="1300" w:right="20"/>
        <w:spacing w:after="0" w:line="308" w:lineRule="auto"/>
        <w:rPr>
          <w:rFonts w:ascii="Arial" w:cs="Arial" w:eastAsia="Arial" w:hAnsi="Arial"/>
          <w:sz w:val="18"/>
          <w:szCs w:val="18"/>
          <w:color w:val="auto"/>
        </w:rPr>
      </w:pPr>
      <w:r>
        <w:rPr>
          <w:rFonts w:ascii="Arial" w:cs="Arial" w:eastAsia="Arial" w:hAnsi="Arial"/>
          <w:sz w:val="17"/>
          <w:szCs w:val="17"/>
          <w:color w:val="auto"/>
        </w:rPr>
        <w:t>The balance sheet at December 31, 2015 has been derived from the audited consolidated financial statements of the Company at that date but does not include all of information and footnotes required by U.S. GAAP for complete financial statements.</w:t>
      </w:r>
    </w:p>
    <w:p>
      <w:pPr>
        <w:spacing w:after="0" w:line="146" w:lineRule="exact"/>
        <w:rPr>
          <w:rFonts w:ascii="Arial" w:cs="Arial" w:eastAsia="Arial" w:hAnsi="Arial"/>
          <w:sz w:val="18"/>
          <w:szCs w:val="18"/>
          <w:color w:val="auto"/>
        </w:rPr>
      </w:pPr>
    </w:p>
    <w:p>
      <w:pPr>
        <w:jc w:val="both"/>
        <w:ind w:left="1300"/>
        <w:spacing w:after="0" w:line="279" w:lineRule="auto"/>
        <w:rPr>
          <w:rFonts w:ascii="Arial" w:cs="Arial" w:eastAsia="Arial" w:hAnsi="Arial"/>
          <w:sz w:val="18"/>
          <w:szCs w:val="18"/>
          <w:color w:val="auto"/>
        </w:rPr>
      </w:pPr>
      <w:r>
        <w:rPr>
          <w:rFonts w:ascii="Arial" w:cs="Arial" w:eastAsia="Arial" w:hAnsi="Arial"/>
          <w:sz w:val="17"/>
          <w:szCs w:val="17"/>
          <w:color w:val="auto"/>
        </w:rPr>
        <w:t>The accompanying unaudited interim consolidated financial statements should be read in conjunction with the audited consolidated financial statements and accompanying notes for the year ended December 31, 2015, included in the Company’s Annual Report on Form 20-F filed with the U.S. Securities and Exchange Commission ("SEC") on March 17, 2016. Results for the nine months ended September 30, 2016 are not necessarily indicative of results that may be expected for the year ending December 31, 2016.</w:t>
      </w:r>
    </w:p>
    <w:p>
      <w:pPr>
        <w:spacing w:after="0" w:line="171" w:lineRule="exact"/>
        <w:rPr>
          <w:rFonts w:ascii="Arial" w:cs="Arial" w:eastAsia="Arial" w:hAnsi="Arial"/>
          <w:sz w:val="18"/>
          <w:szCs w:val="18"/>
          <w:color w:val="auto"/>
        </w:rPr>
      </w:pPr>
    </w:p>
    <w:p>
      <w:pPr>
        <w:ind w:left="1300" w:hanging="522"/>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Use of estimates:</w:t>
      </w:r>
    </w:p>
    <w:p>
      <w:pPr>
        <w:spacing w:after="0" w:line="225" w:lineRule="exact"/>
        <w:rPr>
          <w:rFonts w:ascii="Arial" w:cs="Arial" w:eastAsia="Arial" w:hAnsi="Arial"/>
          <w:sz w:val="18"/>
          <w:szCs w:val="18"/>
          <w:color w:val="auto"/>
        </w:rPr>
      </w:pPr>
    </w:p>
    <w:p>
      <w:pPr>
        <w:jc w:val="both"/>
        <w:ind w:left="1300"/>
        <w:spacing w:after="0" w:line="257" w:lineRule="auto"/>
        <w:rPr>
          <w:rFonts w:ascii="Arial" w:cs="Arial" w:eastAsia="Arial" w:hAnsi="Arial"/>
          <w:sz w:val="18"/>
          <w:szCs w:val="18"/>
          <w:color w:val="auto"/>
        </w:rPr>
      </w:pPr>
      <w:r>
        <w:rPr>
          <w:rFonts w:ascii="Arial" w:cs="Arial" w:eastAsia="Arial" w:hAnsi="Arial"/>
          <w:sz w:val="18"/>
          <w:szCs w:val="18"/>
          <w:color w:val="auto"/>
        </w:rPr>
        <w:t>The preparation of the consolidated financial statements in conformity with U.S. GAAP requires management to make estimates, judgments and assumptions that affect the reported amounts of assets and liabilities and the disclosure of contingent assets and liabilities at the date of the consolidated financial statements and the reported amounts of revenues and expenses during the period. The Company's management believes that the estimates, judgments and assumptions used are reasonable based upon information available at the time they are made. Actual results could differ from those estimates.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ind w:left="73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185" w:lineRule="exact"/>
        <w:rPr>
          <w:sz w:val="20"/>
          <w:szCs w:val="20"/>
          <w:color w:val="auto"/>
        </w:rPr>
      </w:pPr>
    </w:p>
    <w:p>
      <w:pPr>
        <w:ind w:right="4700"/>
        <w:spacing w:after="0" w:line="313" w:lineRule="auto"/>
        <w:rPr>
          <w:sz w:val="20"/>
          <w:szCs w:val="20"/>
          <w:color w:val="auto"/>
        </w:rPr>
      </w:pPr>
      <w:r>
        <w:rPr>
          <w:rFonts w:ascii="Arial" w:cs="Arial" w:eastAsia="Arial" w:hAnsi="Arial"/>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 (Cont.)</w:t>
      </w:r>
    </w:p>
    <w:p>
      <w:pPr>
        <w:spacing w:after="0" w:line="229" w:lineRule="exact"/>
        <w:rPr>
          <w:sz w:val="20"/>
          <w:szCs w:val="20"/>
          <w:color w:val="auto"/>
        </w:rPr>
      </w:pPr>
    </w:p>
    <w:p>
      <w:pPr>
        <w:ind w:left="1300" w:hanging="522"/>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Impact of recently issued accounting standard not yet adopted:</w:t>
      </w:r>
    </w:p>
    <w:p>
      <w:pPr>
        <w:spacing w:after="0" w:line="225" w:lineRule="exact"/>
        <w:rPr>
          <w:rFonts w:ascii="Arial" w:cs="Arial" w:eastAsia="Arial" w:hAnsi="Arial"/>
          <w:sz w:val="18"/>
          <w:szCs w:val="18"/>
          <w:color w:val="auto"/>
        </w:rPr>
      </w:pPr>
    </w:p>
    <w:p>
      <w:pPr>
        <w:jc w:val="both"/>
        <w:ind w:left="1820" w:hanging="515"/>
        <w:spacing w:after="0" w:line="255" w:lineRule="auto"/>
        <w:tabs>
          <w:tab w:leader="none" w:pos="1820" w:val="left"/>
        </w:tabs>
        <w:numPr>
          <w:ilvl w:val="1"/>
          <w:numId w:val="3"/>
        </w:numPr>
        <w:rPr>
          <w:rFonts w:ascii="Arial" w:cs="Arial" w:eastAsia="Arial" w:hAnsi="Arial"/>
          <w:sz w:val="18"/>
          <w:szCs w:val="18"/>
          <w:color w:val="auto"/>
        </w:rPr>
      </w:pPr>
      <w:r>
        <w:rPr>
          <w:rFonts w:ascii="Arial" w:cs="Arial" w:eastAsia="Arial" w:hAnsi="Arial"/>
          <w:sz w:val="18"/>
          <w:szCs w:val="18"/>
          <w:color w:val="auto"/>
        </w:rPr>
        <w:t>Stock Compensation - In March 2016, the Financial Accounting Standards Board (“FASB”) issued Accounting Standards Update (“ASU”) No. 2016-09, Compensation – Stock Compensation (Topic 718): Improvements to Employee Share-Based Payment Accounting (“ASU 2016-09”), which simplified certain aspects of the accounting for share-based payment transactions, including income taxes, classification of awards and classification in the statement of cash flows. ASU 2016-09 will be effective for the Company beginning in its first quarter of 2018. The Company is currently evaluating the impact of adopting ASU 2016-09 on its consolidated financial statements.</w:t>
      </w:r>
    </w:p>
    <w:p>
      <w:pPr>
        <w:spacing w:after="0" w:line="193" w:lineRule="exact"/>
        <w:rPr>
          <w:rFonts w:ascii="Arial" w:cs="Arial" w:eastAsia="Arial" w:hAnsi="Arial"/>
          <w:sz w:val="18"/>
          <w:szCs w:val="18"/>
          <w:color w:val="auto"/>
        </w:rPr>
      </w:pPr>
    </w:p>
    <w:p>
      <w:pPr>
        <w:jc w:val="both"/>
        <w:ind w:left="1820" w:hanging="515"/>
        <w:spacing w:after="0" w:line="297" w:lineRule="auto"/>
        <w:tabs>
          <w:tab w:leader="none" w:pos="1820" w:val="left"/>
        </w:tabs>
        <w:numPr>
          <w:ilvl w:val="1"/>
          <w:numId w:val="3"/>
        </w:numPr>
        <w:rPr>
          <w:rFonts w:ascii="Arial" w:cs="Arial" w:eastAsia="Arial" w:hAnsi="Arial"/>
          <w:sz w:val="16"/>
          <w:szCs w:val="16"/>
          <w:color w:val="auto"/>
        </w:rPr>
      </w:pPr>
      <w:r>
        <w:rPr>
          <w:rFonts w:ascii="Arial" w:cs="Arial" w:eastAsia="Arial" w:hAnsi="Arial"/>
          <w:sz w:val="16"/>
          <w:szCs w:val="16"/>
          <w:color w:val="auto"/>
        </w:rPr>
        <w:t>Leases - In February 2016, the FASB issued ASU 2016-02, "Leases" ("ASU 2016-02"). The updated standard aims to increase transparency and comparability among organizations by requiring lessees to recognize lease assets and lease liabilities on the balance sheet and requiring disclosure of key information about leasing arrangements. This update is effective for annual periods beginning after December 15, 2018, and interim periods within those annual periods; early adoption is permitted and modified retrospective application is required. The Company is in the process of evaluating the impact of adopting ASU 2016-02 on its financial statements.</w:t>
      </w:r>
    </w:p>
    <w:p>
      <w:pPr>
        <w:spacing w:after="0" w:line="158" w:lineRule="exact"/>
        <w:rPr>
          <w:rFonts w:ascii="Arial" w:cs="Arial" w:eastAsia="Arial" w:hAnsi="Arial"/>
          <w:sz w:val="16"/>
          <w:szCs w:val="16"/>
          <w:color w:val="auto"/>
        </w:rPr>
      </w:pPr>
    </w:p>
    <w:p>
      <w:pPr>
        <w:jc w:val="both"/>
        <w:ind w:left="1820" w:hanging="515"/>
        <w:spacing w:after="0" w:line="257" w:lineRule="auto"/>
        <w:tabs>
          <w:tab w:leader="none" w:pos="18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Financial Instruments - In January 2016, the FASB issued ASU No. 2016-01, Financial Instruments – Overall (Subtopic 825-10): Recognition and Measurement of Financial Assets and Financial Liabilities (“ASU 2016-01”), which updates certain aspects of recognition, measurement, presentation and disclosure of financial instruments. ASU 2016-01 will be effective for the Company beginning in its first quarter of 2019. The Company does not believe the adoption of ASU 2016-01 will have a material impact on its consolidated financial statements.</w:t>
      </w:r>
    </w:p>
    <w:p>
      <w:pPr>
        <w:spacing w:after="0" w:line="188" w:lineRule="exact"/>
        <w:rPr>
          <w:rFonts w:ascii="Arial" w:cs="Arial" w:eastAsia="Arial" w:hAnsi="Arial"/>
          <w:sz w:val="18"/>
          <w:szCs w:val="18"/>
          <w:color w:val="auto"/>
        </w:rPr>
      </w:pPr>
    </w:p>
    <w:p>
      <w:pPr>
        <w:jc w:val="both"/>
        <w:ind w:left="1820" w:hanging="515"/>
        <w:spacing w:after="0" w:line="291" w:lineRule="auto"/>
        <w:tabs>
          <w:tab w:leader="none" w:pos="1820" w:val="left"/>
        </w:tabs>
        <w:numPr>
          <w:ilvl w:val="1"/>
          <w:numId w:val="3"/>
        </w:numPr>
        <w:rPr>
          <w:rFonts w:ascii="Arial" w:cs="Arial" w:eastAsia="Arial" w:hAnsi="Arial"/>
          <w:sz w:val="16"/>
          <w:szCs w:val="16"/>
          <w:color w:val="auto"/>
        </w:rPr>
      </w:pPr>
      <w:r>
        <w:rPr>
          <w:rFonts w:ascii="Arial" w:cs="Arial" w:eastAsia="Arial" w:hAnsi="Arial"/>
          <w:sz w:val="16"/>
          <w:szCs w:val="16"/>
          <w:color w:val="auto"/>
        </w:rPr>
        <w:t>Revenue Recognition - In May 2014, the FASB issued ASU No. 2014-09, "Revenue from Contracts with Customers" ("ASU 2014-09"). ASU 2014-09 supersedes the revenue recognition requirements in "Revenue Recognition (Topic 605)", and requires entities to recognize revenue when it transfers promised goods or services to customers in an amount that reflects the consideration to which the entity expects to be entitled to in exchange for those goods or services. As currently issued and amended, ASU 2014-09 is effective for annual reporting periods beginning after December 15, 2017, including interim periods within that reporting period, though early adoption is permitted for annual reporting periods beginning after December 15, 2016. The Company is still evaluating the effect that ASU 2014-09 will have on its consolidated financial statements and related disclosures.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ind w:left="73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right="4700"/>
        <w:spacing w:after="0" w:line="313" w:lineRule="auto"/>
        <w:rPr>
          <w:sz w:val="20"/>
          <w:szCs w:val="20"/>
          <w:color w:val="auto"/>
        </w:rPr>
      </w:pPr>
      <w:r>
        <w:rPr>
          <w:rFonts w:ascii="Arial" w:cs="Arial" w:eastAsia="Arial" w:hAnsi="Arial"/>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w:t>
      </w:r>
    </w:p>
    <w:p>
      <w:pPr>
        <w:spacing w:after="0" w:line="229" w:lineRule="exact"/>
        <w:rPr>
          <w:sz w:val="20"/>
          <w:szCs w:val="20"/>
          <w:color w:val="auto"/>
        </w:rPr>
      </w:pPr>
    </w:p>
    <w:p>
      <w:pPr>
        <w:jc w:val="both"/>
        <w:ind w:left="860"/>
        <w:spacing w:after="0" w:line="286" w:lineRule="auto"/>
        <w:rPr>
          <w:sz w:val="20"/>
          <w:szCs w:val="20"/>
          <w:color w:val="auto"/>
        </w:rPr>
      </w:pPr>
      <w:r>
        <w:rPr>
          <w:rFonts w:ascii="Arial" w:cs="Arial" w:eastAsia="Arial" w:hAnsi="Arial"/>
          <w:sz w:val="17"/>
          <w:szCs w:val="17"/>
          <w:color w:val="auto"/>
        </w:rPr>
        <w:t>On July 1, 2016 (the "Closing Date"), the Company, through its wholly owned subsidiary Kornit Digital North America Inc., acquired the digital direct to garment printing assets of SPSI Inc., a North American distributor and service provider for graphic arts, printing and garment decoration solutions. Under the related acquisition agreement, the total consideration of $11,443 which compromised of the following:</w:t>
      </w:r>
    </w:p>
    <w:p>
      <w:pPr>
        <w:spacing w:after="0" w:line="166" w:lineRule="exact"/>
        <w:rPr>
          <w:sz w:val="20"/>
          <w:szCs w:val="20"/>
          <w:color w:val="auto"/>
        </w:rPr>
      </w:pPr>
    </w:p>
    <w:p>
      <w:pPr>
        <w:ind w:left="1360" w:hanging="515"/>
        <w:spacing w:after="0"/>
        <w:tabs>
          <w:tab w:leader="none" w:pos="1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$9,206 in cash paid on the Closing Date, of which $741 is held in escrow for one year following the Closing Date.</w:t>
      </w:r>
    </w:p>
    <w:p>
      <w:pPr>
        <w:spacing w:after="0" w:line="225" w:lineRule="exact"/>
        <w:rPr>
          <w:rFonts w:ascii="Arial" w:cs="Arial" w:eastAsia="Arial" w:hAnsi="Arial"/>
          <w:sz w:val="18"/>
          <w:szCs w:val="18"/>
          <w:color w:val="auto"/>
        </w:rPr>
      </w:pPr>
    </w:p>
    <w:p>
      <w:pPr>
        <w:jc w:val="both"/>
        <w:ind w:left="1360" w:hanging="515"/>
        <w:spacing w:after="0" w:line="259" w:lineRule="auto"/>
        <w:tabs>
          <w:tab w:leader="none" w:pos="1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Milestone-based contingent payments in a total of up to $2,700 payable in 2016, 2017 and 2018. The milestone-based contingent payments are subject to the acquired business territory meeting revenues targets between the Closing Date and December 31, 2016 during 2017 and 2018. These milestone-based contingent payments were measured at fair value at the Closing Date and recorded as a liability on the balance sheet in the amount of $2,237 ($2,327 as of September 30, 2016).</w:t>
      </w:r>
    </w:p>
    <w:p>
      <w:pPr>
        <w:spacing w:after="0" w:line="187" w:lineRule="exact"/>
        <w:rPr>
          <w:sz w:val="20"/>
          <w:szCs w:val="20"/>
          <w:color w:val="auto"/>
        </w:rPr>
      </w:pPr>
    </w:p>
    <w:p>
      <w:pPr>
        <w:ind w:left="860"/>
        <w:spacing w:after="0"/>
        <w:rPr>
          <w:sz w:val="20"/>
          <w:szCs w:val="20"/>
          <w:color w:val="auto"/>
        </w:rPr>
      </w:pPr>
      <w:r>
        <w:rPr>
          <w:rFonts w:ascii="Arial" w:cs="Arial" w:eastAsia="Arial" w:hAnsi="Arial"/>
          <w:sz w:val="16"/>
          <w:szCs w:val="16"/>
          <w:color w:val="auto"/>
        </w:rPr>
        <w:t>In addition, the Company incurred acquisition-related costs in a total amount of $493, which are included in general and administrative expenses.</w:t>
      </w:r>
    </w:p>
    <w:p>
      <w:pPr>
        <w:spacing w:after="0" w:line="4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Acquisition-related costs include legal, accounting, consulting fees and other external costs directly related to the acquisition.</w:t>
      </w:r>
    </w:p>
    <w:p>
      <w:pPr>
        <w:spacing w:after="0" w:line="211" w:lineRule="exact"/>
        <w:rPr>
          <w:sz w:val="20"/>
          <w:szCs w:val="20"/>
          <w:color w:val="auto"/>
        </w:rPr>
      </w:pPr>
    </w:p>
    <w:p>
      <w:pPr>
        <w:jc w:val="both"/>
        <w:ind w:left="860"/>
        <w:spacing w:after="0" w:line="277" w:lineRule="auto"/>
        <w:rPr>
          <w:sz w:val="20"/>
          <w:szCs w:val="20"/>
          <w:color w:val="auto"/>
        </w:rPr>
      </w:pPr>
      <w:r>
        <w:rPr>
          <w:rFonts w:ascii="Arial" w:cs="Arial" w:eastAsia="Arial" w:hAnsi="Arial"/>
          <w:sz w:val="18"/>
          <w:szCs w:val="18"/>
          <w:color w:val="auto"/>
        </w:rPr>
        <w:t>The main reasons for this acquisition is to improve connectivity with customers by expanding its leadership position in the digital textile market as well as providing direct access to a large number of traditional screen printing customers.</w:t>
      </w:r>
    </w:p>
    <w:p>
      <w:pPr>
        <w:spacing w:after="0" w:line="17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Purchase price allocation:</w:t>
      </w:r>
    </w:p>
    <w:p>
      <w:pPr>
        <w:spacing w:after="0" w:line="225" w:lineRule="exact"/>
        <w:rPr>
          <w:sz w:val="20"/>
          <w:szCs w:val="20"/>
          <w:color w:val="auto"/>
        </w:rPr>
      </w:pPr>
    </w:p>
    <w:p>
      <w:pPr>
        <w:jc w:val="both"/>
        <w:ind w:left="860"/>
        <w:spacing w:after="0" w:line="264" w:lineRule="auto"/>
        <w:rPr>
          <w:sz w:val="20"/>
          <w:szCs w:val="20"/>
          <w:color w:val="auto"/>
        </w:rPr>
      </w:pPr>
      <w:r>
        <w:rPr>
          <w:rFonts w:ascii="Arial" w:cs="Arial" w:eastAsia="Arial" w:hAnsi="Arial"/>
          <w:sz w:val="18"/>
          <w:szCs w:val="18"/>
          <w:color w:val="auto"/>
        </w:rPr>
        <w:t>Under business combination accounting principles, the total purchase price was allocated to SPSI's net tangible and intangible assets based on their estimated fair values as set forth below. The excess of the purchase price over the net tangible and identifiable intangible assets was recorded as goodwill.</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p>
        </w:tc>
        <w:tc>
          <w:tcPr>
            <w:tcW w:w="8220" w:type="dxa"/>
            <w:vAlign w:val="bottom"/>
            <w:gridSpan w:val="3"/>
          </w:tcPr>
          <w:p>
            <w:pPr>
              <w:ind w:left="20"/>
              <w:spacing w:after="0"/>
              <w:rPr>
                <w:sz w:val="20"/>
                <w:szCs w:val="20"/>
                <w:color w:val="auto"/>
              </w:rPr>
            </w:pPr>
            <w:r>
              <w:rPr>
                <w:rFonts w:ascii="Arial" w:cs="Arial" w:eastAsia="Arial" w:hAnsi="Arial"/>
                <w:sz w:val="18"/>
                <w:szCs w:val="18"/>
                <w:color w:val="auto"/>
              </w:rPr>
              <w:t>The purchase price allocation for the acquisition has been determined at the follows:</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2"/>
              </w:rPr>
              <w:t>Amortization</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ind w:left="260"/>
              <w:spacing w:after="0"/>
              <w:rPr>
                <w:sz w:val="20"/>
                <w:szCs w:val="20"/>
                <w:color w:val="auto"/>
              </w:rPr>
            </w:pPr>
            <w:r>
              <w:rPr>
                <w:rFonts w:ascii="Arial" w:cs="Arial" w:eastAsia="Arial" w:hAnsi="Arial"/>
                <w:sz w:val="18"/>
                <w:szCs w:val="18"/>
                <w:b w:val="1"/>
                <w:bCs w:val="1"/>
                <w:color w:val="auto"/>
              </w:rPr>
              <w:t>period</w:t>
            </w:r>
          </w:p>
        </w:tc>
        <w:tc>
          <w:tcPr>
            <w:tcW w:w="0" w:type="dxa"/>
            <w:vAlign w:val="bottom"/>
          </w:tcPr>
          <w:p>
            <w:pPr>
              <w:spacing w:after="0"/>
              <w:rPr>
                <w:sz w:val="1"/>
                <w:szCs w:val="1"/>
                <w:color w:val="auto"/>
              </w:rPr>
            </w:pPr>
          </w:p>
        </w:tc>
      </w:tr>
      <w:tr>
        <w:trPr>
          <w:trHeight w:val="241"/>
        </w:trPr>
        <w:tc>
          <w:tcPr>
            <w:tcW w:w="840" w:type="dxa"/>
            <w:vAlign w:val="bottom"/>
          </w:tcPr>
          <w:p>
            <w:pPr>
              <w:spacing w:after="0"/>
              <w:rPr>
                <w:sz w:val="20"/>
                <w:szCs w:val="20"/>
                <w:color w:val="auto"/>
              </w:rPr>
            </w:pPr>
          </w:p>
        </w:tc>
        <w:tc>
          <w:tcPr>
            <w:tcW w:w="8220" w:type="dxa"/>
            <w:vAlign w:val="bottom"/>
            <w:gridSpan w:val="3"/>
            <w:vMerge w:val="restart"/>
          </w:tcPr>
          <w:p>
            <w:pPr>
              <w:spacing w:after="0"/>
              <w:rPr>
                <w:sz w:val="20"/>
                <w:szCs w:val="20"/>
                <w:color w:val="auto"/>
              </w:rPr>
            </w:pPr>
            <w:r>
              <w:rPr>
                <w:rFonts w:ascii="Arial" w:cs="Arial" w:eastAsia="Arial" w:hAnsi="Arial"/>
                <w:sz w:val="18"/>
                <w:szCs w:val="18"/>
                <w:color w:val="auto"/>
              </w:rPr>
              <w:t>Tangible Assets</w:t>
            </w:r>
          </w:p>
        </w:tc>
        <w:tc>
          <w:tcPr>
            <w:tcW w:w="10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Fair Value</w:t>
            </w:r>
          </w:p>
        </w:tc>
        <w:tc>
          <w:tcPr>
            <w:tcW w:w="1140" w:type="dxa"/>
            <w:vAlign w:val="bottom"/>
            <w:gridSpan w:val="2"/>
          </w:tcPr>
          <w:p>
            <w:pPr>
              <w:ind w:left="260"/>
              <w:spacing w:after="0"/>
              <w:rPr>
                <w:sz w:val="20"/>
                <w:szCs w:val="20"/>
                <w:color w:val="auto"/>
              </w:rPr>
            </w:pPr>
            <w:r>
              <w:rPr>
                <w:rFonts w:ascii="Arial" w:cs="Arial" w:eastAsia="Arial" w:hAnsi="Arial"/>
                <w:sz w:val="18"/>
                <w:szCs w:val="18"/>
                <w:b w:val="1"/>
                <w:bCs w:val="1"/>
                <w:color w:val="auto"/>
              </w:rPr>
              <w:t>(years)</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8220" w:type="dxa"/>
            <w:vAlign w:val="bottom"/>
            <w:gridSpan w:val="3"/>
            <w:vMerge w:val="continue"/>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840" w:type="dxa"/>
            <w:vAlign w:val="bottom"/>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6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Inventory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40" w:type="dxa"/>
            <w:vAlign w:val="bottom"/>
            <w:shd w:val="clear" w:color="auto" w:fill="CCEEFF"/>
          </w:tcPr>
          <w:p>
            <w:pPr>
              <w:spacing w:after="0"/>
              <w:rPr>
                <w:sz w:val="15"/>
                <w:szCs w:val="15"/>
                <w:color w:val="auto"/>
              </w:rPr>
            </w:pPr>
          </w:p>
        </w:tc>
        <w:tc>
          <w:tcPr>
            <w:tcW w:w="82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Intangible Assets:</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40" w:type="dxa"/>
            <w:vAlign w:val="bottom"/>
          </w:tcPr>
          <w:p>
            <w:pPr>
              <w:spacing w:after="0"/>
              <w:rPr>
                <w:sz w:val="18"/>
                <w:szCs w:val="18"/>
                <w:color w:val="auto"/>
              </w:rPr>
            </w:pPr>
          </w:p>
        </w:tc>
        <w:tc>
          <w:tcPr>
            <w:tcW w:w="8220" w:type="dxa"/>
            <w:vAlign w:val="bottom"/>
            <w:gridSpan w:val="3"/>
          </w:tcPr>
          <w:p>
            <w:pPr>
              <w:spacing w:after="0"/>
              <w:rPr>
                <w:sz w:val="20"/>
                <w:szCs w:val="20"/>
                <w:color w:val="auto"/>
              </w:rPr>
            </w:pPr>
            <w:r>
              <w:rPr>
                <w:rFonts w:ascii="Arial" w:cs="Arial" w:eastAsia="Arial" w:hAnsi="Arial"/>
                <w:sz w:val="18"/>
                <w:szCs w:val="18"/>
                <w:color w:val="auto"/>
              </w:rPr>
              <w:t>Customer Relationships (*)</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2,614</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Non-competition agreement (**)</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265</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7"/>
        </w:trPr>
        <w:tc>
          <w:tcPr>
            <w:tcW w:w="840" w:type="dxa"/>
            <w:vAlign w:val="bottom"/>
            <w:tcBorders>
              <w:bottom w:val="single" w:sz="8" w:color="CCEEFF"/>
            </w:tcBorders>
          </w:tcPr>
          <w:p>
            <w:pPr>
              <w:spacing w:after="0"/>
              <w:rPr>
                <w:sz w:val="20"/>
                <w:szCs w:val="20"/>
                <w:color w:val="auto"/>
              </w:rPr>
            </w:pPr>
          </w:p>
        </w:tc>
        <w:tc>
          <w:tcPr>
            <w:tcW w:w="82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Goodwill</w:t>
            </w: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5,092</w:t>
            </w:r>
          </w:p>
        </w:tc>
        <w:tc>
          <w:tcPr>
            <w:tcW w:w="22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Infinite</w:t>
            </w:r>
          </w:p>
        </w:tc>
        <w:tc>
          <w:tcPr>
            <w:tcW w:w="0" w:type="dxa"/>
            <w:vAlign w:val="bottom"/>
          </w:tcPr>
          <w:p>
            <w:pPr>
              <w:spacing w:after="0"/>
              <w:rPr>
                <w:sz w:val="1"/>
                <w:szCs w:val="1"/>
                <w:color w:val="auto"/>
              </w:rPr>
            </w:pPr>
          </w:p>
        </w:tc>
      </w:tr>
      <w:tr>
        <w:trPr>
          <w:trHeight w:val="250"/>
        </w:trPr>
        <w:tc>
          <w:tcPr>
            <w:tcW w:w="840" w:type="dxa"/>
            <w:vAlign w:val="bottom"/>
            <w:tcBorders>
              <w:bottom w:val="single" w:sz="8" w:color="CCEEFF"/>
            </w:tcBorders>
            <w:shd w:val="clear" w:color="auto" w:fill="CCEEFF"/>
          </w:tcPr>
          <w:p>
            <w:pPr>
              <w:spacing w:after="0"/>
              <w:rPr>
                <w:sz w:val="21"/>
                <w:szCs w:val="21"/>
                <w:color w:val="auto"/>
              </w:rPr>
            </w:pPr>
          </w:p>
        </w:tc>
        <w:tc>
          <w:tcPr>
            <w:tcW w:w="82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11,443</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-1619885</wp:posOffset>
            </wp:positionV>
            <wp:extent cx="531495" cy="15951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1495" cy="1595120"/>
                    </a:xfrm>
                    <a:prstGeom prst="rect">
                      <a:avLst/>
                    </a:prstGeom>
                    <a:noFill/>
                  </pic:spPr>
                </pic:pic>
              </a:graphicData>
            </a:graphic>
          </wp:anchor>
        </w:drawing>
      </w:r>
    </w:p>
    <w:p>
      <w:pPr>
        <w:spacing w:after="0" w:line="182" w:lineRule="exact"/>
        <w:rPr>
          <w:sz w:val="20"/>
          <w:szCs w:val="20"/>
          <w:color w:val="auto"/>
        </w:rPr>
      </w:pPr>
    </w:p>
    <w:p>
      <w:pPr>
        <w:ind w:left="860" w:hanging="9"/>
        <w:spacing w:after="0" w:line="277" w:lineRule="auto"/>
        <w:tabs>
          <w:tab w:leader="none" w:pos="1122" w:val="left"/>
        </w:tabs>
        <w:numPr>
          <w:ilvl w:val="0"/>
          <w:numId w:val="5"/>
        </w:numPr>
        <w:rPr>
          <w:rFonts w:ascii="Arial" w:cs="Arial" w:eastAsia="Arial" w:hAnsi="Arial"/>
          <w:sz w:val="18"/>
          <w:szCs w:val="18"/>
          <w:color w:val="auto"/>
        </w:rPr>
      </w:pPr>
      <w:r>
        <w:rPr>
          <w:rFonts w:ascii="Arial" w:cs="Arial" w:eastAsia="Arial" w:hAnsi="Arial"/>
          <w:sz w:val="18"/>
          <w:szCs w:val="18"/>
          <w:color w:val="auto"/>
        </w:rPr>
        <w:t>Customer relationships represent the underlying relationships and agreements with SPSI’s installed customer base and are amortized over the useful life of the agreements using straight-line method.</w:t>
      </w:r>
    </w:p>
    <w:p>
      <w:pPr>
        <w:spacing w:after="0" w:line="170" w:lineRule="exact"/>
        <w:rPr>
          <w:sz w:val="20"/>
          <w:szCs w:val="20"/>
          <w:color w:val="auto"/>
        </w:rPr>
      </w:pPr>
    </w:p>
    <w:p>
      <w:pPr>
        <w:ind w:left="5640" w:right="2640" w:hanging="4789"/>
        <w:spacing w:after="0" w:line="778" w:lineRule="auto"/>
        <w:tabs>
          <w:tab w:leader="none" w:pos="1202"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Non-competition agreement is amortized over the useful life of the agreement using straight-line method.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p>
      <w:pPr>
        <w:ind w:left="73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right="4700"/>
        <w:spacing w:after="0" w:line="313" w:lineRule="auto"/>
        <w:rPr>
          <w:sz w:val="20"/>
          <w:szCs w:val="20"/>
          <w:color w:val="auto"/>
        </w:rPr>
      </w:pPr>
      <w:r>
        <w:rPr>
          <w:rFonts w:ascii="Arial" w:cs="Arial" w:eastAsia="Arial" w:hAnsi="Arial"/>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 (Cont.)</w:t>
      </w:r>
    </w:p>
    <w:p>
      <w:pPr>
        <w:spacing w:after="0" w:line="229" w:lineRule="exact"/>
        <w:rPr>
          <w:sz w:val="20"/>
          <w:szCs w:val="20"/>
          <w:color w:val="auto"/>
        </w:rPr>
      </w:pPr>
    </w:p>
    <w:p>
      <w:pPr>
        <w:jc w:val="both"/>
        <w:ind w:left="860"/>
        <w:spacing w:after="0" w:line="279" w:lineRule="auto"/>
        <w:rPr>
          <w:sz w:val="20"/>
          <w:szCs w:val="20"/>
          <w:color w:val="auto"/>
        </w:rPr>
      </w:pPr>
      <w:r>
        <w:rPr>
          <w:rFonts w:ascii="Arial" w:cs="Arial" w:eastAsia="Arial" w:hAnsi="Arial"/>
          <w:sz w:val="17"/>
          <w:szCs w:val="17"/>
          <w:color w:val="auto"/>
        </w:rPr>
        <w:t>In performing the purchase price allocation, the Company considered, among other factors, analysis of historical financial performance, the best use of the acquired assets and estimates of future performance of SPSI's installed base. In its allocation, the Company conducted the valuation of intangible assets based on a market participant approach to valuation using an income approach and considered the report of an independent third party valuation firm and estimates and assumptions provided by management.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Pr>
          <w:p>
            <w:pPr>
              <w:spacing w:after="0"/>
              <w:rPr>
                <w:sz w:val="20"/>
                <w:szCs w:val="20"/>
                <w:color w:val="auto"/>
              </w:rPr>
            </w:pPr>
            <w:r>
              <w:rPr>
                <w:rFonts w:ascii="Arial" w:cs="Arial" w:eastAsia="Arial" w:hAnsi="Arial"/>
                <w:sz w:val="18"/>
                <w:szCs w:val="18"/>
                <w:b w:val="1"/>
                <w:bCs w:val="1"/>
                <w:color w:val="auto"/>
              </w:rPr>
              <w:t>NOTE 4:- AVAILABLE-FOR-SALE MARKETABLE SECURITIES</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300" w:type="dxa"/>
            <w:vAlign w:val="bottom"/>
          </w:tcPr>
          <w:p>
            <w:pPr>
              <w:ind w:left="860"/>
              <w:spacing w:after="0"/>
              <w:rPr>
                <w:sz w:val="20"/>
                <w:szCs w:val="20"/>
                <w:color w:val="auto"/>
              </w:rPr>
            </w:pPr>
            <w:r>
              <w:rPr>
                <w:rFonts w:ascii="Arial" w:cs="Arial" w:eastAsia="Arial" w:hAnsi="Arial"/>
                <w:sz w:val="18"/>
                <w:szCs w:val="18"/>
                <w:color w:val="auto"/>
                <w:w w:val="96"/>
              </w:rPr>
              <w:t>The following is a summary of available-for-sale marketable securities: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6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6"/>
          </w:tcPr>
          <w:p>
            <w:pPr>
              <w:jc w:val="center"/>
              <w:ind w:right="240"/>
              <w:spacing w:after="0"/>
              <w:rPr>
                <w:sz w:val="20"/>
                <w:szCs w:val="20"/>
                <w:color w:val="auto"/>
              </w:rPr>
            </w:pPr>
            <w:r>
              <w:rPr>
                <w:rFonts w:ascii="Arial" w:cs="Arial" w:eastAsia="Arial" w:hAnsi="Arial"/>
                <w:sz w:val="18"/>
                <w:szCs w:val="18"/>
                <w:b w:val="1"/>
                <w:bCs w:val="1"/>
                <w:color w:val="auto"/>
                <w:w w:val="90"/>
              </w:rPr>
              <w:t>September 30, 2016</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6"/>
          </w:tcPr>
          <w:p>
            <w:pPr>
              <w:jc w:val="center"/>
              <w:ind w:right="240"/>
              <w:spacing w:after="0"/>
              <w:rPr>
                <w:sz w:val="20"/>
                <w:szCs w:val="20"/>
                <w:color w:val="auto"/>
              </w:rPr>
            </w:pPr>
            <w:r>
              <w:rPr>
                <w:rFonts w:ascii="Arial" w:cs="Arial" w:eastAsia="Arial" w:hAnsi="Arial"/>
                <w:sz w:val="18"/>
                <w:szCs w:val="18"/>
                <w:b w:val="1"/>
                <w:bCs w:val="1"/>
                <w:color w:val="auto"/>
                <w:w w:val="90"/>
              </w:rPr>
              <w:t>Unaudited</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6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88"/>
              </w:rPr>
              <w:t>Gross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84"/>
              </w:rPr>
              <w:t>Gross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unrealized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Fair</w:t>
            </w:r>
          </w:p>
        </w:tc>
      </w:tr>
      <w:tr>
        <w:trPr>
          <w:trHeight w:val="241"/>
        </w:trPr>
        <w:tc>
          <w:tcPr>
            <w:tcW w:w="6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0"/>
              </w:rPr>
              <w:t>cost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gain</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77"/>
              </w:rPr>
              <w:t>loss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6300" w:type="dxa"/>
            <w:vAlign w:val="bottom"/>
          </w:tcPr>
          <w:p>
            <w:pPr>
              <w:ind w:left="840"/>
              <w:spacing w:after="0"/>
              <w:rPr>
                <w:sz w:val="20"/>
                <w:szCs w:val="20"/>
                <w:color w:val="auto"/>
              </w:rPr>
            </w:pPr>
            <w:r>
              <w:rPr>
                <w:rFonts w:ascii="Arial" w:cs="Arial" w:eastAsia="Arial" w:hAnsi="Arial"/>
                <w:sz w:val="18"/>
                <w:szCs w:val="18"/>
                <w:color w:val="auto"/>
              </w:rPr>
              <w:t>Matures within one year:</w:t>
            </w:r>
          </w:p>
        </w:tc>
        <w:tc>
          <w:tcPr>
            <w:tcW w:w="3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Corporate debentures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12,062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12,069</w:t>
            </w:r>
          </w:p>
        </w:tc>
      </w:tr>
      <w:tr>
        <w:trPr>
          <w:trHeight w:val="216"/>
        </w:trPr>
        <w:tc>
          <w:tcPr>
            <w:tcW w:w="6300" w:type="dxa"/>
            <w:vAlign w:val="bottom"/>
          </w:tcPr>
          <w:p>
            <w:pPr>
              <w:ind w:left="840"/>
              <w:spacing w:after="0"/>
              <w:rPr>
                <w:sz w:val="20"/>
                <w:szCs w:val="20"/>
                <w:color w:val="auto"/>
              </w:rPr>
            </w:pPr>
            <w:r>
              <w:rPr>
                <w:rFonts w:ascii="Arial" w:cs="Arial" w:eastAsia="Arial" w:hAnsi="Arial"/>
                <w:sz w:val="18"/>
                <w:szCs w:val="18"/>
                <w:color w:val="auto"/>
              </w:rPr>
              <w:t>Matures after one year through three years: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63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Corporate debentures</w:t>
            </w: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26,041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26,145</w:t>
            </w:r>
          </w:p>
        </w:tc>
      </w:tr>
      <w:tr>
        <w:trPr>
          <w:trHeight w:val="216"/>
        </w:trPr>
        <w:tc>
          <w:tcPr>
            <w:tcW w:w="63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4"/>
        </w:trPr>
        <w:tc>
          <w:tcPr>
            <w:tcW w:w="63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Total</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38,103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line="256" w:lineRule="exact"/>
              <w:rPr>
                <w:sz w:val="20"/>
                <w:szCs w:val="20"/>
                <w:color w:val="auto"/>
              </w:rPr>
            </w:pPr>
            <w:r>
              <w:rPr>
                <w:rFonts w:ascii="Arial" w:cs="Arial" w:eastAsia="Arial" w:hAnsi="Arial"/>
                <w:sz w:val="16"/>
                <w:szCs w:val="16"/>
                <w:color w:val="auto"/>
              </w:rPr>
              <w:t>(15</w:t>
            </w:r>
            <w:r>
              <w:rPr>
                <w:rFonts w:ascii="Arial" w:cs="Arial" w:eastAsia="Arial" w:hAnsi="Arial"/>
                <w:sz w:val="29"/>
                <w:szCs w:val="29"/>
                <w:color w:val="auto"/>
                <w:vertAlign w:val="superscript"/>
              </w:rPr>
              <w:t>)</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38,214</w:t>
            </w:r>
          </w:p>
        </w:tc>
      </w:tr>
      <w:tr>
        <w:trPr>
          <w:trHeight w:val="21"/>
        </w:trPr>
        <w:tc>
          <w:tcPr>
            <w:tcW w:w="6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53"/>
        </w:trPr>
        <w:tc>
          <w:tcPr>
            <w:tcW w:w="6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6"/>
          </w:tcPr>
          <w:p>
            <w:pPr>
              <w:jc w:val="center"/>
              <w:ind w:right="240"/>
              <w:spacing w:after="0"/>
              <w:rPr>
                <w:sz w:val="20"/>
                <w:szCs w:val="20"/>
                <w:color w:val="auto"/>
              </w:rPr>
            </w:pPr>
            <w:r>
              <w:rPr>
                <w:rFonts w:ascii="Arial" w:cs="Arial" w:eastAsia="Arial" w:hAnsi="Arial"/>
                <w:sz w:val="18"/>
                <w:szCs w:val="18"/>
                <w:b w:val="1"/>
                <w:bCs w:val="1"/>
                <w:color w:val="auto"/>
                <w:w w:val="88"/>
              </w:rPr>
              <w:t>December 31, 2015</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6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88"/>
              </w:rPr>
              <w:t>Gross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84"/>
              </w:rPr>
              <w:t>Gross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unrealized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Fair</w:t>
            </w:r>
          </w:p>
        </w:tc>
      </w:tr>
      <w:tr>
        <w:trPr>
          <w:trHeight w:val="241"/>
        </w:trPr>
        <w:tc>
          <w:tcPr>
            <w:tcW w:w="6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0"/>
              </w:rPr>
              <w:t>cost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gain</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77"/>
              </w:rPr>
              <w:t>loss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6300" w:type="dxa"/>
            <w:vAlign w:val="bottom"/>
          </w:tcPr>
          <w:p>
            <w:pPr>
              <w:ind w:left="840"/>
              <w:spacing w:after="0"/>
              <w:rPr>
                <w:sz w:val="20"/>
                <w:szCs w:val="20"/>
                <w:color w:val="auto"/>
              </w:rPr>
            </w:pPr>
            <w:r>
              <w:rPr>
                <w:rFonts w:ascii="Arial" w:cs="Arial" w:eastAsia="Arial" w:hAnsi="Arial"/>
                <w:sz w:val="18"/>
                <w:szCs w:val="18"/>
                <w:color w:val="auto"/>
              </w:rPr>
              <w:t>Matures within one year:</w:t>
            </w:r>
          </w:p>
        </w:tc>
        <w:tc>
          <w:tcPr>
            <w:tcW w:w="3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Corporate debentures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4,533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4,527</w:t>
            </w:r>
          </w:p>
        </w:tc>
      </w:tr>
      <w:tr>
        <w:trPr>
          <w:trHeight w:val="216"/>
        </w:trPr>
        <w:tc>
          <w:tcPr>
            <w:tcW w:w="6300" w:type="dxa"/>
            <w:vAlign w:val="bottom"/>
          </w:tcPr>
          <w:p>
            <w:pPr>
              <w:ind w:left="840"/>
              <w:spacing w:after="0"/>
              <w:rPr>
                <w:sz w:val="20"/>
                <w:szCs w:val="20"/>
                <w:color w:val="auto"/>
              </w:rPr>
            </w:pPr>
            <w:r>
              <w:rPr>
                <w:rFonts w:ascii="Arial" w:cs="Arial" w:eastAsia="Arial" w:hAnsi="Arial"/>
                <w:sz w:val="18"/>
                <w:szCs w:val="18"/>
                <w:color w:val="auto"/>
              </w:rPr>
              <w:t>Matures after one year through three years: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63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Corporate debentures</w:t>
            </w: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29,373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29,152</w:t>
            </w:r>
          </w:p>
        </w:tc>
      </w:tr>
      <w:tr>
        <w:trPr>
          <w:trHeight w:val="216"/>
        </w:trPr>
        <w:tc>
          <w:tcPr>
            <w:tcW w:w="63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4"/>
        </w:trPr>
        <w:tc>
          <w:tcPr>
            <w:tcW w:w="63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Total</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33,906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line="256" w:lineRule="exact"/>
              <w:rPr>
                <w:sz w:val="20"/>
                <w:szCs w:val="20"/>
                <w:color w:val="auto"/>
              </w:rPr>
            </w:pPr>
            <w:r>
              <w:rPr>
                <w:rFonts w:ascii="Arial" w:cs="Arial" w:eastAsia="Arial" w:hAnsi="Arial"/>
                <w:sz w:val="16"/>
                <w:szCs w:val="16"/>
                <w:color w:val="auto"/>
              </w:rPr>
              <w:t>(228</w:t>
            </w:r>
            <w:r>
              <w:rPr>
                <w:rFonts w:ascii="Arial" w:cs="Arial" w:eastAsia="Arial" w:hAnsi="Arial"/>
                <w:sz w:val="29"/>
                <w:szCs w:val="29"/>
                <w:color w:val="auto"/>
                <w:vertAlign w:val="superscript"/>
              </w:rPr>
              <w:t>)</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33,679</w:t>
            </w:r>
          </w:p>
        </w:tc>
      </w:tr>
      <w:tr>
        <w:trPr>
          <w:trHeight w:val="21"/>
        </w:trPr>
        <w:tc>
          <w:tcPr>
            <w:tcW w:w="6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-3309620</wp:posOffset>
            </wp:positionV>
            <wp:extent cx="531495" cy="32848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1495" cy="3284855"/>
                    </a:xfrm>
                    <a:prstGeom prst="rect">
                      <a:avLst/>
                    </a:prstGeom>
                    <a:noFill/>
                  </pic:spPr>
                </pic:pic>
              </a:graphicData>
            </a:graphic>
          </wp:anchor>
        </w:drawing>
      </w:r>
    </w:p>
    <w:p>
      <w:pPr>
        <w:spacing w:after="0" w:line="18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All investments with an unrealized loss as of September 30, 2016 are with continuous unrealized losses for less than 12 months.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ind w:left="73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right="4700"/>
        <w:spacing w:after="0" w:line="313" w:lineRule="auto"/>
        <w:rPr>
          <w:sz w:val="20"/>
          <w:szCs w:val="20"/>
          <w:color w:val="auto"/>
        </w:rPr>
      </w:pPr>
      <w:r>
        <w:rPr>
          <w:rFonts w:ascii="Arial" w:cs="Arial" w:eastAsia="Arial" w:hAnsi="Arial"/>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 MEASUREMENTS</w:t>
      </w:r>
    </w:p>
    <w:p>
      <w:pPr>
        <w:spacing w:after="0" w:line="229" w:lineRule="exact"/>
        <w:rPr>
          <w:sz w:val="20"/>
          <w:szCs w:val="20"/>
          <w:color w:val="auto"/>
        </w:rPr>
      </w:pPr>
    </w:p>
    <w:p>
      <w:pPr>
        <w:jc w:val="both"/>
        <w:ind w:left="860"/>
        <w:spacing w:after="0" w:line="277" w:lineRule="auto"/>
        <w:rPr>
          <w:sz w:val="20"/>
          <w:szCs w:val="20"/>
          <w:color w:val="auto"/>
        </w:rPr>
      </w:pPr>
      <w:r>
        <w:rPr>
          <w:rFonts w:ascii="Arial" w:cs="Arial" w:eastAsia="Arial" w:hAnsi="Arial"/>
          <w:sz w:val="18"/>
          <w:szCs w:val="18"/>
          <w:color w:val="auto"/>
        </w:rPr>
        <w:t>FASB Accounting Standards Codification ("ASC") No. 820, "Fair Value Measurements and Disclosures" defines fair value and establishes a framework for measuring fair value.</w:t>
      </w:r>
    </w:p>
    <w:p>
      <w:pPr>
        <w:spacing w:after="0" w:line="170" w:lineRule="exact"/>
        <w:rPr>
          <w:sz w:val="20"/>
          <w:szCs w:val="20"/>
          <w:color w:val="auto"/>
        </w:rPr>
      </w:pPr>
    </w:p>
    <w:p>
      <w:pPr>
        <w:jc w:val="both"/>
        <w:ind w:left="860"/>
        <w:spacing w:after="0" w:line="279" w:lineRule="auto"/>
        <w:rPr>
          <w:sz w:val="20"/>
          <w:szCs w:val="20"/>
          <w:color w:val="auto"/>
        </w:rPr>
      </w:pPr>
      <w:r>
        <w:rPr>
          <w:rFonts w:ascii="Arial" w:cs="Arial" w:eastAsia="Arial" w:hAnsi="Arial"/>
          <w:sz w:val="17"/>
          <w:szCs w:val="17"/>
          <w:color w:val="auto"/>
        </w:rPr>
        <w:t>According to ASC No. 820, fair value is an exit price, representing the amount that would be received for selling an asset or paid for the transfer of a liability in an orderly transaction between market participants. As such, fair value is a market-based measurement that should be determined based on assumptions that market participants would use in pricing an asset or a liability. A three-tier fair value hierarchy is established as a basis for considering such assumptions and for inputs used in the valuation methodologies in measuring fair value:</w:t>
      </w:r>
    </w:p>
    <w:p>
      <w:pPr>
        <w:spacing w:after="0" w:line="171" w:lineRule="exact"/>
        <w:rPr>
          <w:sz w:val="20"/>
          <w:szCs w:val="20"/>
          <w:color w:val="auto"/>
        </w:rPr>
      </w:pPr>
    </w:p>
    <w:p>
      <w:pPr>
        <w:ind w:left="840"/>
        <w:spacing w:after="0"/>
        <w:tabs>
          <w:tab w:leader="none" w:pos="1780" w:val="left"/>
        </w:tabs>
        <w:rPr>
          <w:sz w:val="20"/>
          <w:szCs w:val="20"/>
          <w:color w:val="auto"/>
        </w:rPr>
      </w:pPr>
      <w:r>
        <w:rPr>
          <w:rFonts w:ascii="Arial" w:cs="Arial" w:eastAsia="Arial" w:hAnsi="Arial"/>
          <w:sz w:val="18"/>
          <w:szCs w:val="18"/>
          <w:color w:val="auto"/>
        </w:rPr>
        <w:t>Level  I:</w:t>
      </w:r>
      <w:r>
        <w:rPr>
          <w:sz w:val="20"/>
          <w:szCs w:val="20"/>
          <w:color w:val="auto"/>
        </w:rPr>
        <w:tab/>
      </w:r>
      <w:r>
        <w:rPr>
          <w:rFonts w:ascii="Arial" w:cs="Arial" w:eastAsia="Arial" w:hAnsi="Arial"/>
          <w:sz w:val="16"/>
          <w:szCs w:val="16"/>
          <w:color w:val="auto"/>
        </w:rPr>
        <w:t>Unadjusted quoted prices in active markets that are accessible on the measurement date for identical, unrestricted assets or liabilities;</w:t>
      </w:r>
    </w:p>
    <w:p>
      <w:pPr>
        <w:spacing w:after="0" w:line="225" w:lineRule="exact"/>
        <w:rPr>
          <w:sz w:val="20"/>
          <w:szCs w:val="20"/>
          <w:color w:val="auto"/>
        </w:rPr>
      </w:pPr>
    </w:p>
    <w:p>
      <w:pPr>
        <w:jc w:val="both"/>
        <w:ind w:left="1800" w:hanging="944"/>
        <w:spacing w:after="0" w:line="277" w:lineRule="auto"/>
        <w:tabs>
          <w:tab w:leader="none" w:pos="1780" w:val="left"/>
        </w:tabs>
        <w:rPr>
          <w:sz w:val="20"/>
          <w:szCs w:val="20"/>
          <w:color w:val="auto"/>
        </w:rPr>
      </w:pPr>
      <w:r>
        <w:rPr>
          <w:rFonts w:ascii="Arial" w:cs="Arial" w:eastAsia="Arial" w:hAnsi="Arial"/>
          <w:sz w:val="18"/>
          <w:szCs w:val="18"/>
          <w:color w:val="auto"/>
        </w:rPr>
        <w:t>Level II:</w:t>
      </w:r>
      <w:r>
        <w:rPr>
          <w:sz w:val="20"/>
          <w:szCs w:val="20"/>
          <w:color w:val="auto"/>
        </w:rPr>
        <w:tab/>
      </w:r>
      <w:r>
        <w:rPr>
          <w:rFonts w:ascii="Arial" w:cs="Arial" w:eastAsia="Arial" w:hAnsi="Arial"/>
          <w:sz w:val="18"/>
          <w:szCs w:val="18"/>
          <w:color w:val="auto"/>
        </w:rPr>
        <w:t>Quoted prices in markets that are not active, or inputs that are observable, either directly or indirectly, for substantially the full term of the asset or liability; and</w:t>
      </w:r>
    </w:p>
    <w:p>
      <w:pPr>
        <w:spacing w:after="0" w:line="170" w:lineRule="exact"/>
        <w:rPr>
          <w:sz w:val="20"/>
          <w:szCs w:val="20"/>
          <w:color w:val="auto"/>
        </w:rPr>
      </w:pPr>
    </w:p>
    <w:p>
      <w:pPr>
        <w:jc w:val="both"/>
        <w:ind w:left="1800" w:right="20" w:hanging="944"/>
        <w:spacing w:after="0" w:line="277" w:lineRule="auto"/>
        <w:tabs>
          <w:tab w:leader="none" w:pos="1780" w:val="left"/>
        </w:tabs>
        <w:rPr>
          <w:sz w:val="20"/>
          <w:szCs w:val="20"/>
          <w:color w:val="auto"/>
        </w:rPr>
      </w:pPr>
      <w:r>
        <w:rPr>
          <w:rFonts w:ascii="Arial" w:cs="Arial" w:eastAsia="Arial" w:hAnsi="Arial"/>
          <w:sz w:val="18"/>
          <w:szCs w:val="18"/>
          <w:color w:val="auto"/>
        </w:rPr>
        <w:t>Level III:</w:t>
        <w:tab/>
        <w:t>Prices or valuation techniques that require inputs that are both significant to the fair value measurement and unobservable (supported by little or no market activity).</w:t>
      </w:r>
    </w:p>
    <w:p>
      <w:pPr>
        <w:spacing w:after="0" w:line="170" w:lineRule="exact"/>
        <w:rPr>
          <w:sz w:val="20"/>
          <w:szCs w:val="20"/>
          <w:color w:val="auto"/>
        </w:rPr>
      </w:pPr>
    </w:p>
    <w:p>
      <w:pPr>
        <w:jc w:val="both"/>
        <w:ind w:left="860"/>
        <w:spacing w:after="0" w:line="279" w:lineRule="auto"/>
        <w:rPr>
          <w:sz w:val="20"/>
          <w:szCs w:val="20"/>
          <w:color w:val="auto"/>
        </w:rPr>
      </w:pPr>
      <w:r>
        <w:rPr>
          <w:rFonts w:ascii="Arial" w:cs="Arial" w:eastAsia="Arial" w:hAnsi="Arial"/>
          <w:sz w:val="17"/>
          <w:szCs w:val="17"/>
          <w:color w:val="auto"/>
        </w:rPr>
        <w:t>The Company measures its marketable securities, foreign currency derivative contracts and the contingent payments obligation in connection with acquisition (the "Contingent Payments") at fair value. Marketable securities and foreign currency derivative contracts are classified within Level II as the valuation inputs are based on quoted prices and market observable data of similar instruments. The Contingent Payments are classified within level III as the valuation inputs are based on significant inputs not observable in the market.</w:t>
      </w:r>
    </w:p>
    <w:p>
      <w:pPr>
        <w:spacing w:after="0" w:line="171" w:lineRule="exact"/>
        <w:rPr>
          <w:sz w:val="20"/>
          <w:szCs w:val="20"/>
          <w:color w:val="auto"/>
        </w:rPr>
      </w:pPr>
    </w:p>
    <w:p>
      <w:pPr>
        <w:jc w:val="both"/>
        <w:ind w:left="860"/>
        <w:spacing w:after="0" w:line="277" w:lineRule="auto"/>
        <w:rPr>
          <w:sz w:val="20"/>
          <w:szCs w:val="20"/>
          <w:color w:val="auto"/>
        </w:rPr>
      </w:pPr>
      <w:r>
        <w:rPr>
          <w:rFonts w:ascii="Arial" w:cs="Arial" w:eastAsia="Arial" w:hAnsi="Arial"/>
          <w:sz w:val="18"/>
          <w:szCs w:val="18"/>
          <w:color w:val="auto"/>
        </w:rPr>
        <w:t>The below table sets forth the Company's assets and liabilities that were measured at fair value as of September 30, 2016 and December 31, 2015 by level within the fair value hierarchy.</w:t>
      </w:r>
    </w:p>
    <w:p>
      <w:pPr>
        <w:spacing w:after="0" w:line="17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Assets and liabilities are classified in their entirety based on the lowest level of input that is significant to the fair value measurement.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18"/>
                <w:szCs w:val="18"/>
                <w:b w:val="1"/>
                <w:bCs w:val="1"/>
                <w:color w:val="auto"/>
                <w:w w:val="89"/>
              </w:rPr>
              <w:t>As of September 30, 2016</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6"/>
          </w:tcPr>
          <w:p>
            <w:pPr>
              <w:jc w:val="right"/>
              <w:ind w:right="840"/>
              <w:spacing w:after="0"/>
              <w:rPr>
                <w:sz w:val="20"/>
                <w:szCs w:val="20"/>
                <w:color w:val="auto"/>
              </w:rPr>
            </w:pPr>
            <w:r>
              <w:rPr>
                <w:rFonts w:ascii="Arial" w:cs="Arial" w:eastAsia="Arial" w:hAnsi="Arial"/>
                <w:sz w:val="18"/>
                <w:szCs w:val="18"/>
                <w:b w:val="1"/>
                <w:bCs w:val="1"/>
                <w:color w:val="auto"/>
              </w:rPr>
              <w:t>Unaudited</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620" w:type="dxa"/>
            <w:vAlign w:val="bottom"/>
          </w:tcPr>
          <w:p>
            <w:pPr>
              <w:spacing w:after="0"/>
              <w:rPr>
                <w:sz w:val="20"/>
                <w:szCs w:val="20"/>
                <w:color w:val="auto"/>
              </w:rPr>
            </w:pPr>
          </w:p>
        </w:tc>
        <w:tc>
          <w:tcPr>
            <w:tcW w:w="860" w:type="dxa"/>
            <w:vAlign w:val="bottom"/>
          </w:tcPr>
          <w:p>
            <w:pPr>
              <w:ind w:left="22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840"/>
              <w:spacing w:after="0"/>
              <w:rPr>
                <w:sz w:val="20"/>
                <w:szCs w:val="20"/>
                <w:color w:val="auto"/>
              </w:rPr>
            </w:pPr>
            <w:r>
              <w:rPr>
                <w:rFonts w:ascii="Arial" w:cs="Arial" w:eastAsia="Arial" w:hAnsi="Arial"/>
                <w:sz w:val="18"/>
                <w:szCs w:val="18"/>
                <w:color w:val="auto"/>
              </w:rPr>
              <w:t>Assets:</w:t>
            </w: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Available-for-sale marketable securities</w:t>
            </w:r>
          </w:p>
        </w:tc>
        <w:tc>
          <w:tcPr>
            <w:tcW w:w="4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38,214</w:t>
            </w:r>
          </w:p>
        </w:tc>
        <w:tc>
          <w:tcPr>
            <w:tcW w:w="0" w:type="dxa"/>
            <w:vAlign w:val="bottom"/>
          </w:tcPr>
          <w:p>
            <w:pPr>
              <w:spacing w:after="0"/>
              <w:rPr>
                <w:sz w:val="1"/>
                <w:szCs w:val="1"/>
                <w:color w:val="auto"/>
              </w:rPr>
            </w:pPr>
          </w:p>
        </w:tc>
      </w:tr>
      <w:tr>
        <w:trPr>
          <w:trHeight w:val="230"/>
        </w:trPr>
        <w:tc>
          <w:tcPr>
            <w:tcW w:w="6620" w:type="dxa"/>
            <w:vAlign w:val="bottom"/>
          </w:tcPr>
          <w:p>
            <w:pPr>
              <w:ind w:left="840"/>
              <w:spacing w:after="0"/>
              <w:rPr>
                <w:sz w:val="20"/>
                <w:szCs w:val="20"/>
                <w:color w:val="auto"/>
              </w:rPr>
            </w:pPr>
            <w:r>
              <w:rPr>
                <w:rFonts w:ascii="Arial" w:cs="Arial" w:eastAsia="Arial" w:hAnsi="Arial"/>
                <w:sz w:val="18"/>
                <w:szCs w:val="18"/>
                <w:color w:val="auto"/>
              </w:rPr>
              <w:t>Foreign currency derivative contracts</w:t>
            </w:r>
          </w:p>
        </w:tc>
        <w:tc>
          <w:tcPr>
            <w:tcW w:w="860" w:type="dxa"/>
            <w:vAlign w:val="bottom"/>
          </w:tcPr>
          <w:p>
            <w:pPr>
              <w:spacing w:after="0"/>
              <w:rPr>
                <w:sz w:val="19"/>
                <w:szCs w:val="19"/>
                <w:color w:val="auto"/>
              </w:rPr>
            </w:pPr>
          </w:p>
        </w:tc>
        <w:tc>
          <w:tcPr>
            <w:tcW w:w="3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6620" w:type="dxa"/>
            <w:vAlign w:val="bottom"/>
            <w:vMerge w:val="restart"/>
            <w:shd w:val="clear" w:color="auto" w:fill="CCEEFF"/>
          </w:tcPr>
          <w:p>
            <w:pPr>
              <w:ind w:left="840"/>
              <w:spacing w:after="0"/>
              <w:rPr>
                <w:sz w:val="20"/>
                <w:szCs w:val="20"/>
                <w:color w:val="auto"/>
              </w:rPr>
            </w:pPr>
            <w:r>
              <w:rPr>
                <w:rFonts w:ascii="Arial" w:cs="Arial" w:eastAsia="Arial" w:hAnsi="Arial"/>
                <w:sz w:val="18"/>
                <w:szCs w:val="18"/>
                <w:color w:val="auto"/>
              </w:rPr>
              <w:t>Total financial assets</w:t>
            </w:r>
          </w:p>
        </w:tc>
        <w:tc>
          <w:tcPr>
            <w:tcW w:w="8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vMerge w:val="continue"/>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4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38,300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38,300</w:t>
            </w:r>
          </w:p>
        </w:tc>
        <w:tc>
          <w:tcPr>
            <w:tcW w:w="0" w:type="dxa"/>
            <w:vAlign w:val="bottom"/>
          </w:tcPr>
          <w:p>
            <w:pPr>
              <w:spacing w:after="0"/>
              <w:rPr>
                <w:sz w:val="1"/>
                <w:szCs w:val="1"/>
                <w:color w:val="auto"/>
              </w:rPr>
            </w:pPr>
          </w:p>
        </w:tc>
      </w:tr>
      <w:tr>
        <w:trPr>
          <w:trHeight w:val="21"/>
        </w:trPr>
        <w:tc>
          <w:tcPr>
            <w:tcW w:w="6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Liabilities: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840"/>
              <w:spacing w:after="0"/>
              <w:rPr>
                <w:sz w:val="20"/>
                <w:szCs w:val="20"/>
                <w:color w:val="auto"/>
              </w:rPr>
            </w:pPr>
            <w:r>
              <w:rPr>
                <w:rFonts w:ascii="Arial" w:cs="Arial" w:eastAsia="Arial" w:hAnsi="Arial"/>
                <w:sz w:val="18"/>
                <w:szCs w:val="18"/>
                <w:color w:val="auto"/>
              </w:rPr>
              <w:t>Total payment obligation related to acquisition</w:t>
            </w:r>
          </w:p>
        </w:tc>
        <w:tc>
          <w:tcPr>
            <w:tcW w:w="860" w:type="dxa"/>
            <w:vAlign w:val="bottom"/>
          </w:tcPr>
          <w:p>
            <w:pPr>
              <w:spacing w:after="0"/>
              <w:rPr>
                <w:sz w:val="19"/>
                <w:szCs w:val="19"/>
                <w:color w:val="auto"/>
              </w:rPr>
            </w:pPr>
          </w:p>
        </w:tc>
        <w:tc>
          <w:tcPr>
            <w:tcW w:w="3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2,327</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2,327</w:t>
            </w:r>
          </w:p>
        </w:tc>
        <w:tc>
          <w:tcPr>
            <w:tcW w:w="0" w:type="dxa"/>
            <w:vAlign w:val="bottom"/>
          </w:tcPr>
          <w:p>
            <w:pPr>
              <w:spacing w:after="0"/>
              <w:rPr>
                <w:sz w:val="1"/>
                <w:szCs w:val="1"/>
                <w:color w:val="auto"/>
              </w:rPr>
            </w:pPr>
          </w:p>
        </w:tc>
      </w:tr>
      <w:tr>
        <w:trPr>
          <w:trHeight w:val="27"/>
        </w:trPr>
        <w:tc>
          <w:tcPr>
            <w:tcW w:w="6620" w:type="dxa"/>
            <w:vAlign w:val="bottom"/>
            <w:vMerge w:val="restart"/>
            <w:shd w:val="clear" w:color="auto" w:fill="CCEEFF"/>
          </w:tcPr>
          <w:p>
            <w:pPr>
              <w:ind w:left="840"/>
              <w:spacing w:after="0"/>
              <w:rPr>
                <w:sz w:val="20"/>
                <w:szCs w:val="20"/>
                <w:color w:val="auto"/>
              </w:rPr>
            </w:pPr>
            <w:r>
              <w:rPr>
                <w:rFonts w:ascii="Arial" w:cs="Arial" w:eastAsia="Arial" w:hAnsi="Arial"/>
                <w:sz w:val="18"/>
                <w:szCs w:val="18"/>
                <w:color w:val="auto"/>
              </w:rPr>
              <w:t>Total liabilities</w:t>
            </w:r>
          </w:p>
        </w:tc>
        <w:tc>
          <w:tcPr>
            <w:tcW w:w="8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vMerge w:val="continue"/>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2,327</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2,327</w:t>
            </w:r>
          </w:p>
        </w:tc>
        <w:tc>
          <w:tcPr>
            <w:tcW w:w="0" w:type="dxa"/>
            <w:vAlign w:val="bottom"/>
          </w:tcPr>
          <w:p>
            <w:pPr>
              <w:spacing w:after="0"/>
              <w:rPr>
                <w:sz w:val="1"/>
                <w:szCs w:val="1"/>
                <w:color w:val="auto"/>
              </w:rPr>
            </w:pPr>
          </w:p>
        </w:tc>
      </w:tr>
      <w:tr>
        <w:trPr>
          <w:trHeight w:val="21"/>
        </w:trPr>
        <w:tc>
          <w:tcPr>
            <w:tcW w:w="6620" w:type="dxa"/>
            <w:vAlign w:val="bottom"/>
            <w:tcBorders>
              <w:top w:val="single" w:sz="8" w:color="CCEEFF"/>
              <w:bottom w:val="single" w:sz="8" w:color="CCEEFF"/>
            </w:tcBorders>
            <w:vMerge w:val="restart"/>
          </w:tcPr>
          <w:p>
            <w:pPr>
              <w:ind w:left="5640"/>
              <w:spacing w:after="0"/>
              <w:rPr>
                <w:sz w:val="20"/>
                <w:szCs w:val="20"/>
                <w:color w:val="auto"/>
              </w:rPr>
            </w:pPr>
            <w:r>
              <w:rPr>
                <w:rFonts w:ascii="Arial" w:cs="Arial" w:eastAsia="Arial" w:hAnsi="Arial"/>
                <w:sz w:val="18"/>
                <w:szCs w:val="18"/>
                <w:color w:val="auto"/>
              </w:rPr>
              <w:t>13</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6620" w:type="dxa"/>
            <w:vAlign w:val="bottom"/>
            <w:tcBorders>
              <w:bottom w:val="single" w:sz="8" w:color="auto"/>
            </w:tcBorders>
            <w:vMerge w:val="continue"/>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-2177415</wp:posOffset>
            </wp:positionV>
            <wp:extent cx="531495" cy="17240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1495" cy="172402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ind w:left="73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right="4700"/>
        <w:spacing w:after="0" w:line="313" w:lineRule="auto"/>
        <w:rPr>
          <w:sz w:val="20"/>
          <w:szCs w:val="20"/>
          <w:color w:val="auto"/>
        </w:rPr>
      </w:pPr>
      <w:r>
        <w:rPr>
          <w:rFonts w:ascii="Arial" w:cs="Arial" w:eastAsia="Arial" w:hAnsi="Arial"/>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 MEASUREMENTS (Cont.)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0"/>
              </w:rPr>
              <w:t>As of December 31, 2015</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620" w:type="dxa"/>
            <w:vAlign w:val="bottom"/>
          </w:tcPr>
          <w:p>
            <w:pPr>
              <w:spacing w:after="0"/>
              <w:rPr>
                <w:sz w:val="20"/>
                <w:szCs w:val="20"/>
                <w:color w:val="auto"/>
              </w:rPr>
            </w:pPr>
          </w:p>
        </w:tc>
        <w:tc>
          <w:tcPr>
            <w:tcW w:w="860" w:type="dxa"/>
            <w:vAlign w:val="bottom"/>
          </w:tcPr>
          <w:p>
            <w:pPr>
              <w:ind w:left="22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880" w:type="dxa"/>
            <w:vAlign w:val="bottom"/>
          </w:tcPr>
          <w:p>
            <w:pPr>
              <w:ind w:left="220"/>
              <w:spacing w:after="0"/>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840"/>
              <w:spacing w:after="0"/>
              <w:rPr>
                <w:sz w:val="20"/>
                <w:szCs w:val="20"/>
                <w:color w:val="auto"/>
              </w:rPr>
            </w:pPr>
            <w:r>
              <w:rPr>
                <w:rFonts w:ascii="Arial" w:cs="Arial" w:eastAsia="Arial" w:hAnsi="Arial"/>
                <w:sz w:val="18"/>
                <w:szCs w:val="18"/>
                <w:color w:val="auto"/>
              </w:rPr>
              <w:t>Assets:</w:t>
            </w: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Available-for-sale marketable securities</w:t>
            </w: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33,679</w:t>
            </w:r>
          </w:p>
        </w:tc>
        <w:tc>
          <w:tcPr>
            <w:tcW w:w="8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33,679</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Liabilities: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840"/>
              <w:spacing w:after="0"/>
              <w:rPr>
                <w:sz w:val="20"/>
                <w:szCs w:val="20"/>
                <w:color w:val="auto"/>
              </w:rPr>
            </w:pPr>
            <w:r>
              <w:rPr>
                <w:rFonts w:ascii="Arial" w:cs="Arial" w:eastAsia="Arial" w:hAnsi="Arial"/>
                <w:sz w:val="18"/>
                <w:szCs w:val="18"/>
                <w:color w:val="auto"/>
              </w:rPr>
              <w:t>Foreign currency derivative contracts</w:t>
            </w:r>
          </w:p>
        </w:tc>
        <w:tc>
          <w:tcPr>
            <w:tcW w:w="860" w:type="dxa"/>
            <w:vAlign w:val="bottom"/>
          </w:tcPr>
          <w:p>
            <w:pPr>
              <w:spacing w:after="0"/>
              <w:rPr>
                <w:sz w:val="19"/>
                <w:szCs w:val="19"/>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880" w:type="dxa"/>
            <w:vAlign w:val="bottom"/>
          </w:tcPr>
          <w:p>
            <w:pPr>
              <w:spacing w:after="0"/>
              <w:rPr>
                <w:sz w:val="19"/>
                <w:szCs w:val="19"/>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6620" w:type="dxa"/>
            <w:vAlign w:val="bottom"/>
            <w:vMerge w:val="restart"/>
            <w:shd w:val="clear" w:color="auto" w:fill="CCEEFF"/>
          </w:tcPr>
          <w:p>
            <w:pPr>
              <w:ind w:left="840"/>
              <w:spacing w:after="0"/>
              <w:rPr>
                <w:sz w:val="20"/>
                <w:szCs w:val="20"/>
                <w:color w:val="auto"/>
              </w:rPr>
            </w:pPr>
            <w:r>
              <w:rPr>
                <w:rFonts w:ascii="Arial" w:cs="Arial" w:eastAsia="Arial" w:hAnsi="Arial"/>
                <w:sz w:val="18"/>
                <w:szCs w:val="18"/>
                <w:color w:val="auto"/>
              </w:rPr>
              <w:t>Total financial assets</w:t>
            </w:r>
          </w:p>
        </w:tc>
        <w:tc>
          <w:tcPr>
            <w:tcW w:w="8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vMerge w:val="continue"/>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880" w:type="dxa"/>
            <w:vAlign w:val="bottom"/>
            <w:shd w:val="clear" w:color="auto" w:fill="CCEEFF"/>
          </w:tcPr>
          <w:p>
            <w:pPr>
              <w:spacing w:after="0"/>
              <w:rPr>
                <w:sz w:val="21"/>
                <w:szCs w:val="21"/>
                <w:color w:val="auto"/>
              </w:rPr>
            </w:pPr>
          </w:p>
        </w:tc>
        <w:tc>
          <w:tcPr>
            <w:tcW w:w="5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
        </w:trPr>
        <w:tc>
          <w:tcPr>
            <w:tcW w:w="6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-1234440</wp:posOffset>
            </wp:positionV>
            <wp:extent cx="531495" cy="12090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1495" cy="120904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p>
      <w:pPr>
        <w:spacing w:after="0" w:line="202" w:lineRule="exact"/>
        <w:rPr>
          <w:sz w:val="20"/>
          <w:szCs w:val="20"/>
          <w:color w:val="auto"/>
        </w:rPr>
      </w:pPr>
    </w:p>
    <w:p>
      <w:pPr>
        <w:ind w:left="860"/>
        <w:spacing w:after="0"/>
        <w:rPr>
          <w:sz w:val="20"/>
          <w:szCs w:val="20"/>
          <w:color w:val="auto"/>
        </w:rPr>
      </w:pPr>
      <w:r>
        <w:rPr>
          <w:rFonts w:ascii="Arial" w:cs="Arial" w:eastAsia="Arial" w:hAnsi="Arial"/>
          <w:sz w:val="16"/>
          <w:szCs w:val="16"/>
          <w:color w:val="auto"/>
        </w:rPr>
        <w:t>The following table set forth the change of fair value measurements that are categorized within Level 3:</w:t>
      </w:r>
    </w:p>
    <w:p>
      <w:pPr>
        <w:spacing w:after="0" w:line="24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Total fair value as of January 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7543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754380"/>
                    </a:xfrm>
                    <a:prstGeom prst="rect">
                      <a:avLst/>
                    </a:prstGeom>
                    <a:noFill/>
                  </pic:spPr>
                </pic:pic>
              </a:graphicData>
            </a:graphic>
          </wp:anchor>
        </w:drawing>
      </w:r>
    </w:p>
    <w:p>
      <w:pPr>
        <w:spacing w:after="0" w:line="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Payment obligation related to acquisition</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Accretion of payments obligation</w:t>
      </w:r>
    </w:p>
    <w:p>
      <w:pPr>
        <w:spacing w:after="0" w:line="25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Total fair value as of September 30, 2016 (Unaudited)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961" w:hanging="961"/>
        <w:spacing w:after="0"/>
        <w:tabs>
          <w:tab w:leader="none" w:pos="961"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601"/>
        <w:spacing w:after="0"/>
        <w:rPr>
          <w:rFonts w:ascii="Arial" w:cs="Arial" w:eastAsia="Arial" w:hAnsi="Arial"/>
          <w:sz w:val="18"/>
          <w:szCs w:val="18"/>
          <w:color w:val="auto"/>
        </w:rPr>
      </w:pPr>
      <w:r>
        <w:rPr>
          <w:rFonts w:ascii="Arial" w:cs="Arial" w:eastAsia="Arial" w:hAnsi="Arial"/>
          <w:sz w:val="16"/>
          <w:szCs w:val="16"/>
          <w:color w:val="auto"/>
        </w:rPr>
        <w:t>2,237</w:t>
      </w:r>
    </w:p>
    <w:p>
      <w:pPr>
        <w:spacing w:after="0" w:line="32" w:lineRule="exact"/>
        <w:rPr>
          <w:rFonts w:ascii="Arial" w:cs="Arial" w:eastAsia="Arial" w:hAnsi="Arial"/>
          <w:sz w:val="18"/>
          <w:szCs w:val="18"/>
          <w:color w:val="auto"/>
        </w:rPr>
      </w:pPr>
    </w:p>
    <w:p>
      <w:pPr>
        <w:ind w:left="841"/>
        <w:spacing w:after="0"/>
        <w:rPr>
          <w:rFonts w:ascii="Arial" w:cs="Arial" w:eastAsia="Arial" w:hAnsi="Arial"/>
          <w:sz w:val="18"/>
          <w:szCs w:val="18"/>
          <w:color w:val="auto"/>
        </w:rPr>
      </w:pPr>
      <w:r>
        <w:rPr>
          <w:rFonts w:ascii="Arial" w:cs="Arial" w:eastAsia="Arial" w:hAnsi="Arial"/>
          <w:sz w:val="16"/>
          <w:szCs w:val="16"/>
          <w:color w:val="auto"/>
        </w:rPr>
        <w:t>90</w:t>
      </w:r>
    </w:p>
    <w:p>
      <w:pPr>
        <w:spacing w:after="0" w:line="315" w:lineRule="exact"/>
        <w:rPr>
          <w:sz w:val="20"/>
          <w:szCs w:val="20"/>
          <w:color w:val="auto"/>
        </w:rPr>
      </w:pPr>
    </w:p>
    <w:p>
      <w:pPr>
        <w:ind w:left="601" w:hanging="601"/>
        <w:spacing w:after="0"/>
        <w:tabs>
          <w:tab w:leader="none" w:pos="601" w:val="left"/>
        </w:tabs>
        <w:numPr>
          <w:ilvl w:val="0"/>
          <w:numId w:val="8"/>
        </w:numPr>
        <w:rPr>
          <w:rFonts w:ascii="Arial" w:cs="Arial" w:eastAsia="Arial" w:hAnsi="Arial"/>
          <w:sz w:val="16"/>
          <w:szCs w:val="16"/>
          <w:color w:val="auto"/>
        </w:rPr>
      </w:pPr>
      <w:r>
        <w:rPr>
          <w:rFonts w:ascii="Arial" w:cs="Arial" w:eastAsia="Arial" w:hAnsi="Arial"/>
          <w:sz w:val="16"/>
          <w:szCs w:val="16"/>
          <w:color w:val="auto"/>
        </w:rPr>
        <w:t>2,327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64325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325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579" w:space="720"/>
            <w:col w:w="1121"/>
          </w:cols>
          <w:pgMar w:left="240" w:top="904" w:right="239" w:bottom="1440" w:gutter="0" w:footer="0" w:header="0"/>
          <w:type w:val="continuous"/>
        </w:sectPr>
      </w:pPr>
    </w:p>
    <w:p>
      <w:pPr>
        <w:spacing w:after="0" w:line="116" w:lineRule="exact"/>
        <w:rPr>
          <w:sz w:val="20"/>
          <w:szCs w:val="20"/>
          <w:color w:val="auto"/>
        </w:rPr>
      </w:pPr>
    </w:p>
    <w:p>
      <w:pPr>
        <w:jc w:val="both"/>
        <w:ind w:left="860"/>
        <w:spacing w:after="0" w:line="291" w:lineRule="auto"/>
        <w:rPr>
          <w:sz w:val="20"/>
          <w:szCs w:val="20"/>
          <w:color w:val="auto"/>
        </w:rPr>
      </w:pPr>
      <w:r>
        <w:rPr>
          <w:rFonts w:ascii="Arial" w:cs="Arial" w:eastAsia="Arial" w:hAnsi="Arial"/>
          <w:sz w:val="16"/>
          <w:szCs w:val="16"/>
          <w:color w:val="auto"/>
        </w:rPr>
        <w:t>The fair value of the payment obligation related to acquisition was estimated based several factors of which the most significant is the Company's revenue projections. The Company used a Monte Carlo Simulation of the triangular model with a discount rate of 15%. Payment obligation related to acquisition are revalued to current fair value at each reporting date. Any change in the fair value as a result of time passage is recognized in the financial expenses; any other changes in significant inputs such as the discount rate, the discount period or other factors used in the calculation, is recognized in operation expenses in the consolidated results of operations in the period the estimated fair value changes. Payment obligation related to acquisition will continue to be accounted for and measured at fair value until the contingencies are settled during fiscal years 2016, 2017 and 2018. Accretion of the payment obligation related to acquisition is included in financial expenses, net.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r>
              <w:rPr>
                <w:rFonts w:ascii="Arial" w:cs="Arial" w:eastAsia="Arial" w:hAnsi="Arial"/>
                <w:sz w:val="18"/>
                <w:szCs w:val="18"/>
                <w:b w:val="1"/>
                <w:bCs w:val="1"/>
                <w:color w:val="auto"/>
              </w:rPr>
              <w:t>NOTE 6:- INVENTORIES</w:t>
            </w:r>
          </w:p>
        </w:tc>
        <w:tc>
          <w:tcPr>
            <w:tcW w:w="2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6040" w:type="dxa"/>
            <w:vAlign w:val="bottom"/>
          </w:tcPr>
          <w:p>
            <w:pPr>
              <w:spacing w:after="0"/>
              <w:rPr>
                <w:sz w:val="24"/>
                <w:szCs w:val="24"/>
                <w:color w:val="auto"/>
              </w:rPr>
            </w:pPr>
          </w:p>
        </w:tc>
        <w:tc>
          <w:tcPr>
            <w:tcW w:w="424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September 30,</w:t>
            </w: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w w:val="95"/>
              </w:rPr>
              <w:t>December 31,</w:t>
            </w:r>
          </w:p>
        </w:tc>
      </w:tr>
      <w:tr>
        <w:trPr>
          <w:trHeight w:val="241"/>
        </w:trPr>
        <w:tc>
          <w:tcPr>
            <w:tcW w:w="60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r>
      <w:tr>
        <w:trPr>
          <w:trHeight w:val="223"/>
        </w:trPr>
        <w:tc>
          <w:tcPr>
            <w:tcW w:w="604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(Unaudited)</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0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Raw materials and components</w:t>
            </w:r>
          </w:p>
        </w:tc>
        <w:tc>
          <w:tcPr>
            <w:tcW w:w="31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12,006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8,724</w:t>
            </w:r>
          </w:p>
        </w:tc>
        <w:tc>
          <w:tcPr>
            <w:tcW w:w="100" w:type="dxa"/>
            <w:vAlign w:val="bottom"/>
            <w:shd w:val="clear" w:color="auto" w:fill="CCEEFF"/>
          </w:tcPr>
          <w:p>
            <w:pPr>
              <w:spacing w:after="0"/>
              <w:rPr>
                <w:sz w:val="18"/>
                <w:szCs w:val="18"/>
                <w:color w:val="auto"/>
              </w:rPr>
            </w:pPr>
          </w:p>
        </w:tc>
      </w:tr>
      <w:tr>
        <w:trPr>
          <w:trHeight w:val="237"/>
        </w:trPr>
        <w:tc>
          <w:tcPr>
            <w:tcW w:w="6040" w:type="dxa"/>
            <w:vAlign w:val="bottom"/>
          </w:tcPr>
          <w:p>
            <w:pPr>
              <w:ind w:left="840"/>
              <w:spacing w:after="0"/>
              <w:rPr>
                <w:sz w:val="20"/>
                <w:szCs w:val="20"/>
                <w:color w:val="auto"/>
              </w:rPr>
            </w:pPr>
            <w:r>
              <w:rPr>
                <w:rFonts w:ascii="Arial" w:cs="Arial" w:eastAsia="Arial" w:hAnsi="Arial"/>
                <w:sz w:val="18"/>
                <w:szCs w:val="18"/>
                <w:color w:val="auto"/>
              </w:rPr>
              <w:t>Finished products (*)</w:t>
            </w:r>
          </w:p>
        </w:tc>
        <w:tc>
          <w:tcPr>
            <w:tcW w:w="2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10,949</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7,079</w:t>
            </w:r>
          </w:p>
        </w:tc>
        <w:tc>
          <w:tcPr>
            <w:tcW w:w="100" w:type="dxa"/>
            <w:vAlign w:val="bottom"/>
          </w:tcPr>
          <w:p>
            <w:pPr>
              <w:spacing w:after="0"/>
              <w:rPr>
                <w:sz w:val="20"/>
                <w:szCs w:val="20"/>
                <w:color w:val="auto"/>
              </w:rPr>
            </w:pPr>
          </w:p>
        </w:tc>
      </w:tr>
      <w:tr>
        <w:trPr>
          <w:trHeight w:val="216"/>
        </w:trPr>
        <w:tc>
          <w:tcPr>
            <w:tcW w:w="6040" w:type="dxa"/>
            <w:vAlign w:val="bottom"/>
            <w:tcBorders>
              <w:top w:val="single" w:sz="8" w:color="CCEEFF"/>
            </w:tcBorders>
            <w:shd w:val="clear" w:color="auto" w:fill="CCEEFF"/>
          </w:tcPr>
          <w:p>
            <w:pPr>
              <w:spacing w:after="0"/>
              <w:rPr>
                <w:sz w:val="18"/>
                <w:szCs w:val="18"/>
                <w:color w:val="auto"/>
              </w:rPr>
            </w:pPr>
          </w:p>
        </w:tc>
        <w:tc>
          <w:tcPr>
            <w:tcW w:w="29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4"/>
        </w:trPr>
        <w:tc>
          <w:tcPr>
            <w:tcW w:w="6040" w:type="dxa"/>
            <w:vAlign w:val="bottom"/>
          </w:tcPr>
          <w:p>
            <w:pPr>
              <w:spacing w:after="0"/>
              <w:rPr>
                <w:sz w:val="22"/>
                <w:szCs w:val="22"/>
                <w:color w:val="auto"/>
              </w:rPr>
            </w:pPr>
          </w:p>
        </w:tc>
        <w:tc>
          <w:tcPr>
            <w:tcW w:w="31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22,955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15,803</w:t>
            </w:r>
          </w:p>
        </w:tc>
        <w:tc>
          <w:tcPr>
            <w:tcW w:w="100" w:type="dxa"/>
            <w:vAlign w:val="bottom"/>
          </w:tcPr>
          <w:p>
            <w:pPr>
              <w:spacing w:after="0"/>
              <w:rPr>
                <w:sz w:val="22"/>
                <w:szCs w:val="22"/>
                <w:color w:val="auto"/>
              </w:rPr>
            </w:pPr>
          </w:p>
        </w:tc>
      </w:tr>
      <w:tr>
        <w:trPr>
          <w:trHeight w:val="21"/>
        </w:trPr>
        <w:tc>
          <w:tcPr>
            <w:tcW w:w="60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-1234440</wp:posOffset>
            </wp:positionV>
            <wp:extent cx="531495" cy="12090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1495" cy="1209040"/>
                    </a:xfrm>
                    <a:prstGeom prst="rect">
                      <a:avLst/>
                    </a:prstGeom>
                    <a:noFill/>
                  </pic:spPr>
                </pic:pic>
              </a:graphicData>
            </a:graphic>
          </wp:anchor>
        </w:drawing>
      </w:r>
    </w:p>
    <w:p>
      <w:pPr>
        <w:spacing w:after="0" w:line="182" w:lineRule="exact"/>
        <w:rPr>
          <w:sz w:val="20"/>
          <w:szCs w:val="20"/>
          <w:color w:val="auto"/>
        </w:rPr>
      </w:pPr>
    </w:p>
    <w:p>
      <w:pPr>
        <w:jc w:val="center"/>
        <w:ind w:left="5640" w:right="1580" w:hanging="4862"/>
        <w:spacing w:after="0" w:line="778"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Inventory write-off amounted to $920 and $799 for the nine months ended September 30, 2016 and 2015, respectively.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8" w:name="page19"/>
    <w:bookmarkEnd w:id="18"/>
    <w:p>
      <w:pPr>
        <w:ind w:left="73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right="4700"/>
        <w:spacing w:after="0" w:line="313" w:lineRule="auto"/>
        <w:rPr>
          <w:sz w:val="20"/>
          <w:szCs w:val="20"/>
          <w:color w:val="auto"/>
        </w:rPr>
      </w:pPr>
      <w:r>
        <w:rPr>
          <w:rFonts w:ascii="Arial" w:cs="Arial" w:eastAsia="Arial" w:hAnsi="Arial"/>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tcPr>
          <w:p>
            <w:pPr>
              <w:spacing w:after="0"/>
              <w:rPr>
                <w:sz w:val="20"/>
                <w:szCs w:val="20"/>
                <w:color w:val="auto"/>
              </w:rPr>
            </w:pPr>
            <w:r>
              <w:rPr>
                <w:rFonts w:ascii="Arial" w:cs="Arial" w:eastAsia="Arial" w:hAnsi="Arial"/>
                <w:sz w:val="18"/>
                <w:szCs w:val="18"/>
                <w:b w:val="1"/>
                <w:bCs w:val="1"/>
                <w:color w:val="auto"/>
              </w:rPr>
              <w:t>NOTE 7:- INTANGIBLE ASSETS, NET</w:t>
            </w: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660" w:type="dxa"/>
            <w:vAlign w:val="bottom"/>
          </w:tcPr>
          <w:p>
            <w:pPr>
              <w:ind w:left="860"/>
              <w:spacing w:after="0"/>
              <w:rPr>
                <w:sz w:val="20"/>
                <w:szCs w:val="20"/>
                <w:color w:val="auto"/>
              </w:rPr>
            </w:pPr>
            <w:r>
              <w:rPr>
                <w:rFonts w:ascii="Arial" w:cs="Arial" w:eastAsia="Arial" w:hAnsi="Arial"/>
                <w:sz w:val="18"/>
                <w:szCs w:val="18"/>
                <w:color w:val="auto"/>
              </w:rPr>
              <w:t>Intangible assets are comprised of the following:</w:t>
            </w: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7"/>
        </w:trPr>
        <w:tc>
          <w:tcPr>
            <w:tcW w:w="6660" w:type="dxa"/>
            <w:vAlign w:val="bottom"/>
          </w:tcPr>
          <w:p>
            <w:pPr>
              <w:spacing w:after="0"/>
              <w:rPr>
                <w:sz w:val="24"/>
                <w:szCs w:val="24"/>
                <w:color w:val="auto"/>
              </w:rPr>
            </w:pPr>
          </w:p>
        </w:tc>
        <w:tc>
          <w:tcPr>
            <w:tcW w:w="3500" w:type="dxa"/>
            <w:vAlign w:val="bottom"/>
            <w:gridSpan w:val="4"/>
          </w:tcPr>
          <w:p>
            <w:pPr>
              <w:ind w:left="2300"/>
              <w:spacing w:after="0"/>
              <w:rPr>
                <w:sz w:val="20"/>
                <w:szCs w:val="20"/>
                <w:color w:val="auto"/>
              </w:rPr>
            </w:pPr>
            <w:r>
              <w:rPr>
                <w:rFonts w:ascii="Arial" w:cs="Arial" w:eastAsia="Arial" w:hAnsi="Arial"/>
                <w:sz w:val="18"/>
                <w:szCs w:val="18"/>
                <w:b w:val="1"/>
                <w:bCs w:val="1"/>
                <w:color w:val="auto"/>
                <w:w w:val="95"/>
              </w:rPr>
              <w:t>September 30,</w:t>
            </w:r>
          </w:p>
        </w:tc>
        <w:tc>
          <w:tcPr>
            <w:tcW w:w="1260" w:type="dxa"/>
            <w:vAlign w:val="bottom"/>
            <w:gridSpan w:val="6"/>
          </w:tcPr>
          <w:p>
            <w:pPr>
              <w:ind w:left="120"/>
              <w:spacing w:after="0"/>
              <w:rPr>
                <w:sz w:val="20"/>
                <w:szCs w:val="20"/>
                <w:color w:val="auto"/>
              </w:rPr>
            </w:pPr>
            <w:r>
              <w:rPr>
                <w:rFonts w:ascii="Arial" w:cs="Arial" w:eastAsia="Arial" w:hAnsi="Arial"/>
                <w:sz w:val="18"/>
                <w:szCs w:val="18"/>
                <w:b w:val="1"/>
                <w:bCs w:val="1"/>
                <w:color w:val="auto"/>
                <w:w w:val="95"/>
              </w:rPr>
              <w:t>December 31,</w:t>
            </w:r>
          </w:p>
        </w:tc>
      </w:tr>
      <w:tr>
        <w:trPr>
          <w:trHeight w:val="241"/>
        </w:trPr>
        <w:tc>
          <w:tcPr>
            <w:tcW w:w="66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66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3"/>
              </w:rPr>
              <w:t>Unaudited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660" w:type="dxa"/>
            <w:vAlign w:val="bottom"/>
          </w:tcPr>
          <w:p>
            <w:pPr>
              <w:ind w:left="840"/>
              <w:spacing w:after="0"/>
              <w:rPr>
                <w:sz w:val="20"/>
                <w:szCs w:val="20"/>
                <w:color w:val="auto"/>
              </w:rPr>
            </w:pPr>
            <w:r>
              <w:rPr>
                <w:rFonts w:ascii="Arial" w:cs="Arial" w:eastAsia="Arial" w:hAnsi="Arial"/>
                <w:sz w:val="18"/>
                <w:szCs w:val="18"/>
                <w:color w:val="auto"/>
              </w:rPr>
              <w:t>Original amount:</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6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Acquired technology</w:t>
            </w:r>
          </w:p>
        </w:tc>
        <w:tc>
          <w:tcPr>
            <w:tcW w:w="2420" w:type="dxa"/>
            <w:vAlign w:val="bottom"/>
            <w:gridSpan w:val="2"/>
            <w:shd w:val="clear" w:color="auto" w:fill="CCEEFF"/>
          </w:tcPr>
          <w:p>
            <w:pPr>
              <w:ind w:left="230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1,566</w:t>
            </w:r>
          </w:p>
        </w:tc>
        <w:tc>
          <w:tcPr>
            <w:tcW w:w="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1,566</w:t>
            </w:r>
          </w:p>
        </w:tc>
        <w:tc>
          <w:tcPr>
            <w:tcW w:w="80" w:type="dxa"/>
            <w:vAlign w:val="bottom"/>
            <w:shd w:val="clear" w:color="auto" w:fill="CCEEFF"/>
          </w:tcPr>
          <w:p>
            <w:pPr>
              <w:spacing w:after="0"/>
              <w:rPr>
                <w:sz w:val="18"/>
                <w:szCs w:val="18"/>
                <w:color w:val="auto"/>
              </w:rPr>
            </w:pPr>
          </w:p>
        </w:tc>
      </w:tr>
      <w:tr>
        <w:trPr>
          <w:trHeight w:val="216"/>
        </w:trPr>
        <w:tc>
          <w:tcPr>
            <w:tcW w:w="6660" w:type="dxa"/>
            <w:vAlign w:val="bottom"/>
          </w:tcPr>
          <w:p>
            <w:pPr>
              <w:ind w:left="1020"/>
              <w:spacing w:after="0"/>
              <w:rPr>
                <w:sz w:val="20"/>
                <w:szCs w:val="20"/>
                <w:color w:val="auto"/>
              </w:rPr>
            </w:pPr>
            <w:r>
              <w:rPr>
                <w:rFonts w:ascii="Arial" w:cs="Arial" w:eastAsia="Arial" w:hAnsi="Arial"/>
                <w:sz w:val="18"/>
                <w:szCs w:val="18"/>
                <w:color w:val="auto"/>
              </w:rPr>
              <w:t>Customer relationships</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2,614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50"/>
        </w:trPr>
        <w:tc>
          <w:tcPr>
            <w:tcW w:w="666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Non-competition agreement</w:t>
            </w:r>
          </w:p>
        </w:tc>
        <w:tc>
          <w:tcPr>
            <w:tcW w:w="2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r>
      <w:tr>
        <w:trPr>
          <w:trHeight w:val="210"/>
        </w:trPr>
        <w:tc>
          <w:tcPr>
            <w:tcW w:w="6660" w:type="dxa"/>
            <w:vAlign w:val="bottom"/>
            <w:tcBorders>
              <w:top w:val="single" w:sz="8" w:color="CCEEFF"/>
              <w:bottom w:val="single" w:sz="8" w:color="CCEEFF"/>
            </w:tcBorders>
          </w:tcPr>
          <w:p>
            <w:pPr>
              <w:spacing w:after="0"/>
              <w:rPr>
                <w:sz w:val="18"/>
                <w:szCs w:val="18"/>
                <w:color w:val="auto"/>
              </w:rPr>
            </w:pPr>
          </w:p>
        </w:tc>
        <w:tc>
          <w:tcPr>
            <w:tcW w:w="23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4,445</w:t>
            </w: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1,566</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66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Accumulated amortization:</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660" w:type="dxa"/>
            <w:vAlign w:val="bottom"/>
          </w:tcPr>
          <w:p>
            <w:pPr>
              <w:ind w:left="1020"/>
              <w:spacing w:after="0"/>
              <w:rPr>
                <w:sz w:val="20"/>
                <w:szCs w:val="20"/>
                <w:color w:val="auto"/>
              </w:rPr>
            </w:pPr>
            <w:r>
              <w:rPr>
                <w:rFonts w:ascii="Arial" w:cs="Arial" w:eastAsia="Arial" w:hAnsi="Arial"/>
                <w:sz w:val="18"/>
                <w:szCs w:val="18"/>
                <w:color w:val="auto"/>
              </w:rPr>
              <w:t>Acquired technology</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713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543</w:t>
            </w:r>
          </w:p>
        </w:tc>
        <w:tc>
          <w:tcPr>
            <w:tcW w:w="80" w:type="dxa"/>
            <w:vAlign w:val="bottom"/>
          </w:tcPr>
          <w:p>
            <w:pPr>
              <w:spacing w:after="0"/>
              <w:rPr>
                <w:sz w:val="18"/>
                <w:szCs w:val="18"/>
                <w:color w:val="auto"/>
              </w:rPr>
            </w:pPr>
          </w:p>
        </w:tc>
      </w:tr>
      <w:tr>
        <w:trPr>
          <w:trHeight w:val="216"/>
        </w:trPr>
        <w:tc>
          <w:tcPr>
            <w:tcW w:w="666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Customer relationships</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37"/>
        </w:trPr>
        <w:tc>
          <w:tcPr>
            <w:tcW w:w="6660" w:type="dxa"/>
            <w:vAlign w:val="bottom"/>
          </w:tcPr>
          <w:p>
            <w:pPr>
              <w:ind w:left="1020"/>
              <w:spacing w:after="0"/>
              <w:rPr>
                <w:sz w:val="20"/>
                <w:szCs w:val="20"/>
                <w:color w:val="auto"/>
              </w:rPr>
            </w:pPr>
            <w:r>
              <w:rPr>
                <w:rFonts w:ascii="Arial" w:cs="Arial" w:eastAsia="Arial" w:hAnsi="Arial"/>
                <w:sz w:val="18"/>
                <w:szCs w:val="18"/>
                <w:color w:val="auto"/>
              </w:rPr>
              <w:t>Non-competition agreement</w:t>
            </w: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36"/>
        </w:trPr>
        <w:tc>
          <w:tcPr>
            <w:tcW w:w="6660" w:type="dxa"/>
            <w:vAlign w:val="bottom"/>
            <w:tcBorders>
              <w:top w:val="single" w:sz="8" w:color="CCEEFF"/>
              <w:bottom w:val="single" w:sz="8" w:color="CCEEFF"/>
            </w:tcBorders>
            <w:shd w:val="clear" w:color="auto" w:fill="CCEEFF"/>
          </w:tcPr>
          <w:p>
            <w:pPr>
              <w:spacing w:after="0"/>
              <w:rPr>
                <w:sz w:val="20"/>
                <w:szCs w:val="20"/>
                <w:color w:val="auto"/>
              </w:rPr>
            </w:pPr>
          </w:p>
        </w:tc>
        <w:tc>
          <w:tcPr>
            <w:tcW w:w="23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6660" w:type="dxa"/>
            <w:vAlign w:val="bottom"/>
          </w:tcPr>
          <w:p>
            <w:pPr>
              <w:ind w:left="840"/>
              <w:spacing w:after="0" w:line="203" w:lineRule="exact"/>
              <w:rPr>
                <w:sz w:val="20"/>
                <w:szCs w:val="20"/>
                <w:color w:val="auto"/>
              </w:rPr>
            </w:pPr>
            <w:r>
              <w:rPr>
                <w:rFonts w:ascii="Arial" w:cs="Arial" w:eastAsia="Arial" w:hAnsi="Arial"/>
                <w:sz w:val="18"/>
                <w:szCs w:val="18"/>
                <w:color w:val="auto"/>
              </w:rPr>
              <w:t>Other intangible assets ,net:</w:t>
            </w:r>
          </w:p>
        </w:tc>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66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Acquired technology</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1,023</w:t>
            </w:r>
          </w:p>
        </w:tc>
        <w:tc>
          <w:tcPr>
            <w:tcW w:w="80" w:type="dxa"/>
            <w:vAlign w:val="bottom"/>
            <w:shd w:val="clear" w:color="auto" w:fill="CCEEFF"/>
          </w:tcPr>
          <w:p>
            <w:pPr>
              <w:spacing w:after="0"/>
              <w:rPr>
                <w:sz w:val="18"/>
                <w:szCs w:val="18"/>
                <w:color w:val="auto"/>
              </w:rPr>
            </w:pPr>
          </w:p>
        </w:tc>
      </w:tr>
      <w:tr>
        <w:trPr>
          <w:trHeight w:val="216"/>
        </w:trPr>
        <w:tc>
          <w:tcPr>
            <w:tcW w:w="6660" w:type="dxa"/>
            <w:vAlign w:val="bottom"/>
          </w:tcPr>
          <w:p>
            <w:pPr>
              <w:ind w:left="1020"/>
              <w:spacing w:after="0"/>
              <w:rPr>
                <w:sz w:val="20"/>
                <w:szCs w:val="20"/>
                <w:color w:val="auto"/>
              </w:rPr>
            </w:pPr>
            <w:r>
              <w:rPr>
                <w:rFonts w:ascii="Arial" w:cs="Arial" w:eastAsia="Arial" w:hAnsi="Arial"/>
                <w:sz w:val="18"/>
                <w:szCs w:val="18"/>
                <w:color w:val="auto"/>
              </w:rPr>
              <w:t>Customer relationships</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2,484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37"/>
        </w:trPr>
        <w:tc>
          <w:tcPr>
            <w:tcW w:w="666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Non-competition agreement</w:t>
            </w:r>
          </w:p>
        </w:tc>
        <w:tc>
          <w:tcPr>
            <w:tcW w:w="2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r>
      <w:tr>
        <w:trPr>
          <w:trHeight w:val="216"/>
        </w:trPr>
        <w:tc>
          <w:tcPr>
            <w:tcW w:w="666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64"/>
        </w:trPr>
        <w:tc>
          <w:tcPr>
            <w:tcW w:w="6660" w:type="dxa"/>
            <w:vAlign w:val="bottom"/>
            <w:shd w:val="clear" w:color="auto" w:fill="CCEEFF"/>
          </w:tcPr>
          <w:p>
            <w:pPr>
              <w:spacing w:after="0"/>
              <w:rPr>
                <w:sz w:val="22"/>
                <w:szCs w:val="22"/>
                <w:color w:val="auto"/>
              </w:rPr>
            </w:pPr>
          </w:p>
        </w:tc>
        <w:tc>
          <w:tcPr>
            <w:tcW w:w="2420" w:type="dxa"/>
            <w:vAlign w:val="bottom"/>
            <w:gridSpan w:val="2"/>
            <w:shd w:val="clear" w:color="auto" w:fill="CCEEFF"/>
          </w:tcPr>
          <w:p>
            <w:pPr>
              <w:ind w:left="230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3,586</w:t>
            </w:r>
          </w:p>
        </w:tc>
        <w:tc>
          <w:tcPr>
            <w:tcW w:w="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1,023</w:t>
            </w:r>
          </w:p>
        </w:tc>
        <w:tc>
          <w:tcPr>
            <w:tcW w:w="80" w:type="dxa"/>
            <w:vAlign w:val="bottom"/>
            <w:shd w:val="clear" w:color="auto" w:fill="CCEEFF"/>
          </w:tcPr>
          <w:p>
            <w:pPr>
              <w:spacing w:after="0"/>
              <w:rPr>
                <w:sz w:val="22"/>
                <w:szCs w:val="22"/>
                <w:color w:val="auto"/>
              </w:rPr>
            </w:pPr>
          </w:p>
        </w:tc>
      </w:tr>
      <w:tr>
        <w:trPr>
          <w:trHeight w:val="21"/>
        </w:trPr>
        <w:tc>
          <w:tcPr>
            <w:tcW w:w="8960" w:type="dxa"/>
            <w:vAlign w:val="bottom"/>
            <w:tcBorders>
              <w:top w:val="single" w:sz="8" w:color="CCEEFF"/>
            </w:tcBorders>
            <w:gridSpan w:val="2"/>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432"/>
        </w:trPr>
        <w:tc>
          <w:tcPr>
            <w:tcW w:w="10160" w:type="dxa"/>
            <w:vAlign w:val="bottom"/>
            <w:gridSpan w:val="5"/>
          </w:tcPr>
          <w:p>
            <w:pPr>
              <w:ind w:left="860"/>
              <w:spacing w:after="0"/>
              <w:rPr>
                <w:sz w:val="20"/>
                <w:szCs w:val="20"/>
                <w:color w:val="auto"/>
              </w:rPr>
            </w:pPr>
            <w:r>
              <w:rPr>
                <w:rFonts w:ascii="Arial" w:cs="Arial" w:eastAsia="Arial" w:hAnsi="Arial"/>
                <w:sz w:val="18"/>
                <w:szCs w:val="18"/>
                <w:color w:val="auto"/>
              </w:rPr>
              <w:t>The estimated future amortization expense of other intangible assets as of September 30, 2016 for the years ending:</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5"/>
        </w:trPr>
        <w:tc>
          <w:tcPr>
            <w:tcW w:w="6660" w:type="dxa"/>
            <w:vAlign w:val="bottom"/>
          </w:tcPr>
          <w:p>
            <w:pPr>
              <w:ind w:left="840"/>
              <w:spacing w:after="0"/>
              <w:rPr>
                <w:sz w:val="20"/>
                <w:szCs w:val="20"/>
                <w:color w:val="auto"/>
              </w:rPr>
            </w:pPr>
            <w:r>
              <w:rPr>
                <w:rFonts w:ascii="Arial" w:cs="Arial" w:eastAsia="Arial" w:hAnsi="Arial"/>
                <w:sz w:val="18"/>
                <w:szCs w:val="18"/>
                <w:b w:val="1"/>
                <w:bCs w:val="1"/>
                <w:color w:val="auto"/>
              </w:rPr>
              <w:t>Year ending December 31,</w:t>
            </w: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66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2016</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w:t>
            </w:r>
          </w:p>
        </w:tc>
        <w:tc>
          <w:tcPr>
            <w:tcW w:w="80" w:type="dxa"/>
            <w:vAlign w:val="bottom"/>
            <w:shd w:val="clear" w:color="auto" w:fill="CCEEFF"/>
          </w:tcPr>
          <w:p>
            <w:pPr>
              <w:spacing w:after="0"/>
              <w:rPr>
                <w:sz w:val="18"/>
                <w:szCs w:val="18"/>
                <w:color w:val="auto"/>
              </w:rPr>
            </w:pPr>
          </w:p>
        </w:tc>
      </w:tr>
      <w:tr>
        <w:trPr>
          <w:trHeight w:val="216"/>
        </w:trPr>
        <w:tc>
          <w:tcPr>
            <w:tcW w:w="6660" w:type="dxa"/>
            <w:vAlign w:val="bottom"/>
          </w:tcPr>
          <w:p>
            <w:pPr>
              <w:ind w:left="840"/>
              <w:spacing w:after="0"/>
              <w:rPr>
                <w:sz w:val="20"/>
                <w:szCs w:val="20"/>
                <w:color w:val="auto"/>
              </w:rPr>
            </w:pPr>
            <w:r>
              <w:rPr>
                <w:rFonts w:ascii="Arial" w:cs="Arial" w:eastAsia="Arial" w:hAnsi="Arial"/>
                <w:sz w:val="18"/>
                <w:szCs w:val="18"/>
                <w:color w:val="auto"/>
              </w:rPr>
              <w:t>2017</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689</w:t>
            </w:r>
          </w:p>
        </w:tc>
        <w:tc>
          <w:tcPr>
            <w:tcW w:w="80" w:type="dxa"/>
            <w:vAlign w:val="bottom"/>
          </w:tcPr>
          <w:p>
            <w:pPr>
              <w:spacing w:after="0"/>
              <w:rPr>
                <w:sz w:val="18"/>
                <w:szCs w:val="18"/>
                <w:color w:val="auto"/>
              </w:rPr>
            </w:pPr>
          </w:p>
        </w:tc>
      </w:tr>
      <w:tr>
        <w:trPr>
          <w:trHeight w:val="189"/>
        </w:trPr>
        <w:tc>
          <w:tcPr>
            <w:tcW w:w="6660" w:type="dxa"/>
            <w:vAlign w:val="bottom"/>
            <w:shd w:val="clear" w:color="auto" w:fill="CCEEFF"/>
          </w:tcPr>
          <w:p>
            <w:pPr>
              <w:ind w:left="840"/>
              <w:spacing w:after="0" w:line="189" w:lineRule="exact"/>
              <w:rPr>
                <w:sz w:val="20"/>
                <w:szCs w:val="20"/>
                <w:color w:val="auto"/>
              </w:rPr>
            </w:pPr>
            <w:r>
              <w:rPr>
                <w:rFonts w:ascii="Arial" w:cs="Arial" w:eastAsia="Arial" w:hAnsi="Arial"/>
                <w:sz w:val="18"/>
                <w:szCs w:val="18"/>
                <w:color w:val="auto"/>
              </w:rPr>
              <w:t>2018</w:t>
            </w:r>
          </w:p>
        </w:tc>
        <w:tc>
          <w:tcPr>
            <w:tcW w:w="2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689</w:t>
            </w:r>
          </w:p>
        </w:tc>
        <w:tc>
          <w:tcPr>
            <w:tcW w:w="80" w:type="dxa"/>
            <w:vAlign w:val="bottom"/>
            <w:shd w:val="clear" w:color="auto" w:fill="CCEEFF"/>
          </w:tcPr>
          <w:p>
            <w:pPr>
              <w:spacing w:after="0"/>
              <w:rPr>
                <w:sz w:val="16"/>
                <w:szCs w:val="16"/>
                <w:color w:val="auto"/>
              </w:rPr>
            </w:pPr>
          </w:p>
        </w:tc>
      </w:tr>
      <w:tr>
        <w:trPr>
          <w:trHeight w:val="189"/>
        </w:trPr>
        <w:tc>
          <w:tcPr>
            <w:tcW w:w="6660" w:type="dxa"/>
            <w:vAlign w:val="bottom"/>
          </w:tcPr>
          <w:p>
            <w:pPr>
              <w:ind w:left="840"/>
              <w:spacing w:after="0" w:line="189" w:lineRule="exact"/>
              <w:rPr>
                <w:sz w:val="20"/>
                <w:szCs w:val="20"/>
                <w:color w:val="auto"/>
              </w:rPr>
            </w:pPr>
            <w:r>
              <w:rPr>
                <w:rFonts w:ascii="Arial" w:cs="Arial" w:eastAsia="Arial" w:hAnsi="Arial"/>
                <w:sz w:val="18"/>
                <w:szCs w:val="18"/>
                <w:color w:val="auto"/>
              </w:rPr>
              <w:t>2019</w:t>
            </w:r>
          </w:p>
        </w:tc>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689</w:t>
            </w:r>
          </w:p>
        </w:tc>
        <w:tc>
          <w:tcPr>
            <w:tcW w:w="80" w:type="dxa"/>
            <w:vAlign w:val="bottom"/>
          </w:tcPr>
          <w:p>
            <w:pPr>
              <w:spacing w:after="0"/>
              <w:rPr>
                <w:sz w:val="16"/>
                <w:szCs w:val="16"/>
                <w:color w:val="auto"/>
              </w:rPr>
            </w:pPr>
          </w:p>
        </w:tc>
      </w:tr>
      <w:tr>
        <w:trPr>
          <w:trHeight w:val="216"/>
        </w:trPr>
        <w:tc>
          <w:tcPr>
            <w:tcW w:w="66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0"/>
        </w:trPr>
        <w:tc>
          <w:tcPr>
            <w:tcW w:w="6660" w:type="dxa"/>
            <w:vAlign w:val="bottom"/>
          </w:tcPr>
          <w:p>
            <w:pPr>
              <w:ind w:left="840"/>
              <w:spacing w:after="0" w:line="202" w:lineRule="exact"/>
              <w:rPr>
                <w:sz w:val="20"/>
                <w:szCs w:val="20"/>
                <w:color w:val="auto"/>
              </w:rPr>
            </w:pPr>
            <w:r>
              <w:rPr>
                <w:rFonts w:ascii="Arial" w:cs="Arial" w:eastAsia="Arial" w:hAnsi="Arial"/>
                <w:sz w:val="18"/>
                <w:szCs w:val="18"/>
                <w:color w:val="auto"/>
              </w:rPr>
              <w:t>Thereafter</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1,318</w:t>
            </w:r>
          </w:p>
        </w:tc>
        <w:tc>
          <w:tcPr>
            <w:tcW w:w="80" w:type="dxa"/>
            <w:vAlign w:val="bottom"/>
          </w:tcPr>
          <w:p>
            <w:pPr>
              <w:spacing w:after="0"/>
              <w:rPr>
                <w:sz w:val="18"/>
                <w:szCs w:val="18"/>
                <w:color w:val="auto"/>
              </w:rPr>
            </w:pPr>
          </w:p>
        </w:tc>
      </w:tr>
      <w:tr>
        <w:trPr>
          <w:trHeight w:val="189"/>
        </w:trPr>
        <w:tc>
          <w:tcPr>
            <w:tcW w:w="6660" w:type="dxa"/>
            <w:vAlign w:val="bottom"/>
            <w:tcBorders>
              <w:top w:val="single" w:sz="8" w:color="CCEEFF"/>
            </w:tcBorders>
            <w:shd w:val="clear" w:color="auto" w:fill="CCEEFF"/>
          </w:tcPr>
          <w:p>
            <w:pPr>
              <w:spacing w:after="0"/>
              <w:rPr>
                <w:sz w:val="16"/>
                <w:szCs w:val="16"/>
                <w:color w:val="auto"/>
              </w:rPr>
            </w:pPr>
          </w:p>
        </w:tc>
        <w:tc>
          <w:tcPr>
            <w:tcW w:w="23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37"/>
        </w:trPr>
        <w:tc>
          <w:tcPr>
            <w:tcW w:w="66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3,586</w:t>
            </w:r>
          </w:p>
        </w:tc>
        <w:tc>
          <w:tcPr>
            <w:tcW w:w="80" w:type="dxa"/>
            <w:vAlign w:val="bottom"/>
          </w:tcPr>
          <w:p>
            <w:pPr>
              <w:spacing w:after="0"/>
              <w:rPr>
                <w:sz w:val="20"/>
                <w:szCs w:val="20"/>
                <w:color w:val="auto"/>
              </w:rPr>
            </w:pPr>
          </w:p>
        </w:tc>
      </w:tr>
      <w:tr>
        <w:trPr>
          <w:trHeight w:val="21"/>
        </w:trPr>
        <w:tc>
          <w:tcPr>
            <w:tcW w:w="66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-4467225</wp:posOffset>
            </wp:positionV>
            <wp:extent cx="531495" cy="2804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31495" cy="2804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-1225550</wp:posOffset>
            </wp:positionV>
            <wp:extent cx="531495" cy="12007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1495" cy="120078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DERIVATIVES AND HEDGING ACTIVITIES</w:t>
      </w:r>
    </w:p>
    <w:p>
      <w:pPr>
        <w:spacing w:after="0" w:line="229" w:lineRule="exact"/>
        <w:rPr>
          <w:sz w:val="20"/>
          <w:szCs w:val="20"/>
          <w:color w:val="auto"/>
        </w:rPr>
      </w:pPr>
    </w:p>
    <w:p>
      <w:pPr>
        <w:jc w:val="both"/>
        <w:ind w:left="860"/>
        <w:spacing w:after="0" w:line="270" w:lineRule="auto"/>
        <w:rPr>
          <w:sz w:val="20"/>
          <w:szCs w:val="20"/>
          <w:color w:val="auto"/>
        </w:rPr>
      </w:pPr>
      <w:r>
        <w:rPr>
          <w:rFonts w:ascii="Arial" w:cs="Arial" w:eastAsia="Arial" w:hAnsi="Arial"/>
          <w:sz w:val="17"/>
          <w:szCs w:val="17"/>
          <w:color w:val="auto"/>
        </w:rPr>
        <w:t>The Company follows FASB ASC No. 815," Derivatives and Hedging" which requires companies to recognize all of their derivative instruments as either assets or liabilities in the statement of financial position at fair value. Accounting for changes in fair value (i.e., gains or losses) of a derivative instrument depends on whether it has been designated and qualifies as part of a hedging transaction and further, on the type of hedging transaction. For those derivative instruments that are designated and qualify as hedging instruments, a company must designate the hedging instrument, based upon the exposure being hedged, as a fair value hedge, cash flow hedge, or a hedge of a net investment in a foreign operation. Due to the Company's global operations, it is exposed to foreign currency exchange rate fluctuations in the normal course of its business. The Company used derivative financial instruments, specifically foreign currency forward and option contracts (“Hedging Contracts“), to manage exposure to foreign currency risks, by hedging a portion of the Company's forecasted expenses denominated in New Israeli Shekels expected to occur within a year. The effect of exchange rate changes on foreign currency hedging contracts is expected to partially offset the effect of exchange rate changes on the underlying hedged item.</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 w:name="page20"/>
    <w:bookmarkEnd w:id="19"/>
    <w:p>
      <w:pPr>
        <w:ind w:left="73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right="4700"/>
        <w:spacing w:after="0" w:line="313" w:lineRule="auto"/>
        <w:rPr>
          <w:sz w:val="20"/>
          <w:szCs w:val="20"/>
          <w:color w:val="auto"/>
        </w:rPr>
      </w:pPr>
      <w:r>
        <w:rPr>
          <w:rFonts w:ascii="Arial" w:cs="Arial" w:eastAsia="Arial" w:hAnsi="Arial"/>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DERIVATIVES AND HEDGING ACTIVITIES (Cont.)</w:t>
      </w:r>
    </w:p>
    <w:p>
      <w:pPr>
        <w:spacing w:after="0" w:line="229" w:lineRule="exact"/>
        <w:rPr>
          <w:sz w:val="20"/>
          <w:szCs w:val="20"/>
          <w:color w:val="auto"/>
        </w:rPr>
      </w:pPr>
    </w:p>
    <w:p>
      <w:pPr>
        <w:jc w:val="both"/>
        <w:ind w:left="860"/>
        <w:spacing w:after="0" w:line="302" w:lineRule="auto"/>
        <w:rPr>
          <w:sz w:val="20"/>
          <w:szCs w:val="20"/>
          <w:color w:val="auto"/>
        </w:rPr>
      </w:pPr>
      <w:r>
        <w:rPr>
          <w:rFonts w:ascii="Arial" w:cs="Arial" w:eastAsia="Arial" w:hAnsi="Arial"/>
          <w:sz w:val="16"/>
          <w:szCs w:val="16"/>
          <w:color w:val="auto"/>
        </w:rPr>
        <w:t>For derivative instruments that are designated and qualify as a cash flow hedge (i.e., hedging the exposure to variability in expected future cash flows that is attributable to a particular risk), the effective portion of the gain or loss on the derivative instrument is reported as a component of other comprehensive income (loss) and reclassified into earnings in the same period or periods during which the hedged transaction affects earnings. Gains or losses from contracts that were not designated as hedging instruments are recognized in "financial income (expenses), net".</w:t>
      </w:r>
    </w:p>
    <w:p>
      <w:pPr>
        <w:spacing w:after="0" w:line="154" w:lineRule="exact"/>
        <w:rPr>
          <w:sz w:val="20"/>
          <w:szCs w:val="20"/>
          <w:color w:val="auto"/>
        </w:rPr>
      </w:pPr>
    </w:p>
    <w:p>
      <w:pPr>
        <w:jc w:val="both"/>
        <w:ind w:left="860"/>
        <w:spacing w:after="0" w:line="277" w:lineRule="auto"/>
        <w:rPr>
          <w:sz w:val="20"/>
          <w:szCs w:val="20"/>
          <w:color w:val="auto"/>
        </w:rPr>
      </w:pPr>
      <w:r>
        <w:rPr>
          <w:rFonts w:ascii="Arial" w:cs="Arial" w:eastAsia="Arial" w:hAnsi="Arial"/>
          <w:sz w:val="18"/>
          <w:szCs w:val="18"/>
          <w:color w:val="auto"/>
        </w:rPr>
        <w:t>As of September 30, 2016 and December 31, 2015, the notional principal amount of the Hedging Contracts to sell U.S. dollars held by the Company was $ 2,319 (unaudited) and $8,453, respectively.</w:t>
      </w:r>
    </w:p>
    <w:p>
      <w:pPr>
        <w:spacing w:after="0" w:line="170" w:lineRule="exact"/>
        <w:rPr>
          <w:sz w:val="20"/>
          <w:szCs w:val="20"/>
          <w:color w:val="auto"/>
        </w:rPr>
      </w:pPr>
    </w:p>
    <w:p>
      <w:pPr>
        <w:jc w:val="both"/>
        <w:ind w:left="860"/>
        <w:spacing w:after="0" w:line="277" w:lineRule="auto"/>
        <w:rPr>
          <w:sz w:val="20"/>
          <w:szCs w:val="20"/>
          <w:color w:val="auto"/>
        </w:rPr>
      </w:pPr>
      <w:r>
        <w:rPr>
          <w:rFonts w:ascii="Arial" w:cs="Arial" w:eastAsia="Arial" w:hAnsi="Arial"/>
          <w:sz w:val="18"/>
          <w:szCs w:val="18"/>
          <w:color w:val="auto"/>
        </w:rPr>
        <w:t>As of September 30, 2016, the fair value of the Company's outstanding derivatives designated as cash flow hedging instruments was $86 (unaudited) which is included within ”Other accounts receivable and prepaid expenses” in the balance sheet.</w:t>
      </w:r>
    </w:p>
    <w:p>
      <w:pPr>
        <w:spacing w:after="0" w:line="170" w:lineRule="exact"/>
        <w:rPr>
          <w:sz w:val="20"/>
          <w:szCs w:val="20"/>
          <w:color w:val="auto"/>
        </w:rPr>
      </w:pPr>
    </w:p>
    <w:p>
      <w:pPr>
        <w:jc w:val="both"/>
        <w:ind w:left="860"/>
        <w:spacing w:after="0" w:line="277" w:lineRule="auto"/>
        <w:rPr>
          <w:sz w:val="20"/>
          <w:szCs w:val="20"/>
          <w:color w:val="auto"/>
        </w:rPr>
      </w:pPr>
      <w:r>
        <w:rPr>
          <w:rFonts w:ascii="Arial" w:cs="Arial" w:eastAsia="Arial" w:hAnsi="Arial"/>
          <w:sz w:val="18"/>
          <w:szCs w:val="18"/>
          <w:color w:val="auto"/>
        </w:rPr>
        <w:t>As of December 31, 2015, the fair value of the Company's outstanding derivatives designated as cash flow hedging instruments was $30 which is included within ”Other accounts other payables and accrued expenses” in the balance sheet.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COMMITMENTS AND CONTINGENT LIABILITIES</w:t>
      </w:r>
    </w:p>
    <w:p>
      <w:pPr>
        <w:spacing w:after="0" w:line="229" w:lineRule="exact"/>
        <w:rPr>
          <w:sz w:val="20"/>
          <w:szCs w:val="20"/>
          <w:color w:val="auto"/>
        </w:rPr>
      </w:pPr>
    </w:p>
    <w:p>
      <w:pPr>
        <w:ind w:left="1360" w:hanging="515"/>
        <w:spacing w:after="0"/>
        <w:tabs>
          <w:tab w:leader="none" w:pos="1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Charges:</w:t>
      </w:r>
    </w:p>
    <w:p>
      <w:pPr>
        <w:spacing w:after="0" w:line="225" w:lineRule="exact"/>
        <w:rPr>
          <w:rFonts w:ascii="Arial" w:cs="Arial" w:eastAsia="Arial" w:hAnsi="Arial"/>
          <w:sz w:val="18"/>
          <w:szCs w:val="18"/>
          <w:color w:val="auto"/>
        </w:rPr>
      </w:pPr>
    </w:p>
    <w:p>
      <w:pPr>
        <w:jc w:val="both"/>
        <w:ind w:left="1360"/>
        <w:spacing w:after="0" w:line="297" w:lineRule="auto"/>
        <w:rPr>
          <w:rFonts w:ascii="Arial" w:cs="Arial" w:eastAsia="Arial" w:hAnsi="Arial"/>
          <w:sz w:val="18"/>
          <w:szCs w:val="18"/>
          <w:color w:val="auto"/>
        </w:rPr>
      </w:pPr>
      <w:r>
        <w:rPr>
          <w:rFonts w:ascii="Arial" w:cs="Arial" w:eastAsia="Arial" w:hAnsi="Arial"/>
          <w:sz w:val="16"/>
          <w:szCs w:val="16"/>
          <w:color w:val="auto"/>
        </w:rPr>
        <w:t>As of September 30, 2016, the Company ha</w:t>
      </w:r>
      <w:r>
        <w:rPr>
          <w:rFonts w:ascii="Arial" w:cs="Arial" w:eastAsia="Arial" w:hAnsi="Arial"/>
          <w:sz w:val="16"/>
          <w:szCs w:val="16"/>
          <w:color w:val="1F497D"/>
        </w:rPr>
        <w:t>s</w:t>
      </w:r>
      <w:r>
        <w:rPr>
          <w:rFonts w:ascii="Arial" w:cs="Arial" w:eastAsia="Arial" w:hAnsi="Arial"/>
          <w:sz w:val="16"/>
          <w:szCs w:val="16"/>
          <w:color w:val="auto"/>
        </w:rPr>
        <w:t xml:space="preserve"> three lines of credit with Israeli banks for total borrowings of up to $5 million, all of which was undrawn as of September 30, 2016. These lines of credit are unsecured and available subject to the Company maintenance of a 30% ratio of total shareholders' equity to total assets. Interest rates across these credit lines varied from 1.5% to 2.3% as of September 30, 2016. Any borrowings under the credit lines would become repayable if Fortissimo Capital ceases to be the company controlling shareholder (which for this purpose generally requires Fortissimo Capital to continue to hold 25% of the company outstanding ordinary shares).</w:t>
      </w:r>
    </w:p>
    <w:p>
      <w:pPr>
        <w:spacing w:after="0" w:line="158" w:lineRule="exact"/>
        <w:rPr>
          <w:rFonts w:ascii="Arial" w:cs="Arial" w:eastAsia="Arial" w:hAnsi="Arial"/>
          <w:sz w:val="18"/>
          <w:szCs w:val="18"/>
          <w:color w:val="auto"/>
        </w:rPr>
      </w:pPr>
    </w:p>
    <w:p>
      <w:pPr>
        <w:ind w:left="1360" w:hanging="515"/>
        <w:spacing w:after="0"/>
        <w:tabs>
          <w:tab w:leader="none" w:pos="1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Purchase commitments:</w:t>
      </w:r>
    </w:p>
    <w:p>
      <w:pPr>
        <w:spacing w:after="0" w:line="225"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The Company estimates that at September 30, 2016, it had 13,865 of purchase commitments for inventory from vendors.</w:t>
      </w:r>
    </w:p>
    <w:p>
      <w:pPr>
        <w:spacing w:after="0" w:line="225" w:lineRule="exact"/>
        <w:rPr>
          <w:rFonts w:ascii="Arial" w:cs="Arial" w:eastAsia="Arial" w:hAnsi="Arial"/>
          <w:sz w:val="18"/>
          <w:szCs w:val="18"/>
          <w:color w:val="auto"/>
        </w:rPr>
      </w:pPr>
    </w:p>
    <w:p>
      <w:pPr>
        <w:ind w:left="1360" w:hanging="515"/>
        <w:spacing w:after="0"/>
        <w:tabs>
          <w:tab w:leader="none" w:pos="1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25" w:lineRule="exact"/>
        <w:rPr>
          <w:rFonts w:ascii="Arial" w:cs="Arial" w:eastAsia="Arial" w:hAnsi="Arial"/>
          <w:sz w:val="18"/>
          <w:szCs w:val="18"/>
          <w:color w:val="auto"/>
        </w:rPr>
      </w:pPr>
    </w:p>
    <w:p>
      <w:pPr>
        <w:jc w:val="both"/>
        <w:ind w:left="1360"/>
        <w:spacing w:after="0" w:line="264" w:lineRule="auto"/>
        <w:rPr>
          <w:rFonts w:ascii="Arial" w:cs="Arial" w:eastAsia="Arial" w:hAnsi="Arial"/>
          <w:sz w:val="18"/>
          <w:szCs w:val="18"/>
          <w:color w:val="auto"/>
        </w:rPr>
      </w:pPr>
      <w:r>
        <w:rPr>
          <w:rFonts w:ascii="Arial" w:cs="Arial" w:eastAsia="Arial" w:hAnsi="Arial"/>
          <w:sz w:val="18"/>
          <w:szCs w:val="18"/>
          <w:color w:val="auto"/>
        </w:rPr>
        <w:t>From time to time, the Company is party to various legal proceedings, claims and litigation that arise in the normal course of business. It is the opinion of management that the ultimate outcome of these matters will not have a material adverse effect on the Company’s financial position, results of operations or cash flows.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 w:name="page21"/>
    <w:bookmarkEnd w:id="20"/>
    <w:p>
      <w:pPr>
        <w:ind w:left="73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right="4700"/>
        <w:spacing w:after="0" w:line="313" w:lineRule="auto"/>
        <w:rPr>
          <w:sz w:val="20"/>
          <w:szCs w:val="20"/>
          <w:color w:val="auto"/>
        </w:rPr>
      </w:pPr>
      <w:r>
        <w:rPr>
          <w:rFonts w:ascii="Arial" w:cs="Arial" w:eastAsia="Arial" w:hAnsi="Arial"/>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COMMITMENTS AND CONTINGENT LIABILITIES (Cont.)</w:t>
      </w:r>
    </w:p>
    <w:p>
      <w:pPr>
        <w:spacing w:after="0" w:line="229" w:lineRule="exact"/>
        <w:rPr>
          <w:sz w:val="20"/>
          <w:szCs w:val="20"/>
          <w:color w:val="auto"/>
        </w:rPr>
      </w:pPr>
    </w:p>
    <w:p>
      <w:pPr>
        <w:ind w:left="1360" w:hanging="515"/>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Royalty Commitments:</w:t>
      </w:r>
    </w:p>
    <w:p>
      <w:pPr>
        <w:spacing w:after="0" w:line="225" w:lineRule="exact"/>
        <w:rPr>
          <w:rFonts w:ascii="Arial" w:cs="Arial" w:eastAsia="Arial" w:hAnsi="Arial"/>
          <w:sz w:val="18"/>
          <w:szCs w:val="18"/>
          <w:color w:val="auto"/>
        </w:rPr>
      </w:pPr>
    </w:p>
    <w:p>
      <w:pPr>
        <w:ind w:left="1360"/>
        <w:spacing w:after="0" w:line="342" w:lineRule="auto"/>
        <w:rPr>
          <w:rFonts w:ascii="Arial" w:cs="Arial" w:eastAsia="Arial" w:hAnsi="Arial"/>
          <w:sz w:val="18"/>
          <w:szCs w:val="18"/>
          <w:color w:val="auto"/>
        </w:rPr>
      </w:pPr>
      <w:r>
        <w:rPr>
          <w:rFonts w:ascii="Arial" w:cs="Arial" w:eastAsia="Arial" w:hAnsi="Arial"/>
          <w:sz w:val="16"/>
          <w:szCs w:val="16"/>
          <w:color w:val="auto"/>
        </w:rPr>
        <w:t>Under the Company's agreement for purchasing print heads and other products, which was amended and restated in 2015, the Company is obligated to pay royalties at a rate set forth in the agreement up to an agreed maximum amount of the Company’s annual ink revenues.</w:t>
      </w:r>
    </w:p>
    <w:p>
      <w:pPr>
        <w:spacing w:after="0" w:line="123"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Royalties'- expenses for the nine months ended September 30, 2016 and 2015 were $469 and 587, respectively.</w:t>
      </w:r>
    </w:p>
    <w:p>
      <w:pPr>
        <w:spacing w:after="0" w:line="225" w:lineRule="exact"/>
        <w:rPr>
          <w:rFonts w:ascii="Arial" w:cs="Arial" w:eastAsia="Arial" w:hAnsi="Arial"/>
          <w:sz w:val="18"/>
          <w:szCs w:val="18"/>
          <w:color w:val="auto"/>
        </w:rPr>
      </w:pPr>
    </w:p>
    <w:p>
      <w:pPr>
        <w:ind w:left="1360" w:hanging="515"/>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Guarantees:</w:t>
      </w:r>
    </w:p>
    <w:p>
      <w:pPr>
        <w:spacing w:after="0" w:line="22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As of September 30, 2016, the Company provided two bank guarantees of $ 367 in the aggregate for its rented facilities.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10:-EARNINGS PER SHARE</w:t>
      </w:r>
    </w:p>
    <w:p>
      <w:pPr>
        <w:spacing w:after="0" w:line="22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The following table sets forth the computation of basic and diluted net earnings per share:</w:t>
      </w:r>
    </w:p>
    <w:p>
      <w:pPr>
        <w:spacing w:after="0" w:line="221" w:lineRule="exact"/>
        <w:rPr>
          <w:sz w:val="20"/>
          <w:szCs w:val="20"/>
          <w:color w:val="auto"/>
        </w:rPr>
      </w:pPr>
    </w:p>
    <w:p>
      <w:pPr>
        <w:jc w:val="center"/>
        <w:ind w:left="8960"/>
        <w:spacing w:after="0"/>
        <w:rPr>
          <w:sz w:val="20"/>
          <w:szCs w:val="20"/>
          <w:color w:val="auto"/>
        </w:rPr>
      </w:pPr>
      <w:r>
        <w:rPr>
          <w:rFonts w:ascii="Arial" w:cs="Arial" w:eastAsia="Arial" w:hAnsi="Arial"/>
          <w:sz w:val="18"/>
          <w:szCs w:val="18"/>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531495" cy="2941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31495" cy="2941320"/>
                    </a:xfrm>
                    <a:prstGeom prst="rect">
                      <a:avLst/>
                    </a:prstGeom>
                    <a:noFill/>
                  </pic:spPr>
                </pic:pic>
              </a:graphicData>
            </a:graphic>
          </wp:anchor>
        </w:drawing>
      </w:r>
    </w:p>
    <w:p>
      <w:pPr>
        <w:spacing w:after="0" w:line="7" w:lineRule="exact"/>
        <w:rPr>
          <w:sz w:val="20"/>
          <w:szCs w:val="20"/>
          <w:color w:val="auto"/>
        </w:rPr>
      </w:pPr>
    </w:p>
    <w:p>
      <w:pPr>
        <w:jc w:val="center"/>
        <w:ind w:left="896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5759450</wp:posOffset>
            </wp:positionH>
            <wp:positionV relativeFrom="paragraph">
              <wp:posOffset>5715</wp:posOffset>
            </wp:positionV>
            <wp:extent cx="142367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23670" cy="17145"/>
                    </a:xfrm>
                    <a:prstGeom prst="rect">
                      <a:avLst/>
                    </a:prstGeom>
                    <a:noFill/>
                  </pic:spPr>
                </pic:pic>
              </a:graphicData>
            </a:graphic>
          </wp:anchor>
        </w:drawing>
      </w:r>
    </w:p>
    <w:p>
      <w:pPr>
        <w:spacing w:after="0" w:line="11" w:lineRule="exact"/>
        <w:rPr>
          <w:sz w:val="20"/>
          <w:szCs w:val="20"/>
          <w:color w:val="auto"/>
        </w:rPr>
      </w:pPr>
    </w:p>
    <w:p>
      <w:pPr>
        <w:ind w:left="9400"/>
        <w:spacing w:after="0"/>
        <w:tabs>
          <w:tab w:leader="none" w:pos="10600" w:val="left"/>
        </w:tabs>
        <w:rPr>
          <w:sz w:val="20"/>
          <w:szCs w:val="20"/>
          <w:color w:val="auto"/>
        </w:rPr>
      </w:pPr>
      <w:r>
        <w:rPr>
          <w:rFonts w:ascii="Arial" w:cs="Arial" w:eastAsia="Arial" w:hAnsi="Arial"/>
          <w:sz w:val="18"/>
          <w:szCs w:val="18"/>
          <w:b w:val="1"/>
          <w:bCs w:val="1"/>
          <w:color w:val="auto"/>
        </w:rPr>
        <w:t>2016</w:t>
      </w:r>
      <w:r>
        <w:rPr>
          <w:sz w:val="20"/>
          <w:szCs w:val="20"/>
          <w:color w:val="auto"/>
        </w:rPr>
        <w:tab/>
      </w:r>
      <w:r>
        <w:rPr>
          <w:rFonts w:ascii="Arial" w:cs="Arial" w:eastAsia="Arial" w:hAnsi="Arial"/>
          <w:sz w:val="18"/>
          <w:szCs w:val="18"/>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5759450</wp:posOffset>
            </wp:positionH>
            <wp:positionV relativeFrom="paragraph">
              <wp:posOffset>17145</wp:posOffset>
            </wp:positionV>
            <wp:extent cx="142367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23670" cy="17145"/>
                    </a:xfrm>
                    <a:prstGeom prst="rect">
                      <a:avLst/>
                    </a:prstGeom>
                    <a:noFill/>
                  </pic:spPr>
                </pic:pic>
              </a:graphicData>
            </a:graphic>
          </wp:anchor>
        </w:drawing>
      </w:r>
    </w:p>
    <w:p>
      <w:pPr>
        <w:spacing w:after="0" w:line="16" w:lineRule="exact"/>
        <w:rPr>
          <w:sz w:val="20"/>
          <w:szCs w:val="20"/>
          <w:color w:val="auto"/>
        </w:rPr>
      </w:pPr>
    </w:p>
    <w:p>
      <w:pPr>
        <w:ind w:left="978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5759450</wp:posOffset>
            </wp:positionH>
            <wp:positionV relativeFrom="paragraph">
              <wp:posOffset>17145</wp:posOffset>
            </wp:positionV>
            <wp:extent cx="142367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23670" cy="17145"/>
                    </a:xfrm>
                    <a:prstGeom prst="rect">
                      <a:avLst/>
                    </a:prstGeom>
                    <a:noFill/>
                  </pic:spPr>
                </pic:pic>
              </a:graphicData>
            </a:graphic>
          </wp:anchor>
        </w:drawing>
      </w:r>
    </w:p>
    <w:p>
      <w:pPr>
        <w:spacing w:after="0" w:line="16"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Numerator for basic and diluted net earnings per share: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5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Net income</w:t>
            </w:r>
          </w:p>
        </w:tc>
        <w:tc>
          <w:tcPr>
            <w:tcW w:w="3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2,660</w:t>
            </w:r>
          </w:p>
        </w:tc>
        <w:tc>
          <w:tcPr>
            <w:tcW w:w="0" w:type="dxa"/>
            <w:vAlign w:val="bottom"/>
          </w:tcPr>
          <w:p>
            <w:pPr>
              <w:spacing w:after="0"/>
              <w:rPr>
                <w:sz w:val="1"/>
                <w:szCs w:val="1"/>
                <w:color w:val="auto"/>
              </w:rPr>
            </w:pPr>
          </w:p>
        </w:tc>
      </w:tr>
      <w:tr>
        <w:trPr>
          <w:trHeight w:val="21"/>
        </w:trPr>
        <w:tc>
          <w:tcPr>
            <w:tcW w:w="552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840"/>
              <w:spacing w:after="0"/>
              <w:rPr>
                <w:sz w:val="20"/>
                <w:szCs w:val="20"/>
                <w:color w:val="auto"/>
              </w:rPr>
            </w:pPr>
            <w:r>
              <w:rPr>
                <w:rFonts w:ascii="Arial" w:cs="Arial" w:eastAsia="Arial" w:hAnsi="Arial"/>
                <w:sz w:val="18"/>
                <w:szCs w:val="18"/>
                <w:b w:val="1"/>
                <w:bCs w:val="1"/>
                <w:color w:val="auto"/>
                <w:w w:val="89"/>
              </w:rPr>
              <w:t>Weighted average shares outstanding, net of treasury stock:</w:t>
            </w:r>
          </w:p>
        </w:tc>
        <w:tc>
          <w:tcPr>
            <w:tcW w:w="3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Denominator for basic net earnings per share</w:t>
            </w:r>
          </w:p>
        </w:tc>
        <w:tc>
          <w:tcPr>
            <w:tcW w:w="3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30,474,462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22,814,312</w:t>
            </w:r>
          </w:p>
        </w:tc>
        <w:tc>
          <w:tcPr>
            <w:tcW w:w="0" w:type="dxa"/>
            <w:vAlign w:val="bottom"/>
          </w:tcPr>
          <w:p>
            <w:pPr>
              <w:spacing w:after="0"/>
              <w:rPr>
                <w:sz w:val="1"/>
                <w:szCs w:val="1"/>
                <w:color w:val="auto"/>
              </w:rPr>
            </w:pPr>
          </w:p>
        </w:tc>
      </w:tr>
      <w:tr>
        <w:trPr>
          <w:trHeight w:val="216"/>
        </w:trPr>
        <w:tc>
          <w:tcPr>
            <w:tcW w:w="5520" w:type="dxa"/>
            <w:vAlign w:val="bottom"/>
          </w:tcPr>
          <w:p>
            <w:pPr>
              <w:ind w:left="840"/>
              <w:spacing w:after="0"/>
              <w:rPr>
                <w:sz w:val="20"/>
                <w:szCs w:val="20"/>
                <w:color w:val="auto"/>
              </w:rPr>
            </w:pPr>
            <w:r>
              <w:rPr>
                <w:rFonts w:ascii="Arial" w:cs="Arial" w:eastAsia="Arial" w:hAnsi="Arial"/>
                <w:sz w:val="18"/>
                <w:szCs w:val="18"/>
                <w:color w:val="auto"/>
              </w:rPr>
              <w:t>Effect of dilutive securities:</w:t>
            </w:r>
          </w:p>
        </w:tc>
        <w:tc>
          <w:tcPr>
            <w:tcW w:w="3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5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Employee stock options</w:t>
            </w:r>
          </w:p>
        </w:tc>
        <w:tc>
          <w:tcPr>
            <w:tcW w:w="3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1,265,447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1,920,207</w:t>
            </w:r>
          </w:p>
        </w:tc>
        <w:tc>
          <w:tcPr>
            <w:tcW w:w="0" w:type="dxa"/>
            <w:vAlign w:val="bottom"/>
          </w:tcPr>
          <w:p>
            <w:pPr>
              <w:spacing w:after="0"/>
              <w:rPr>
                <w:sz w:val="1"/>
                <w:szCs w:val="1"/>
                <w:color w:val="auto"/>
              </w:rPr>
            </w:pPr>
          </w:p>
        </w:tc>
      </w:tr>
      <w:tr>
        <w:trPr>
          <w:trHeight w:val="216"/>
        </w:trPr>
        <w:tc>
          <w:tcPr>
            <w:tcW w:w="5520" w:type="dxa"/>
            <w:vAlign w:val="bottom"/>
            <w:tcBorders>
              <w:top w:val="single" w:sz="8" w:color="CCEEFF"/>
            </w:tcBorders>
          </w:tcPr>
          <w:p>
            <w:pPr>
              <w:spacing w:after="0"/>
              <w:rPr>
                <w:sz w:val="18"/>
                <w:szCs w:val="18"/>
                <w:color w:val="auto"/>
              </w:rPr>
            </w:pPr>
          </w:p>
        </w:tc>
        <w:tc>
          <w:tcPr>
            <w:tcW w:w="35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55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Denominator for diluted net earnings per share</w:t>
            </w:r>
          </w:p>
        </w:tc>
        <w:tc>
          <w:tcPr>
            <w:tcW w:w="35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31,739,909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24,734,519</w:t>
            </w:r>
          </w:p>
        </w:tc>
        <w:tc>
          <w:tcPr>
            <w:tcW w:w="0" w:type="dxa"/>
            <w:vAlign w:val="bottom"/>
          </w:tcPr>
          <w:p>
            <w:pPr>
              <w:spacing w:after="0"/>
              <w:rPr>
                <w:sz w:val="1"/>
                <w:szCs w:val="1"/>
                <w:color w:val="auto"/>
              </w:rPr>
            </w:pPr>
          </w:p>
        </w:tc>
      </w:tr>
      <w:tr>
        <w:trPr>
          <w:trHeight w:val="21"/>
        </w:trPr>
        <w:tc>
          <w:tcPr>
            <w:tcW w:w="552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55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Basic net earnings per share</w:t>
            </w:r>
          </w:p>
        </w:tc>
        <w:tc>
          <w:tcPr>
            <w:tcW w:w="3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
        </w:trPr>
        <w:tc>
          <w:tcPr>
            <w:tcW w:w="552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55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Diluted net earnings per share</w:t>
            </w:r>
          </w:p>
        </w:tc>
        <w:tc>
          <w:tcPr>
            <w:tcW w:w="3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
        </w:trPr>
        <w:tc>
          <w:tcPr>
            <w:tcW w:w="552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bottom w:val="single" w:sz="8" w:color="CCEEFF"/>
            </w:tcBorders>
            <w:vMerge w:val="restart"/>
          </w:tcPr>
          <w:p>
            <w:pPr>
              <w:jc w:val="right"/>
              <w:ind w:right="3170"/>
              <w:spacing w:after="0"/>
              <w:rPr>
                <w:sz w:val="20"/>
                <w:szCs w:val="20"/>
                <w:color w:val="auto"/>
              </w:rPr>
            </w:pPr>
            <w:r>
              <w:rPr>
                <w:rFonts w:ascii="Arial" w:cs="Arial" w:eastAsia="Arial" w:hAnsi="Arial"/>
                <w:sz w:val="18"/>
                <w:szCs w:val="18"/>
                <w:color w:val="auto"/>
              </w:rPr>
              <w:t>17</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52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1" w:name="page22"/>
    <w:bookmarkEnd w:id="21"/>
    <w:p>
      <w:pPr>
        <w:ind w:left="73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right="4700"/>
        <w:spacing w:after="0" w:line="313" w:lineRule="auto"/>
        <w:rPr>
          <w:sz w:val="20"/>
          <w:szCs w:val="20"/>
          <w:color w:val="auto"/>
        </w:rPr>
      </w:pPr>
      <w:r>
        <w:rPr>
          <w:rFonts w:ascii="Arial" w:cs="Arial" w:eastAsia="Arial" w:hAnsi="Arial"/>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11:-SHAREHOLDERS' EQUITY</w:t>
      </w:r>
    </w:p>
    <w:p>
      <w:pPr>
        <w:spacing w:after="0" w:line="22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Share based compensation</w:t>
      </w:r>
    </w:p>
    <w:p>
      <w:pPr>
        <w:spacing w:after="0" w:line="225" w:lineRule="exact"/>
        <w:rPr>
          <w:sz w:val="20"/>
          <w:szCs w:val="20"/>
          <w:color w:val="auto"/>
        </w:rPr>
      </w:pPr>
    </w:p>
    <w:p>
      <w:pPr>
        <w:ind w:left="1360" w:hanging="515"/>
        <w:spacing w:after="0" w:line="277" w:lineRule="auto"/>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fair value for options granted in the periods presented is estimated at the date of grant using a binomial option-pricing model with the following weighted average assumptions:</w:t>
      </w:r>
    </w:p>
    <w:p>
      <w:pPr>
        <w:spacing w:after="0" w:line="166" w:lineRule="exact"/>
        <w:rPr>
          <w:sz w:val="20"/>
          <w:szCs w:val="20"/>
          <w:color w:val="auto"/>
        </w:rPr>
      </w:pPr>
    </w:p>
    <w:p>
      <w:pPr>
        <w:jc w:val="center"/>
        <w:ind w:left="8820"/>
        <w:spacing w:after="0"/>
        <w:rPr>
          <w:sz w:val="20"/>
          <w:szCs w:val="20"/>
          <w:color w:val="auto"/>
        </w:rPr>
      </w:pPr>
      <w:r>
        <w:rPr>
          <w:rFonts w:ascii="Arial" w:cs="Arial" w:eastAsia="Arial" w:hAnsi="Arial"/>
          <w:sz w:val="18"/>
          <w:szCs w:val="18"/>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531495" cy="1372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31495" cy="1372235"/>
                    </a:xfrm>
                    <a:prstGeom prst="rect">
                      <a:avLst/>
                    </a:prstGeom>
                    <a:noFill/>
                  </pic:spPr>
                </pic:pic>
              </a:graphicData>
            </a:graphic>
          </wp:anchor>
        </w:drawing>
      </w:r>
    </w:p>
    <w:p>
      <w:pPr>
        <w:spacing w:after="0" w:line="7" w:lineRule="exact"/>
        <w:rPr>
          <w:sz w:val="20"/>
          <w:szCs w:val="20"/>
          <w:color w:val="auto"/>
        </w:rPr>
      </w:pPr>
    </w:p>
    <w:p>
      <w:pPr>
        <w:jc w:val="center"/>
        <w:ind w:left="882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820" w:type="dxa"/>
            <w:vAlign w:val="bottom"/>
          </w:tcPr>
          <w:p>
            <w:pPr>
              <w:spacing w:after="0"/>
              <w:rPr>
                <w:sz w:val="21"/>
                <w:szCs w:val="21"/>
                <w:color w:val="auto"/>
              </w:rPr>
            </w:pPr>
          </w:p>
        </w:tc>
        <w:tc>
          <w:tcPr>
            <w:tcW w:w="1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2016</w:t>
            </w:r>
          </w:p>
        </w:tc>
        <w:tc>
          <w:tcPr>
            <w:tcW w:w="12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2015</w:t>
            </w:r>
          </w:p>
        </w:tc>
      </w:tr>
      <w:tr>
        <w:trPr>
          <w:trHeight w:val="223"/>
        </w:trPr>
        <w:tc>
          <w:tcPr>
            <w:tcW w:w="8820" w:type="dxa"/>
            <w:vAlign w:val="bottom"/>
          </w:tcPr>
          <w:p>
            <w:pPr>
              <w:spacing w:after="0"/>
              <w:rPr>
                <w:sz w:val="19"/>
                <w:szCs w:val="19"/>
                <w:color w:val="auto"/>
              </w:rPr>
            </w:pPr>
          </w:p>
        </w:tc>
        <w:tc>
          <w:tcPr>
            <w:tcW w:w="2600" w:type="dxa"/>
            <w:vAlign w:val="bottom"/>
            <w:tcBorders>
              <w:bottom w:val="single" w:sz="8" w:color="auto"/>
            </w:tcBorders>
            <w:gridSpan w:val="2"/>
          </w:tcPr>
          <w:p>
            <w:pPr>
              <w:ind w:left="900"/>
              <w:spacing w:after="0"/>
              <w:rPr>
                <w:sz w:val="20"/>
                <w:szCs w:val="20"/>
                <w:color w:val="auto"/>
              </w:rPr>
            </w:pPr>
            <w:r>
              <w:rPr>
                <w:rFonts w:ascii="Arial" w:cs="Arial" w:eastAsia="Arial" w:hAnsi="Arial"/>
                <w:sz w:val="18"/>
                <w:szCs w:val="18"/>
                <w:b w:val="1"/>
                <w:bCs w:val="1"/>
                <w:color w:val="auto"/>
              </w:rPr>
              <w:t>Unaudited</w:t>
            </w:r>
          </w:p>
        </w:tc>
      </w:tr>
      <w:tr>
        <w:trPr>
          <w:trHeight w:val="230"/>
        </w:trPr>
        <w:tc>
          <w:tcPr>
            <w:tcW w:w="88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43"/>
        </w:trPr>
        <w:tc>
          <w:tcPr>
            <w:tcW w:w="88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Suboptimal exercise multiple</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1.0-1.5</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2.0-2.5</w:t>
            </w:r>
          </w:p>
        </w:tc>
      </w:tr>
      <w:tr>
        <w:trPr>
          <w:trHeight w:val="243"/>
        </w:trPr>
        <w:tc>
          <w:tcPr>
            <w:tcW w:w="8820" w:type="dxa"/>
            <w:vAlign w:val="bottom"/>
          </w:tcPr>
          <w:p>
            <w:pPr>
              <w:ind w:left="840"/>
              <w:spacing w:after="0"/>
              <w:rPr>
                <w:sz w:val="20"/>
                <w:szCs w:val="20"/>
                <w:color w:val="auto"/>
              </w:rPr>
            </w:pPr>
            <w:r>
              <w:rPr>
                <w:rFonts w:ascii="Arial" w:cs="Arial" w:eastAsia="Arial" w:hAnsi="Arial"/>
                <w:sz w:val="18"/>
                <w:szCs w:val="18"/>
                <w:color w:val="auto"/>
              </w:rPr>
              <w:t>Risk free interest rate</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0.5%-1.83%</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0.2%-2.2%</w:t>
            </w:r>
          </w:p>
        </w:tc>
      </w:tr>
      <w:tr>
        <w:trPr>
          <w:trHeight w:val="243"/>
        </w:trPr>
        <w:tc>
          <w:tcPr>
            <w:tcW w:w="88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Volatility</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53%-60%</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50%-55%</w:t>
            </w:r>
          </w:p>
        </w:tc>
      </w:tr>
      <w:tr>
        <w:trPr>
          <w:trHeight w:val="243"/>
        </w:trPr>
        <w:tc>
          <w:tcPr>
            <w:tcW w:w="8820" w:type="dxa"/>
            <w:vAlign w:val="bottom"/>
          </w:tcPr>
          <w:p>
            <w:pPr>
              <w:ind w:left="840"/>
              <w:spacing w:after="0"/>
              <w:rPr>
                <w:sz w:val="20"/>
                <w:szCs w:val="20"/>
                <w:color w:val="auto"/>
              </w:rPr>
            </w:pPr>
            <w:r>
              <w:rPr>
                <w:rFonts w:ascii="Arial" w:cs="Arial" w:eastAsia="Arial" w:hAnsi="Arial"/>
                <w:sz w:val="18"/>
                <w:szCs w:val="18"/>
                <w:color w:val="auto"/>
              </w:rPr>
              <w:t>Dividend yield</w:t>
            </w: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0%</w:t>
            </w:r>
          </w:p>
        </w:tc>
      </w:tr>
    </w:tbl>
    <w:p>
      <w:pPr>
        <w:spacing w:after="0" w:line="202" w:lineRule="exact"/>
        <w:rPr>
          <w:sz w:val="20"/>
          <w:szCs w:val="20"/>
          <w:color w:val="auto"/>
        </w:rPr>
      </w:pPr>
    </w:p>
    <w:p>
      <w:pPr>
        <w:ind w:left="1360" w:hanging="515"/>
        <w:spacing w:after="0"/>
        <w:tabs>
          <w:tab w:leader="none" w:pos="1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following is a summary of the Company's stock options activity for the nine months ended September 30, 2016:</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Weighted-</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center"/>
              <w:ind w:right="160"/>
              <w:spacing w:after="0" w:line="189" w:lineRule="exact"/>
              <w:rPr>
                <w:sz w:val="20"/>
                <w:szCs w:val="20"/>
                <w:color w:val="auto"/>
              </w:rPr>
            </w:pPr>
            <w:r>
              <w:rPr>
                <w:rFonts w:ascii="Arial" w:cs="Arial" w:eastAsia="Arial" w:hAnsi="Arial"/>
                <w:sz w:val="18"/>
                <w:szCs w:val="18"/>
                <w:b w:val="1"/>
                <w:bCs w:val="1"/>
                <w:color w:val="auto"/>
                <w:w w:val="88"/>
              </w:rPr>
              <w:t>average</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320"/>
              <w:spacing w:after="0" w:line="189" w:lineRule="exact"/>
              <w:rPr>
                <w:sz w:val="20"/>
                <w:szCs w:val="20"/>
                <w:color w:val="auto"/>
              </w:rPr>
            </w:pPr>
            <w:r>
              <w:rPr>
                <w:rFonts w:ascii="Arial" w:cs="Arial" w:eastAsia="Arial" w:hAnsi="Arial"/>
                <w:sz w:val="18"/>
                <w:szCs w:val="18"/>
                <w:b w:val="1"/>
                <w:bCs w:val="1"/>
                <w:color w:val="auto"/>
                <w:w w:val="91"/>
              </w:rPr>
              <w:t>Weighted</w:t>
            </w:r>
          </w:p>
        </w:tc>
        <w:tc>
          <w:tcPr>
            <w:tcW w:w="1360" w:type="dxa"/>
            <w:vAlign w:val="bottom"/>
            <w:gridSpan w:val="2"/>
          </w:tcPr>
          <w:p>
            <w:pPr>
              <w:jc w:val="center"/>
              <w:ind w:right="160"/>
              <w:spacing w:after="0" w:line="189" w:lineRule="exact"/>
              <w:rPr>
                <w:sz w:val="20"/>
                <w:szCs w:val="20"/>
                <w:color w:val="auto"/>
              </w:rPr>
            </w:pPr>
            <w:r>
              <w:rPr>
                <w:rFonts w:ascii="Arial" w:cs="Arial" w:eastAsia="Arial" w:hAnsi="Arial"/>
                <w:sz w:val="18"/>
                <w:szCs w:val="18"/>
                <w:b w:val="1"/>
                <w:bCs w:val="1"/>
                <w:color w:val="auto"/>
                <w:w w:val="92"/>
              </w:rPr>
              <w:t>remaining</w:t>
            </w:r>
          </w:p>
        </w:tc>
        <w:tc>
          <w:tcPr>
            <w:tcW w:w="120" w:type="dxa"/>
            <w:vAlign w:val="bottom"/>
          </w:tcPr>
          <w:p>
            <w:pPr>
              <w:spacing w:after="0"/>
              <w:rPr>
                <w:sz w:val="16"/>
                <w:szCs w:val="16"/>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149"/>
        </w:trPr>
        <w:tc>
          <w:tcPr>
            <w:tcW w:w="6120" w:type="dxa"/>
            <w:vAlign w:val="bottom"/>
          </w:tcPr>
          <w:p>
            <w:pPr>
              <w:spacing w:after="0"/>
              <w:rPr>
                <w:sz w:val="12"/>
                <w:szCs w:val="12"/>
                <w:color w:val="auto"/>
              </w:rPr>
            </w:pPr>
          </w:p>
        </w:tc>
        <w:tc>
          <w:tcPr>
            <w:tcW w:w="1240" w:type="dxa"/>
            <w:vAlign w:val="bottom"/>
            <w:gridSpan w:val="2"/>
            <w:vMerge w:val="restart"/>
          </w:tcPr>
          <w:p>
            <w:pPr>
              <w:jc w:val="center"/>
              <w:ind w:right="40"/>
              <w:spacing w:after="0" w:line="189" w:lineRule="exact"/>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restart"/>
          </w:tcPr>
          <w:p>
            <w:pPr>
              <w:jc w:val="center"/>
              <w:ind w:right="320"/>
              <w:spacing w:after="0" w:line="189" w:lineRule="exact"/>
              <w:rPr>
                <w:sz w:val="20"/>
                <w:szCs w:val="20"/>
                <w:color w:val="auto"/>
              </w:rPr>
            </w:pPr>
            <w:r>
              <w:rPr>
                <w:rFonts w:ascii="Arial" w:cs="Arial" w:eastAsia="Arial" w:hAnsi="Arial"/>
                <w:sz w:val="18"/>
                <w:szCs w:val="18"/>
                <w:b w:val="1"/>
                <w:bCs w:val="1"/>
                <w:color w:val="auto"/>
                <w:w w:val="87"/>
              </w:rPr>
              <w:t>Average</w:t>
            </w:r>
          </w:p>
        </w:tc>
        <w:tc>
          <w:tcPr>
            <w:tcW w:w="1360" w:type="dxa"/>
            <w:vAlign w:val="bottom"/>
            <w:gridSpan w:val="2"/>
            <w:vMerge w:val="restart"/>
          </w:tcPr>
          <w:p>
            <w:pPr>
              <w:jc w:val="center"/>
              <w:ind w:right="160"/>
              <w:spacing w:after="0" w:line="189" w:lineRule="exact"/>
              <w:rPr>
                <w:sz w:val="20"/>
                <w:szCs w:val="20"/>
                <w:color w:val="auto"/>
              </w:rPr>
            </w:pPr>
            <w:r>
              <w:rPr>
                <w:rFonts w:ascii="Arial" w:cs="Arial" w:eastAsia="Arial" w:hAnsi="Arial"/>
                <w:sz w:val="18"/>
                <w:szCs w:val="18"/>
                <w:b w:val="1"/>
                <w:bCs w:val="1"/>
                <w:color w:val="auto"/>
                <w:w w:val="90"/>
              </w:rPr>
              <w:t>contractual</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1"/>
        </w:trPr>
        <w:tc>
          <w:tcPr>
            <w:tcW w:w="612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360" w:type="dxa"/>
            <w:vAlign w:val="bottom"/>
            <w:gridSpan w:val="2"/>
            <w:vMerge w:val="continue"/>
          </w:tcPr>
          <w:p>
            <w:pPr>
              <w:spacing w:after="0"/>
              <w:rPr>
                <w:sz w:val="3"/>
                <w:szCs w:val="3"/>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w w:val="99"/>
              </w:rPr>
              <w:t>intrinsic value</w:t>
            </w:r>
          </w:p>
        </w:tc>
        <w:tc>
          <w:tcPr>
            <w:tcW w:w="0" w:type="dxa"/>
            <w:vAlign w:val="bottom"/>
          </w:tcPr>
          <w:p>
            <w:pPr>
              <w:spacing w:after="0"/>
              <w:rPr>
                <w:sz w:val="1"/>
                <w:szCs w:val="1"/>
                <w:color w:val="auto"/>
              </w:rPr>
            </w:pPr>
          </w:p>
        </w:tc>
      </w:tr>
      <w:tr>
        <w:trPr>
          <w:trHeight w:val="180"/>
        </w:trPr>
        <w:tc>
          <w:tcPr>
            <w:tcW w:w="6120" w:type="dxa"/>
            <w:vAlign w:val="bottom"/>
          </w:tcPr>
          <w:p>
            <w:pPr>
              <w:spacing w:after="0"/>
              <w:rPr>
                <w:sz w:val="15"/>
                <w:szCs w:val="15"/>
                <w:color w:val="auto"/>
              </w:rPr>
            </w:pPr>
          </w:p>
        </w:tc>
        <w:tc>
          <w:tcPr>
            <w:tcW w:w="1240" w:type="dxa"/>
            <w:vAlign w:val="bottom"/>
            <w:gridSpan w:val="2"/>
          </w:tcPr>
          <w:p>
            <w:pPr>
              <w:jc w:val="center"/>
              <w:ind w:right="40"/>
              <w:spacing w:after="0" w:line="181" w:lineRule="exact"/>
              <w:rPr>
                <w:sz w:val="20"/>
                <w:szCs w:val="20"/>
                <w:color w:val="auto"/>
              </w:rPr>
            </w:pPr>
            <w:r>
              <w:rPr>
                <w:rFonts w:ascii="Arial" w:cs="Arial" w:eastAsia="Arial" w:hAnsi="Arial"/>
                <w:sz w:val="18"/>
                <w:szCs w:val="18"/>
                <w:b w:val="1"/>
                <w:bCs w:val="1"/>
                <w:color w:val="auto"/>
                <w:w w:val="84"/>
              </w:rPr>
              <w:t>of shares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center"/>
              <w:ind w:right="320"/>
              <w:spacing w:after="0" w:line="181" w:lineRule="exact"/>
              <w:rPr>
                <w:sz w:val="20"/>
                <w:szCs w:val="20"/>
                <w:color w:val="auto"/>
              </w:rPr>
            </w:pPr>
            <w:r>
              <w:rPr>
                <w:rFonts w:ascii="Arial" w:cs="Arial" w:eastAsia="Arial" w:hAnsi="Arial"/>
                <w:sz w:val="18"/>
                <w:szCs w:val="18"/>
                <w:b w:val="1"/>
                <w:bCs w:val="1"/>
                <w:color w:val="auto"/>
                <w:w w:val="85"/>
              </w:rPr>
              <w:t>exercise</w:t>
            </w:r>
          </w:p>
        </w:tc>
        <w:tc>
          <w:tcPr>
            <w:tcW w:w="1360" w:type="dxa"/>
            <w:vAlign w:val="bottom"/>
            <w:gridSpan w:val="2"/>
          </w:tcPr>
          <w:p>
            <w:pPr>
              <w:jc w:val="center"/>
              <w:ind w:right="160"/>
              <w:spacing w:after="0" w:line="181" w:lineRule="exact"/>
              <w:rPr>
                <w:sz w:val="20"/>
                <w:szCs w:val="20"/>
                <w:color w:val="auto"/>
              </w:rPr>
            </w:pPr>
            <w:r>
              <w:rPr>
                <w:rFonts w:ascii="Arial" w:cs="Arial" w:eastAsia="Arial" w:hAnsi="Arial"/>
                <w:sz w:val="18"/>
                <w:szCs w:val="18"/>
                <w:b w:val="1"/>
                <w:bCs w:val="1"/>
                <w:color w:val="auto"/>
                <w:w w:val="92"/>
              </w:rPr>
              <w:t>term</w:t>
            </w:r>
          </w:p>
        </w:tc>
        <w:tc>
          <w:tcPr>
            <w:tcW w:w="12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120" w:type="dxa"/>
            <w:vAlign w:val="bottom"/>
          </w:tcPr>
          <w:p>
            <w:pPr>
              <w:spacing w:after="0"/>
              <w:rPr>
                <w:sz w:val="20"/>
                <w:szCs w:val="20"/>
                <w:color w:val="auto"/>
              </w:rPr>
            </w:pPr>
          </w:p>
        </w:tc>
        <w:tc>
          <w:tcPr>
            <w:tcW w:w="124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8"/>
                <w:szCs w:val="18"/>
                <w:b w:val="1"/>
                <w:bCs w:val="1"/>
                <w:color w:val="auto"/>
                <w:w w:val="85"/>
              </w:rPr>
              <w:t>upon exercise</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88"/>
              </w:rPr>
              <w:t>price</w:t>
            </w:r>
          </w:p>
        </w:tc>
        <w:tc>
          <w:tcPr>
            <w:tcW w:w="13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8"/>
                <w:szCs w:val="18"/>
                <w:b w:val="1"/>
                <w:bCs w:val="1"/>
                <w:color w:val="auto"/>
                <w:w w:val="89"/>
              </w:rPr>
              <w:t>(in years)</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1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4"/>
          </w:tcPr>
          <w:p>
            <w:pPr>
              <w:ind w:left="680"/>
              <w:spacing w:after="0"/>
              <w:rPr>
                <w:sz w:val="20"/>
                <w:szCs w:val="20"/>
                <w:color w:val="auto"/>
              </w:rPr>
            </w:pPr>
            <w:r>
              <w:rPr>
                <w:rFonts w:ascii="Arial" w:cs="Arial" w:eastAsia="Arial" w:hAnsi="Arial"/>
                <w:sz w:val="18"/>
                <w:szCs w:val="18"/>
                <w:b w:val="1"/>
                <w:bCs w:val="1"/>
                <w:color w:val="auto"/>
              </w:rPr>
              <w:t>Unaudited</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1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Outstanding at December 31, 2015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2,769,004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4.74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20" w:type="dxa"/>
            <w:vAlign w:val="bottom"/>
          </w:tcPr>
          <w:p>
            <w:pPr>
              <w:ind w:left="840"/>
              <w:spacing w:after="0"/>
              <w:rPr>
                <w:sz w:val="20"/>
                <w:szCs w:val="20"/>
                <w:color w:val="auto"/>
              </w:rPr>
            </w:pPr>
            <w:r>
              <w:rPr>
                <w:rFonts w:ascii="Arial" w:cs="Arial" w:eastAsia="Arial" w:hAnsi="Arial"/>
                <w:sz w:val="18"/>
                <w:szCs w:val="18"/>
                <w:color w:val="auto"/>
              </w:rPr>
              <w:t>Granted</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771,200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ind w:left="660"/>
              <w:spacing w:after="0"/>
              <w:rPr>
                <w:sz w:val="20"/>
                <w:szCs w:val="20"/>
                <w:color w:val="auto"/>
              </w:rPr>
            </w:pPr>
            <w:r>
              <w:rPr>
                <w:rFonts w:ascii="Arial" w:cs="Arial" w:eastAsia="Arial" w:hAnsi="Arial"/>
                <w:sz w:val="18"/>
                <w:szCs w:val="18"/>
                <w:color w:val="auto"/>
              </w:rPr>
              <w:t>9.97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9.83</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Exercised</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408,036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1.53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4.12</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120" w:type="dxa"/>
            <w:vAlign w:val="bottom"/>
          </w:tcPr>
          <w:p>
            <w:pPr>
              <w:ind w:left="840"/>
              <w:spacing w:after="0"/>
              <w:rPr>
                <w:sz w:val="20"/>
                <w:szCs w:val="20"/>
                <w:color w:val="auto"/>
              </w:rPr>
            </w:pPr>
            <w:r>
              <w:rPr>
                <w:rFonts w:ascii="Arial" w:cs="Arial" w:eastAsia="Arial" w:hAnsi="Arial"/>
                <w:sz w:val="18"/>
                <w:szCs w:val="18"/>
                <w:color w:val="auto"/>
              </w:rPr>
              <w:t>Forfeited</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113,617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660"/>
              <w:spacing w:after="0"/>
              <w:rPr>
                <w:sz w:val="20"/>
                <w:szCs w:val="20"/>
                <w:color w:val="auto"/>
              </w:rPr>
            </w:pPr>
            <w:r>
              <w:rPr>
                <w:rFonts w:ascii="Arial" w:cs="Arial" w:eastAsia="Arial" w:hAnsi="Arial"/>
                <w:sz w:val="18"/>
                <w:szCs w:val="18"/>
                <w:color w:val="auto"/>
              </w:rPr>
              <w:t>6.97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120" w:type="dxa"/>
            <w:vAlign w:val="bottom"/>
          </w:tcPr>
          <w:p>
            <w:pPr>
              <w:ind w:left="840"/>
              <w:spacing w:after="0"/>
              <w:rPr>
                <w:sz w:val="20"/>
                <w:szCs w:val="20"/>
                <w:color w:val="auto"/>
              </w:rPr>
            </w:pPr>
            <w:r>
              <w:rPr>
                <w:rFonts w:ascii="Arial" w:cs="Arial" w:eastAsia="Arial" w:hAnsi="Arial"/>
                <w:sz w:val="18"/>
                <w:szCs w:val="18"/>
                <w:color w:val="auto"/>
              </w:rPr>
              <w:t>Outstanding at September 30, 2016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3,018,551</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660"/>
              <w:spacing w:after="0"/>
              <w:rPr>
                <w:sz w:val="20"/>
                <w:szCs w:val="20"/>
                <w:color w:val="auto"/>
              </w:rPr>
            </w:pPr>
            <w:r>
              <w:rPr>
                <w:rFonts w:ascii="Arial" w:cs="Arial" w:eastAsia="Arial" w:hAnsi="Arial"/>
                <w:sz w:val="18"/>
                <w:szCs w:val="18"/>
                <w:color w:val="auto"/>
              </w:rPr>
              <w:t>6.42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7.58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11,879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120" w:type="dxa"/>
            <w:vAlign w:val="bottom"/>
          </w:tcPr>
          <w:p>
            <w:pPr>
              <w:ind w:left="840"/>
              <w:spacing w:after="0"/>
              <w:rPr>
                <w:sz w:val="20"/>
                <w:szCs w:val="20"/>
                <w:color w:val="auto"/>
              </w:rPr>
            </w:pPr>
            <w:r>
              <w:rPr>
                <w:rFonts w:ascii="Arial" w:cs="Arial" w:eastAsia="Arial" w:hAnsi="Arial"/>
                <w:sz w:val="18"/>
                <w:szCs w:val="18"/>
                <w:color w:val="auto"/>
              </w:rPr>
              <w:t>Exercisable at September 30, 2016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1,202,307</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660"/>
              <w:spacing w:after="0"/>
              <w:rPr>
                <w:sz w:val="20"/>
                <w:szCs w:val="20"/>
                <w:color w:val="auto"/>
              </w:rPr>
            </w:pPr>
            <w:r>
              <w:rPr>
                <w:rFonts w:ascii="Arial" w:cs="Arial" w:eastAsia="Arial" w:hAnsi="Arial"/>
                <w:sz w:val="18"/>
                <w:szCs w:val="18"/>
                <w:color w:val="auto"/>
              </w:rPr>
              <w:t>3.37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5.64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7,895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6120" w:type="dxa"/>
            <w:vAlign w:val="bottom"/>
          </w:tcPr>
          <w:p>
            <w:pPr>
              <w:ind w:left="840"/>
              <w:spacing w:after="0"/>
              <w:rPr>
                <w:sz w:val="20"/>
                <w:szCs w:val="20"/>
                <w:color w:val="auto"/>
              </w:rPr>
            </w:pPr>
            <w:r>
              <w:rPr>
                <w:rFonts w:ascii="Arial" w:cs="Arial" w:eastAsia="Arial" w:hAnsi="Arial"/>
                <w:sz w:val="18"/>
                <w:szCs w:val="18"/>
                <w:color w:val="auto"/>
              </w:rPr>
              <w:t>Vested and expected to vest at September 30, 2016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2,671,106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660"/>
              <w:spacing w:after="0"/>
              <w:rPr>
                <w:sz w:val="20"/>
                <w:szCs w:val="20"/>
                <w:color w:val="auto"/>
              </w:rPr>
            </w:pPr>
            <w:r>
              <w:rPr>
                <w:rFonts w:ascii="Arial" w:cs="Arial" w:eastAsia="Arial" w:hAnsi="Arial"/>
                <w:sz w:val="18"/>
                <w:szCs w:val="18"/>
                <w:color w:val="auto"/>
              </w:rPr>
              <w:t>5.98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7.36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11,512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6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-2632075</wp:posOffset>
            </wp:positionV>
            <wp:extent cx="531495" cy="26073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31495" cy="2607310"/>
                    </a:xfrm>
                    <a:prstGeom prst="rect">
                      <a:avLst/>
                    </a:prstGeom>
                    <a:noFill/>
                  </pic:spPr>
                </pic:pic>
              </a:graphicData>
            </a:graphic>
          </wp:anchor>
        </w:drawing>
      </w:r>
    </w:p>
    <w:p>
      <w:pPr>
        <w:spacing w:after="0" w:line="182" w:lineRule="exact"/>
        <w:rPr>
          <w:sz w:val="20"/>
          <w:szCs w:val="20"/>
          <w:color w:val="auto"/>
        </w:rPr>
      </w:pPr>
    </w:p>
    <w:p>
      <w:pPr>
        <w:ind w:left="1360" w:hanging="515"/>
        <w:spacing w:after="0" w:line="277" w:lineRule="auto"/>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Calculation of aggregate intrinsic value for options outstanding and exercisable as of September 30, 2016 is based on the share price of the Company's ordinary shares as of September 30, 2016 which was $9.38 per share.</w:t>
      </w:r>
    </w:p>
    <w:p>
      <w:pPr>
        <w:spacing w:after="0" w:line="17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The weighted average fair value of options granted during the nine months ended September 30, 2016 was $5.54.</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right="4700"/>
        <w:spacing w:after="0" w:line="313" w:lineRule="auto"/>
        <w:rPr>
          <w:sz w:val="20"/>
          <w:szCs w:val="20"/>
          <w:color w:val="auto"/>
        </w:rPr>
      </w:pPr>
      <w:r>
        <w:rPr>
          <w:rFonts w:ascii="Arial" w:cs="Arial" w:eastAsia="Arial" w:hAnsi="Arial"/>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11:-SHAREHOLDERS' EQUITY (Cont.)</w:t>
      </w:r>
    </w:p>
    <w:p>
      <w:pPr>
        <w:spacing w:after="0" w:line="229" w:lineRule="exact"/>
        <w:rPr>
          <w:sz w:val="20"/>
          <w:szCs w:val="20"/>
          <w:color w:val="auto"/>
        </w:rPr>
      </w:pPr>
    </w:p>
    <w:p>
      <w:pPr>
        <w:ind w:left="1360" w:hanging="515"/>
        <w:spacing w:after="0"/>
        <w:tabs>
          <w:tab w:leader="none" w:pos="13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following table shows the total share-based compensation expense included in the interim consolidated statements of operations:</w:t>
      </w:r>
    </w:p>
    <w:p>
      <w:pPr>
        <w:spacing w:after="0" w:line="233" w:lineRule="exact"/>
        <w:rPr>
          <w:sz w:val="20"/>
          <w:szCs w:val="20"/>
          <w:color w:val="auto"/>
        </w:rPr>
      </w:pPr>
    </w:p>
    <w:p>
      <w:pPr>
        <w:jc w:val="center"/>
        <w:ind w:left="8960"/>
        <w:spacing w:after="0"/>
        <w:rPr>
          <w:sz w:val="20"/>
          <w:szCs w:val="20"/>
          <w:color w:val="auto"/>
        </w:rPr>
      </w:pPr>
      <w:r>
        <w:rPr>
          <w:rFonts w:ascii="Arial" w:cs="Arial" w:eastAsia="Arial" w:hAnsi="Arial"/>
          <w:sz w:val="18"/>
          <w:szCs w:val="18"/>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6554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655445"/>
                    </a:xfrm>
                    <a:prstGeom prst="rect">
                      <a:avLst/>
                    </a:prstGeom>
                    <a:noFill/>
                  </pic:spPr>
                </pic:pic>
              </a:graphicData>
            </a:graphic>
          </wp:anchor>
        </w:drawing>
      </w:r>
    </w:p>
    <w:p>
      <w:pPr>
        <w:spacing w:after="0" w:line="7" w:lineRule="exact"/>
        <w:rPr>
          <w:sz w:val="20"/>
          <w:szCs w:val="20"/>
          <w:color w:val="auto"/>
        </w:rPr>
      </w:pPr>
    </w:p>
    <w:p>
      <w:pPr>
        <w:jc w:val="center"/>
        <w:ind w:left="8960"/>
        <w:spacing w:after="0"/>
        <w:rPr>
          <w:sz w:val="20"/>
          <w:szCs w:val="20"/>
          <w:color w:val="auto"/>
        </w:rPr>
      </w:pPr>
      <w:r>
        <w:rPr>
          <w:rFonts w:ascii="Arial" w:cs="Arial" w:eastAsia="Arial" w:hAnsi="Arial"/>
          <w:sz w:val="18"/>
          <w:szCs w:val="18"/>
          <w:b w:val="1"/>
          <w:bCs w:val="1"/>
          <w:color w:val="auto"/>
        </w:rPr>
        <w:t>September 30,</w:t>
      </w:r>
    </w:p>
    <w:p>
      <w:pPr>
        <w:sectPr>
          <w:pgSz w:w="11900" w:h="16838" w:orient="portrait"/>
          <w:cols w:equalWidth="0" w:num="1">
            <w:col w:w="11420"/>
          </w:cols>
          <w:pgMar w:left="240" w:top="90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Cost of revenues</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Research and development</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Selling and marketing</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General and administrative</w:t>
      </w:r>
    </w:p>
    <w:p>
      <w:pPr>
        <w:spacing w:after="0" w:line="251" w:lineRule="exact"/>
        <w:rPr>
          <w:sz w:val="20"/>
          <w:szCs w:val="20"/>
          <w:color w:val="auto"/>
        </w:rPr>
      </w:pPr>
    </w:p>
    <w:p>
      <w:pPr>
        <w:ind w:left="840"/>
        <w:spacing w:after="0"/>
        <w:rPr>
          <w:sz w:val="20"/>
          <w:szCs w:val="20"/>
          <w:color w:val="auto"/>
        </w:rPr>
      </w:pPr>
      <w:r>
        <w:rPr>
          <w:rFonts w:ascii="Arial" w:cs="Arial" w:eastAsia="Arial" w:hAnsi="Arial"/>
          <w:sz w:val="15"/>
          <w:szCs w:val="15"/>
          <w:color w:val="auto"/>
        </w:rPr>
        <w:t>Total share-based compensation expense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20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4"/>
              </w:rPr>
              <w:t>2015</w:t>
            </w:r>
          </w:p>
        </w:tc>
      </w:tr>
      <w:tr>
        <w:trPr>
          <w:trHeight w:val="223"/>
        </w:trPr>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Unaudited</w:t>
            </w:r>
          </w:p>
        </w:tc>
        <w:tc>
          <w:tcPr>
            <w:tcW w:w="700" w:type="dxa"/>
            <w:vAlign w:val="bottom"/>
            <w:tcBorders>
              <w:bottom w:val="single" w:sz="8" w:color="auto"/>
            </w:tcBorders>
          </w:tcPr>
          <w:p>
            <w:pPr>
              <w:spacing w:after="0"/>
              <w:rPr>
                <w:sz w:val="19"/>
                <w:szCs w:val="19"/>
                <w:color w:val="auto"/>
              </w:rPr>
            </w:pPr>
          </w:p>
        </w:tc>
      </w:tr>
      <w:tr>
        <w:trPr>
          <w:trHeight w:val="445"/>
        </w:trPr>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337</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216"/>
        </w:trPr>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125</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30"/>
        </w:trPr>
        <w:tc>
          <w:tcPr>
            <w:tcW w:w="2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435</w:t>
            </w: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339</w:t>
            </w:r>
          </w:p>
        </w:tc>
      </w:tr>
      <w:tr>
        <w:trPr>
          <w:trHeight w:val="230"/>
        </w:trPr>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1,183</w:t>
            </w:r>
          </w:p>
        </w:tc>
        <w:tc>
          <w:tcPr>
            <w:tcW w:w="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882</w:t>
            </w:r>
          </w:p>
        </w:tc>
      </w:tr>
      <w:tr>
        <w:trPr>
          <w:trHeight w:val="27"/>
        </w:trPr>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r>
      <w:tr>
        <w:trPr>
          <w:trHeight w:val="480"/>
        </w:trPr>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2,080</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1,626</w:t>
            </w:r>
          </w:p>
        </w:tc>
      </w:tr>
      <w:tr>
        <w:trPr>
          <w:trHeight w:val="21"/>
        </w:trPr>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8360" w:space="720"/>
            <w:col w:w="2340"/>
          </w:cols>
          <w:pgMar w:left="240" w:top="904" w:right="2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6340" w:type="dxa"/>
            <w:vAlign w:val="bottom"/>
          </w:tcPr>
          <w:p>
            <w:pPr>
              <w:spacing w:after="0"/>
              <w:rPr>
                <w:sz w:val="20"/>
                <w:szCs w:val="20"/>
                <w:color w:val="auto"/>
              </w:rPr>
            </w:pPr>
            <w:r>
              <w:rPr>
                <w:rFonts w:ascii="Arial" w:cs="Arial" w:eastAsia="Arial" w:hAnsi="Arial"/>
                <w:sz w:val="18"/>
                <w:szCs w:val="18"/>
                <w:b w:val="1"/>
                <w:bCs w:val="1"/>
                <w:color w:val="auto"/>
              </w:rPr>
              <w:t>NOTE 12:-ACCUMULATED OTHER COMPREHENSIVE INCOME (LOSS)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000" w:type="dxa"/>
            <w:vAlign w:val="bottom"/>
            <w:gridSpan w:val="9"/>
          </w:tcPr>
          <w:p>
            <w:pPr>
              <w:ind w:left="780"/>
              <w:spacing w:after="0"/>
              <w:rPr>
                <w:sz w:val="20"/>
                <w:szCs w:val="20"/>
                <w:color w:val="auto"/>
              </w:rPr>
            </w:pPr>
            <w:r>
              <w:rPr>
                <w:rFonts w:ascii="Arial" w:cs="Arial" w:eastAsia="Arial" w:hAnsi="Arial"/>
                <w:sz w:val="18"/>
                <w:szCs w:val="18"/>
                <w:color w:val="auto"/>
                <w:w w:val="94"/>
              </w:rPr>
              <w:t>The following table summarizes the changes in accumulated balances of other comprehensive income (loss):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2"/>
              </w:rPr>
              <w:t>Unrealized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w w:val="95"/>
              </w:rPr>
              <w:t>gain (loss) 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available-</w:t>
            </w:r>
          </w:p>
        </w:tc>
        <w:tc>
          <w:tcPr>
            <w:tcW w:w="80" w:type="dxa"/>
            <w:vAlign w:val="bottom"/>
          </w:tcPr>
          <w:p>
            <w:pPr>
              <w:spacing w:after="0"/>
              <w:rPr>
                <w:sz w:val="18"/>
                <w:szCs w:val="18"/>
                <w:color w:val="auto"/>
              </w:rPr>
            </w:pPr>
          </w:p>
        </w:tc>
        <w:tc>
          <w:tcPr>
            <w:tcW w:w="11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Unrealized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Foreign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for-sale</w:t>
            </w:r>
          </w:p>
        </w:tc>
        <w:tc>
          <w:tcPr>
            <w:tcW w:w="80" w:type="dxa"/>
            <w:vAlign w:val="bottom"/>
          </w:tcPr>
          <w:p>
            <w:pPr>
              <w:spacing w:after="0"/>
              <w:rPr>
                <w:sz w:val="18"/>
                <w:szCs w:val="18"/>
                <w:color w:val="auto"/>
              </w:rPr>
            </w:pPr>
          </w:p>
        </w:tc>
        <w:tc>
          <w:tcPr>
            <w:tcW w:w="11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7"/>
              </w:rPr>
              <w:t>gain (loss) 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currency</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2"/>
              </w:rPr>
              <w:t>marketable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cash flow</w:t>
            </w:r>
          </w:p>
        </w:tc>
        <w:tc>
          <w:tcPr>
            <w:tcW w:w="80" w:type="dxa"/>
            <w:vAlign w:val="bottom"/>
          </w:tcPr>
          <w:p>
            <w:pPr>
              <w:spacing w:after="0"/>
              <w:rPr>
                <w:sz w:val="18"/>
                <w:szCs w:val="18"/>
                <w:color w:val="auto"/>
              </w:rPr>
            </w:pPr>
          </w:p>
        </w:tc>
        <w:tc>
          <w:tcPr>
            <w:tcW w:w="11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1"/>
              </w:rPr>
              <w:t>translation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securities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2"/>
              </w:rPr>
              <w:t>hedges</w:t>
            </w:r>
          </w:p>
        </w:tc>
        <w:tc>
          <w:tcPr>
            <w:tcW w:w="80" w:type="dxa"/>
            <w:vAlign w:val="bottom"/>
          </w:tcPr>
          <w:p>
            <w:pPr>
              <w:spacing w:after="0"/>
              <w:rPr>
                <w:sz w:val="20"/>
                <w:szCs w:val="20"/>
                <w:color w:val="auto"/>
              </w:rPr>
            </w:pPr>
          </w:p>
        </w:tc>
        <w:tc>
          <w:tcPr>
            <w:tcW w:w="11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1"/>
              </w:rPr>
              <w:t>adjustment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6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260" w:type="dxa"/>
            <w:vAlign w:val="bottom"/>
            <w:tcBorders>
              <w:top w:val="single" w:sz="8" w:color="auto"/>
              <w:bottom w:val="single" w:sz="8" w:color="auto"/>
            </w:tcBorders>
            <w:gridSpan w:val="6"/>
          </w:tcPr>
          <w:p>
            <w:pPr>
              <w:jc w:val="right"/>
              <w:ind w:right="780"/>
              <w:spacing w:after="0"/>
              <w:rPr>
                <w:sz w:val="20"/>
                <w:szCs w:val="20"/>
                <w:color w:val="auto"/>
              </w:rPr>
            </w:pPr>
            <w:r>
              <w:rPr>
                <w:rFonts w:ascii="Arial" w:cs="Arial" w:eastAsia="Arial" w:hAnsi="Arial"/>
                <w:sz w:val="18"/>
                <w:szCs w:val="18"/>
                <w:b w:val="1"/>
                <w:bCs w:val="1"/>
                <w:color w:val="auto"/>
              </w:rPr>
              <w:t>Unaudited</w:t>
            </w:r>
          </w:p>
        </w:tc>
        <w:tc>
          <w:tcPr>
            <w:tcW w:w="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840"/>
              <w:spacing w:after="0"/>
              <w:rPr>
                <w:sz w:val="20"/>
                <w:szCs w:val="20"/>
                <w:color w:val="auto"/>
              </w:rPr>
            </w:pPr>
            <w:r>
              <w:rPr>
                <w:rFonts w:ascii="Arial" w:cs="Arial" w:eastAsia="Arial" w:hAnsi="Arial"/>
                <w:sz w:val="18"/>
                <w:szCs w:val="18"/>
                <w:color w:val="auto"/>
              </w:rPr>
              <w:t>Nine months ended September 30, 2016: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3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Beginning balance</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03"/>
        </w:trPr>
        <w:tc>
          <w:tcPr>
            <w:tcW w:w="6340" w:type="dxa"/>
            <w:vAlign w:val="bottom"/>
            <w:tcBorders>
              <w:top w:val="single" w:sz="8" w:color="CCEEFF"/>
            </w:tcBorders>
          </w:tcPr>
          <w:p>
            <w:pPr>
              <w:ind w:left="840"/>
              <w:spacing w:after="0" w:line="203" w:lineRule="exact"/>
              <w:rPr>
                <w:sz w:val="20"/>
                <w:szCs w:val="20"/>
                <w:color w:val="auto"/>
              </w:rPr>
            </w:pPr>
            <w:r>
              <w:rPr>
                <w:rFonts w:ascii="Arial" w:cs="Arial" w:eastAsia="Arial" w:hAnsi="Arial"/>
                <w:sz w:val="18"/>
                <w:szCs w:val="18"/>
                <w:color w:val="auto"/>
              </w:rPr>
              <w:t>Other comprehensive income before reclassifications</w:t>
            </w:r>
          </w:p>
        </w:tc>
        <w:tc>
          <w:tcPr>
            <w:tcW w:w="2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340</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152</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22</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514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3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Amounts reclassified from accumulated other comprehensive loss</w:t>
            </w: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0"/>
        </w:trPr>
        <w:tc>
          <w:tcPr>
            <w:tcW w:w="6340" w:type="dxa"/>
            <w:vAlign w:val="bottom"/>
            <w:tcBorders>
              <w:top w:val="single" w:sz="8" w:color="CCEEFF"/>
              <w:bottom w:val="single" w:sz="8" w:color="CCEEFF"/>
            </w:tcBorders>
          </w:tcPr>
          <w:p>
            <w:pPr>
              <w:ind w:left="840"/>
              <w:spacing w:after="0" w:line="203" w:lineRule="exact"/>
              <w:rPr>
                <w:sz w:val="20"/>
                <w:szCs w:val="20"/>
                <w:color w:val="auto"/>
              </w:rPr>
            </w:pPr>
            <w:r>
              <w:rPr>
                <w:rFonts w:ascii="Arial" w:cs="Arial" w:eastAsia="Arial" w:hAnsi="Arial"/>
                <w:sz w:val="18"/>
                <w:szCs w:val="18"/>
                <w:color w:val="auto"/>
              </w:rPr>
              <w:t>Net current period other comprehensive income loss</w:t>
            </w:r>
          </w:p>
        </w:tc>
        <w:tc>
          <w:tcPr>
            <w:tcW w:w="2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338</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90</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3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Ending Balance</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
        </w:trPr>
        <w:tc>
          <w:tcPr>
            <w:tcW w:w="6340" w:type="dxa"/>
            <w:vAlign w:val="bottom"/>
            <w:tcBorders>
              <w:top w:val="single" w:sz="8" w:color="CCEEFF"/>
              <w:bottom w:val="single" w:sz="8" w:color="CCEEFF"/>
            </w:tcBorders>
            <w:vMerge w:val="restart"/>
          </w:tcPr>
          <w:p>
            <w:pPr>
              <w:ind w:left="5640"/>
              <w:spacing w:after="0"/>
              <w:rPr>
                <w:sz w:val="20"/>
                <w:szCs w:val="20"/>
                <w:color w:val="auto"/>
              </w:rPr>
            </w:pPr>
            <w:r>
              <w:rPr>
                <w:rFonts w:ascii="Arial" w:cs="Arial" w:eastAsia="Arial" w:hAnsi="Arial"/>
                <w:sz w:val="18"/>
                <w:szCs w:val="18"/>
                <w:color w:val="auto"/>
              </w:rPr>
              <w:t>19</w:t>
            </w: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6340" w:type="dxa"/>
            <w:vAlign w:val="bottom"/>
            <w:tcBorders>
              <w:bottom w:val="single" w:sz="8" w:color="auto"/>
            </w:tcBorders>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-2512060</wp:posOffset>
            </wp:positionV>
            <wp:extent cx="531495" cy="2058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31495" cy="205803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23" w:name="page24"/>
    <w:bookmarkEnd w:id="23"/>
    <w:p>
      <w:pPr>
        <w:ind w:left="73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right="4700"/>
        <w:spacing w:after="0" w:line="313" w:lineRule="auto"/>
        <w:rPr>
          <w:sz w:val="20"/>
          <w:szCs w:val="20"/>
          <w:color w:val="auto"/>
        </w:rPr>
      </w:pPr>
      <w:r>
        <w:rPr>
          <w:rFonts w:ascii="Arial" w:cs="Arial" w:eastAsia="Arial" w:hAnsi="Arial"/>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NOTE 13:-SELECTED STATEMENTS OF INCOME DATA</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820" w:type="dxa"/>
            <w:vAlign w:val="bottom"/>
            <w:gridSpan w:val="2"/>
          </w:tcPr>
          <w:p>
            <w:pPr>
              <w:ind w:left="860"/>
              <w:spacing w:after="0"/>
              <w:rPr>
                <w:sz w:val="20"/>
                <w:szCs w:val="20"/>
                <w:color w:val="auto"/>
              </w:rPr>
            </w:pPr>
            <w:r>
              <w:rPr>
                <w:rFonts w:ascii="Arial" w:cs="Arial" w:eastAsia="Arial" w:hAnsi="Arial"/>
                <w:sz w:val="18"/>
                <w:szCs w:val="18"/>
                <w:color w:val="auto"/>
              </w:rPr>
              <w:t>Financial income (expenses), net:</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00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7"/>
        </w:trPr>
        <w:tc>
          <w:tcPr>
            <w:tcW w:w="1000" w:type="dxa"/>
            <w:vAlign w:val="bottom"/>
          </w:tcPr>
          <w:p>
            <w:pPr>
              <w:spacing w:after="0"/>
              <w:rPr>
                <w:sz w:val="20"/>
                <w:szCs w:val="20"/>
                <w:color w:val="auto"/>
              </w:rPr>
            </w:pPr>
          </w:p>
        </w:tc>
        <w:tc>
          <w:tcPr>
            <w:tcW w:w="78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w w:val="94"/>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rPr>
                <w:sz w:val="19"/>
                <w:szCs w:val="19"/>
                <w:color w:val="auto"/>
              </w:rPr>
            </w:pPr>
          </w:p>
        </w:tc>
        <w:tc>
          <w:tcPr>
            <w:tcW w:w="78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Unaudited</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20" w:type="dxa"/>
            <w:vAlign w:val="bottom"/>
            <w:gridSpan w:val="2"/>
          </w:tcPr>
          <w:p>
            <w:pPr>
              <w:ind w:left="840"/>
              <w:spacing w:after="0"/>
              <w:rPr>
                <w:sz w:val="20"/>
                <w:szCs w:val="20"/>
                <w:color w:val="auto"/>
              </w:rPr>
            </w:pPr>
            <w:r>
              <w:rPr>
                <w:rFonts w:ascii="Arial" w:cs="Arial" w:eastAsia="Arial" w:hAnsi="Arial"/>
                <w:sz w:val="18"/>
                <w:szCs w:val="18"/>
                <w:color w:val="auto"/>
              </w:rPr>
              <w:t>Financial income:</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0" w:type="dxa"/>
            <w:vAlign w:val="bottom"/>
            <w:shd w:val="clear" w:color="auto" w:fill="CCEEFF"/>
          </w:tcPr>
          <w:p>
            <w:pPr>
              <w:spacing w:after="0"/>
              <w:rPr>
                <w:sz w:val="21"/>
                <w:szCs w:val="21"/>
                <w:color w:val="auto"/>
              </w:rPr>
            </w:pPr>
          </w:p>
        </w:tc>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on bank deposits and other</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820" w:type="dxa"/>
            <w:vAlign w:val="bottom"/>
          </w:tcPr>
          <w:p>
            <w:pPr>
              <w:ind w:left="20"/>
              <w:spacing w:after="0"/>
              <w:rPr>
                <w:sz w:val="20"/>
                <w:szCs w:val="20"/>
                <w:color w:val="auto"/>
              </w:rPr>
            </w:pPr>
            <w:r>
              <w:rPr>
                <w:rFonts w:ascii="Arial" w:cs="Arial" w:eastAsia="Arial" w:hAnsi="Arial"/>
                <w:sz w:val="18"/>
                <w:szCs w:val="18"/>
                <w:color w:val="auto"/>
              </w:rPr>
              <w:t>Foreign currency translation differences</w:t>
            </w:r>
          </w:p>
        </w:tc>
        <w:tc>
          <w:tcPr>
            <w:tcW w:w="24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1,720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37"/>
        </w:trPr>
        <w:tc>
          <w:tcPr>
            <w:tcW w:w="1000" w:type="dxa"/>
            <w:vAlign w:val="bottom"/>
            <w:shd w:val="clear" w:color="auto" w:fill="CCEEFF"/>
          </w:tcPr>
          <w:p>
            <w:pPr>
              <w:spacing w:after="0"/>
              <w:rPr>
                <w:sz w:val="20"/>
                <w:szCs w:val="20"/>
                <w:color w:val="auto"/>
              </w:rPr>
            </w:pPr>
          </w:p>
        </w:tc>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on marketable securities</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780</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1000" w:type="dxa"/>
            <w:vAlign w:val="bottom"/>
            <w:tcBorders>
              <w:top w:val="single" w:sz="8" w:color="CCEEFF"/>
            </w:tcBorders>
          </w:tcPr>
          <w:p>
            <w:pPr>
              <w:spacing w:after="0"/>
              <w:rPr>
                <w:sz w:val="19"/>
                <w:szCs w:val="19"/>
                <w:color w:val="auto"/>
              </w:rPr>
            </w:pPr>
          </w:p>
        </w:tc>
        <w:tc>
          <w:tcPr>
            <w:tcW w:w="782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000" w:type="dxa"/>
            <w:vAlign w:val="bottom"/>
            <w:shd w:val="clear" w:color="auto" w:fill="CCEEFF"/>
          </w:tcPr>
          <w:p>
            <w:pPr>
              <w:spacing w:after="0"/>
              <w:rPr>
                <w:sz w:val="21"/>
                <w:szCs w:val="21"/>
                <w:color w:val="auto"/>
              </w:rPr>
            </w:pPr>
          </w:p>
        </w:tc>
        <w:tc>
          <w:tcPr>
            <w:tcW w:w="78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2,651</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17"/>
        </w:trPr>
        <w:tc>
          <w:tcPr>
            <w:tcW w:w="8820" w:type="dxa"/>
            <w:vAlign w:val="bottom"/>
            <w:tcBorders>
              <w:top w:val="single" w:sz="8" w:color="CCEEFF"/>
            </w:tcBorders>
            <w:gridSpan w:val="2"/>
          </w:tcPr>
          <w:p>
            <w:pPr>
              <w:ind w:left="840"/>
              <w:spacing w:after="0"/>
              <w:rPr>
                <w:sz w:val="20"/>
                <w:szCs w:val="20"/>
                <w:color w:val="auto"/>
              </w:rPr>
            </w:pPr>
            <w:r>
              <w:rPr>
                <w:rFonts w:ascii="Arial" w:cs="Arial" w:eastAsia="Arial" w:hAnsi="Arial"/>
                <w:sz w:val="18"/>
                <w:szCs w:val="18"/>
                <w:color w:val="auto"/>
              </w:rPr>
              <w:t>Financial expenses:</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00" w:type="dxa"/>
            <w:vAlign w:val="bottom"/>
            <w:shd w:val="clear" w:color="auto" w:fill="CCEEFF"/>
          </w:tcPr>
          <w:p>
            <w:pPr>
              <w:spacing w:after="0"/>
              <w:rPr>
                <w:sz w:val="21"/>
                <w:szCs w:val="21"/>
                <w:color w:val="auto"/>
              </w:rPr>
            </w:pPr>
          </w:p>
        </w:tc>
        <w:tc>
          <w:tcPr>
            <w:tcW w:w="78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820" w:type="dxa"/>
            <w:vAlign w:val="bottom"/>
          </w:tcPr>
          <w:p>
            <w:pPr>
              <w:ind w:left="20"/>
              <w:spacing w:after="0"/>
              <w:rPr>
                <w:sz w:val="20"/>
                <w:szCs w:val="20"/>
                <w:color w:val="auto"/>
              </w:rPr>
            </w:pPr>
            <w:r>
              <w:rPr>
                <w:rFonts w:ascii="Arial" w:cs="Arial" w:eastAsia="Arial" w:hAnsi="Arial"/>
                <w:sz w:val="18"/>
                <w:szCs w:val="18"/>
                <w:color w:val="auto"/>
              </w:rPr>
              <w:t>Bank charges</w:t>
            </w:r>
          </w:p>
        </w:tc>
        <w:tc>
          <w:tcPr>
            <w:tcW w:w="24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(181)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43"/>
        </w:trPr>
        <w:tc>
          <w:tcPr>
            <w:tcW w:w="1000" w:type="dxa"/>
            <w:vAlign w:val="bottom"/>
            <w:shd w:val="clear" w:color="auto" w:fill="CCEEFF"/>
          </w:tcPr>
          <w:p>
            <w:pPr>
              <w:spacing w:after="0"/>
              <w:rPr>
                <w:sz w:val="21"/>
                <w:szCs w:val="21"/>
                <w:color w:val="auto"/>
              </w:rPr>
            </w:pPr>
          </w:p>
        </w:tc>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differences</w:t>
            </w: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(2,039)</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37"/>
        </w:trPr>
        <w:tc>
          <w:tcPr>
            <w:tcW w:w="1000" w:type="dxa"/>
            <w:vAlign w:val="bottom"/>
          </w:tcPr>
          <w:p>
            <w:pPr>
              <w:spacing w:after="0"/>
              <w:rPr>
                <w:sz w:val="20"/>
                <w:szCs w:val="20"/>
                <w:color w:val="auto"/>
              </w:rPr>
            </w:pPr>
          </w:p>
        </w:tc>
        <w:tc>
          <w:tcPr>
            <w:tcW w:w="7820" w:type="dxa"/>
            <w:vAlign w:val="bottom"/>
          </w:tcPr>
          <w:p>
            <w:pPr>
              <w:ind w:left="20"/>
              <w:spacing w:after="0"/>
              <w:rPr>
                <w:sz w:val="20"/>
                <w:szCs w:val="20"/>
                <w:color w:val="auto"/>
              </w:rPr>
            </w:pPr>
            <w:r>
              <w:rPr>
                <w:rFonts w:ascii="Arial" w:cs="Arial" w:eastAsia="Arial" w:hAnsi="Arial"/>
                <w:sz w:val="18"/>
                <w:szCs w:val="18"/>
                <w:color w:val="auto"/>
              </w:rPr>
              <w:t>Amortization of premium (accretion of discount), net</w:t>
            </w: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(338)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1000" w:type="dxa"/>
            <w:vAlign w:val="bottom"/>
            <w:tcBorders>
              <w:top w:val="single" w:sz="8" w:color="CCEEFF"/>
            </w:tcBorders>
            <w:shd w:val="clear" w:color="auto" w:fill="CCEEFF"/>
          </w:tcPr>
          <w:p>
            <w:pPr>
              <w:spacing w:after="0"/>
              <w:rPr>
                <w:sz w:val="19"/>
                <w:szCs w:val="19"/>
                <w:color w:val="auto"/>
              </w:rPr>
            </w:pPr>
          </w:p>
        </w:tc>
        <w:tc>
          <w:tcPr>
            <w:tcW w:w="78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8820" w:type="dxa"/>
            <w:vAlign w:val="bottom"/>
            <w:gridSpan w:val="2"/>
          </w:tcPr>
          <w:p>
            <w:pPr>
              <w:ind w:left="840"/>
              <w:spacing w:after="0"/>
              <w:rPr>
                <w:sz w:val="20"/>
                <w:szCs w:val="20"/>
                <w:color w:val="auto"/>
              </w:rPr>
            </w:pPr>
            <w:r>
              <w:rPr>
                <w:rFonts w:ascii="Arial" w:cs="Arial" w:eastAsia="Arial" w:hAnsi="Arial"/>
                <w:sz w:val="18"/>
                <w:szCs w:val="18"/>
                <w:color w:val="auto"/>
              </w:rPr>
              <w:t>Total financial income (expense)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93</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line="256" w:lineRule="exact"/>
              <w:rPr>
                <w:sz w:val="20"/>
                <w:szCs w:val="20"/>
                <w:color w:val="auto"/>
              </w:rPr>
            </w:pPr>
            <w:r>
              <w:rPr>
                <w:rFonts w:ascii="Arial" w:cs="Arial" w:eastAsia="Arial" w:hAnsi="Arial"/>
                <w:sz w:val="16"/>
                <w:szCs w:val="16"/>
                <w:color w:val="auto"/>
              </w:rPr>
              <w:t>(170</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1"/>
        </w:trPr>
        <w:tc>
          <w:tcPr>
            <w:tcW w:w="8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14:-TAXES ON INCOME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8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000" w:type="dxa"/>
            <w:vAlign w:val="bottom"/>
          </w:tcPr>
          <w:p>
            <w:pPr>
              <w:ind w:left="840"/>
              <w:spacing w:after="0"/>
              <w:rPr>
                <w:sz w:val="20"/>
                <w:szCs w:val="20"/>
                <w:color w:val="auto"/>
              </w:rPr>
            </w:pPr>
            <w:r>
              <w:rPr>
                <w:rFonts w:ascii="Arial" w:cs="Arial" w:eastAsia="Arial" w:hAnsi="Arial"/>
                <w:sz w:val="18"/>
                <w:szCs w:val="18"/>
                <w:color w:val="auto"/>
                <w:w w:val="92"/>
              </w:rPr>
              <w:t>a.</w:t>
            </w:r>
          </w:p>
        </w:tc>
        <w:tc>
          <w:tcPr>
            <w:tcW w:w="7820" w:type="dxa"/>
            <w:vAlign w:val="bottom"/>
          </w:tcPr>
          <w:p>
            <w:pPr>
              <w:ind w:left="360"/>
              <w:spacing w:after="0"/>
              <w:rPr>
                <w:sz w:val="20"/>
                <w:szCs w:val="20"/>
                <w:color w:val="auto"/>
              </w:rPr>
            </w:pPr>
            <w:r>
              <w:rPr>
                <w:rFonts w:ascii="Arial" w:cs="Arial" w:eastAsia="Arial" w:hAnsi="Arial"/>
                <w:sz w:val="18"/>
                <w:szCs w:val="18"/>
                <w:color w:val="auto"/>
              </w:rPr>
              <w:t>Income before taxes on income is comprised as follows: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-3223895</wp:posOffset>
            </wp:positionV>
            <wp:extent cx="531495" cy="26587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31495" cy="2658745"/>
                    </a:xfrm>
                    <a:prstGeom prst="rect">
                      <a:avLst/>
                    </a:prstGeom>
                    <a:noFill/>
                  </pic:spPr>
                </pic:pic>
              </a:graphicData>
            </a:graphic>
          </wp:anchor>
        </w:drawing>
      </w:r>
    </w:p>
    <w:p>
      <w:pPr>
        <w:spacing w:after="0" w:line="191" w:lineRule="exact"/>
        <w:rPr>
          <w:sz w:val="20"/>
          <w:szCs w:val="20"/>
          <w:color w:val="auto"/>
        </w:rPr>
      </w:pPr>
    </w:p>
    <w:p>
      <w:pPr>
        <w:jc w:val="center"/>
        <w:ind w:left="8720"/>
        <w:spacing w:after="0"/>
        <w:rPr>
          <w:sz w:val="20"/>
          <w:szCs w:val="20"/>
          <w:color w:val="auto"/>
        </w:rPr>
      </w:pPr>
      <w:r>
        <w:rPr>
          <w:rFonts w:ascii="Arial" w:cs="Arial" w:eastAsia="Arial" w:hAnsi="Arial"/>
          <w:sz w:val="18"/>
          <w:szCs w:val="18"/>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531495" cy="13976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31495" cy="1397635"/>
                    </a:xfrm>
                    <a:prstGeom prst="rect">
                      <a:avLst/>
                    </a:prstGeom>
                    <a:noFill/>
                  </pic:spPr>
                </pic:pic>
              </a:graphicData>
            </a:graphic>
          </wp:anchor>
        </w:drawing>
      </w:r>
    </w:p>
    <w:p>
      <w:pPr>
        <w:spacing w:after="0" w:line="7" w:lineRule="exact"/>
        <w:rPr>
          <w:sz w:val="20"/>
          <w:szCs w:val="20"/>
          <w:color w:val="auto"/>
        </w:rPr>
      </w:pPr>
    </w:p>
    <w:p>
      <w:pPr>
        <w:jc w:val="center"/>
        <w:ind w:left="872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580" w:type="dxa"/>
            <w:vAlign w:val="bottom"/>
          </w:tcPr>
          <w:p>
            <w:pPr>
              <w:spacing w:after="0"/>
              <w:rPr>
                <w:sz w:val="21"/>
                <w:szCs w:val="21"/>
                <w:color w:val="auto"/>
              </w:rPr>
            </w:pPr>
          </w:p>
        </w:tc>
        <w:tc>
          <w:tcPr>
            <w:tcW w:w="524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58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Unaudited</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5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Domestic</w:t>
            </w:r>
          </w:p>
        </w:tc>
        <w:tc>
          <w:tcPr>
            <w:tcW w:w="5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(1,051)</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1,803</w:t>
            </w:r>
          </w:p>
        </w:tc>
        <w:tc>
          <w:tcPr>
            <w:tcW w:w="0" w:type="dxa"/>
            <w:vAlign w:val="bottom"/>
          </w:tcPr>
          <w:p>
            <w:pPr>
              <w:spacing w:after="0"/>
              <w:rPr>
                <w:sz w:val="1"/>
                <w:szCs w:val="1"/>
                <w:color w:val="auto"/>
              </w:rPr>
            </w:pPr>
          </w:p>
        </w:tc>
      </w:tr>
      <w:tr>
        <w:trPr>
          <w:trHeight w:val="237"/>
        </w:trPr>
        <w:tc>
          <w:tcPr>
            <w:tcW w:w="3580" w:type="dxa"/>
            <w:vAlign w:val="bottom"/>
          </w:tcPr>
          <w:p>
            <w:pPr>
              <w:ind w:left="840"/>
              <w:spacing w:after="0"/>
              <w:rPr>
                <w:sz w:val="20"/>
                <w:szCs w:val="20"/>
                <w:color w:val="auto"/>
              </w:rPr>
            </w:pPr>
            <w:r>
              <w:rPr>
                <w:rFonts w:ascii="Arial" w:cs="Arial" w:eastAsia="Arial" w:hAnsi="Arial"/>
                <w:sz w:val="18"/>
                <w:szCs w:val="18"/>
                <w:color w:val="auto"/>
              </w:rPr>
              <w:t>Foreign</w:t>
            </w:r>
          </w:p>
        </w:tc>
        <w:tc>
          <w:tcPr>
            <w:tcW w:w="5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1,770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1,596</w:t>
            </w:r>
          </w:p>
        </w:tc>
        <w:tc>
          <w:tcPr>
            <w:tcW w:w="0" w:type="dxa"/>
            <w:vAlign w:val="bottom"/>
          </w:tcPr>
          <w:p>
            <w:pPr>
              <w:spacing w:after="0"/>
              <w:rPr>
                <w:sz w:val="1"/>
                <w:szCs w:val="1"/>
                <w:color w:val="auto"/>
              </w:rPr>
            </w:pPr>
          </w:p>
        </w:tc>
      </w:tr>
      <w:tr>
        <w:trPr>
          <w:trHeight w:val="230"/>
        </w:trPr>
        <w:tc>
          <w:tcPr>
            <w:tcW w:w="3580" w:type="dxa"/>
            <w:vAlign w:val="bottom"/>
            <w:tcBorders>
              <w:top w:val="single" w:sz="8" w:color="CCEEFF"/>
            </w:tcBorders>
            <w:shd w:val="clear" w:color="auto" w:fill="CCEEFF"/>
          </w:tcPr>
          <w:p>
            <w:pPr>
              <w:spacing w:after="0"/>
              <w:rPr>
                <w:sz w:val="19"/>
                <w:szCs w:val="19"/>
                <w:color w:val="auto"/>
              </w:rPr>
            </w:pPr>
          </w:p>
        </w:tc>
        <w:tc>
          <w:tcPr>
            <w:tcW w:w="52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3580" w:type="dxa"/>
            <w:vAlign w:val="bottom"/>
          </w:tcPr>
          <w:p>
            <w:pPr>
              <w:spacing w:after="0"/>
              <w:rPr>
                <w:sz w:val="22"/>
                <w:szCs w:val="22"/>
                <w:color w:val="auto"/>
              </w:rPr>
            </w:pPr>
          </w:p>
        </w:tc>
        <w:tc>
          <w:tcPr>
            <w:tcW w:w="5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719</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3,399</w:t>
            </w:r>
          </w:p>
        </w:tc>
        <w:tc>
          <w:tcPr>
            <w:tcW w:w="0" w:type="dxa"/>
            <w:vAlign w:val="bottom"/>
          </w:tcPr>
          <w:p>
            <w:pPr>
              <w:spacing w:after="0"/>
              <w:rPr>
                <w:sz w:val="1"/>
                <w:szCs w:val="1"/>
                <w:color w:val="auto"/>
              </w:rPr>
            </w:pPr>
          </w:p>
        </w:tc>
      </w:tr>
      <w:tr>
        <w:trPr>
          <w:trHeight w:val="21"/>
        </w:trPr>
        <w:tc>
          <w:tcPr>
            <w:tcW w:w="3580" w:type="dxa"/>
            <w:vAlign w:val="bottom"/>
          </w:tcPr>
          <w:p>
            <w:pPr>
              <w:spacing w:after="0" w:line="20" w:lineRule="exact"/>
              <w:rPr>
                <w:sz w:val="1"/>
                <w:szCs w:val="1"/>
                <w:color w:val="auto"/>
              </w:rPr>
            </w:pPr>
          </w:p>
        </w:tc>
        <w:tc>
          <w:tcPr>
            <w:tcW w:w="5240" w:type="dxa"/>
            <w:vAlign w:val="bottom"/>
            <w:vMerge w:val="restart"/>
          </w:tcPr>
          <w:p>
            <w:pPr>
              <w:jc w:val="right"/>
              <w:ind w:right="2910"/>
              <w:spacing w:after="0"/>
              <w:rPr>
                <w:sz w:val="20"/>
                <w:szCs w:val="20"/>
                <w:color w:val="auto"/>
              </w:rPr>
            </w:pPr>
            <w:r>
              <w:rPr>
                <w:rFonts w:ascii="Arial" w:cs="Arial" w:eastAsia="Arial" w:hAnsi="Arial"/>
                <w:sz w:val="18"/>
                <w:szCs w:val="18"/>
                <w:color w:val="auto"/>
              </w:rPr>
              <w:t>20</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58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4" w:name="page25"/>
    <w:bookmarkEnd w:id="24"/>
    <w:p>
      <w:pPr>
        <w:ind w:left="73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right="4700"/>
        <w:spacing w:after="0" w:line="313" w:lineRule="auto"/>
        <w:rPr>
          <w:sz w:val="20"/>
          <w:szCs w:val="20"/>
          <w:color w:val="auto"/>
        </w:rPr>
      </w:pPr>
      <w:r>
        <w:rPr>
          <w:rFonts w:ascii="Arial" w:cs="Arial" w:eastAsia="Arial" w:hAnsi="Arial"/>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14:-TAXES ON INCOME (Cont.)</w:t>
      </w:r>
    </w:p>
    <w:p>
      <w:pPr>
        <w:spacing w:after="0" w:line="229" w:lineRule="exact"/>
        <w:rPr>
          <w:sz w:val="20"/>
          <w:szCs w:val="20"/>
          <w:color w:val="auto"/>
        </w:rPr>
      </w:pPr>
    </w:p>
    <w:p>
      <w:pPr>
        <w:ind w:left="1360" w:hanging="515"/>
        <w:spacing w:after="0"/>
        <w:tabs>
          <w:tab w:leader="none" w:pos="1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Taxes on income are comprised as follows:</w:t>
      </w:r>
    </w:p>
    <w:p>
      <w:pPr>
        <w:spacing w:after="0" w:line="248" w:lineRule="exact"/>
        <w:rPr>
          <w:sz w:val="20"/>
          <w:szCs w:val="20"/>
          <w:color w:val="auto"/>
        </w:rPr>
      </w:pPr>
    </w:p>
    <w:p>
      <w:pPr>
        <w:jc w:val="center"/>
        <w:ind w:left="8720"/>
        <w:spacing w:after="0"/>
        <w:rPr>
          <w:sz w:val="20"/>
          <w:szCs w:val="20"/>
          <w:color w:val="auto"/>
        </w:rPr>
      </w:pPr>
      <w:r>
        <w:rPr>
          <w:rFonts w:ascii="Arial" w:cs="Arial" w:eastAsia="Arial" w:hAnsi="Arial"/>
          <w:sz w:val="18"/>
          <w:szCs w:val="18"/>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531495" cy="21437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31495" cy="2143760"/>
                    </a:xfrm>
                    <a:prstGeom prst="rect">
                      <a:avLst/>
                    </a:prstGeom>
                    <a:noFill/>
                  </pic:spPr>
                </pic:pic>
              </a:graphicData>
            </a:graphic>
          </wp:anchor>
        </w:drawing>
      </w:r>
    </w:p>
    <w:p>
      <w:pPr>
        <w:spacing w:after="0" w:line="7" w:lineRule="exact"/>
        <w:rPr>
          <w:sz w:val="20"/>
          <w:szCs w:val="20"/>
          <w:color w:val="auto"/>
        </w:rPr>
      </w:pPr>
    </w:p>
    <w:p>
      <w:pPr>
        <w:jc w:val="center"/>
        <w:ind w:left="872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8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2015</w:t>
            </w:r>
          </w:p>
        </w:tc>
        <w:tc>
          <w:tcPr>
            <w:tcW w:w="100" w:type="dxa"/>
            <w:vAlign w:val="bottom"/>
          </w:tcPr>
          <w:p>
            <w:pPr>
              <w:spacing w:after="0"/>
              <w:rPr>
                <w:sz w:val="21"/>
                <w:szCs w:val="21"/>
                <w:color w:val="auto"/>
              </w:rPr>
            </w:pPr>
          </w:p>
        </w:tc>
      </w:tr>
      <w:tr>
        <w:trPr>
          <w:trHeight w:val="223"/>
        </w:trPr>
        <w:tc>
          <w:tcPr>
            <w:tcW w:w="88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center"/>
              <w:ind w:left="470"/>
              <w:spacing w:after="0"/>
              <w:rPr>
                <w:sz w:val="20"/>
                <w:szCs w:val="20"/>
                <w:color w:val="auto"/>
              </w:rPr>
            </w:pPr>
            <w:r>
              <w:rPr>
                <w:rFonts w:ascii="Arial" w:cs="Arial" w:eastAsia="Arial" w:hAnsi="Arial"/>
                <w:sz w:val="18"/>
                <w:szCs w:val="18"/>
                <w:b w:val="1"/>
                <w:bCs w:val="1"/>
                <w:color w:val="auto"/>
                <w:w w:val="93"/>
              </w:rPr>
              <w:t>Unaudited</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Current taxes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1,079</w:t>
            </w:r>
          </w:p>
        </w:tc>
        <w:tc>
          <w:tcPr>
            <w:tcW w:w="3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00" w:type="dxa"/>
            <w:vAlign w:val="bottom"/>
            <w:shd w:val="clear" w:color="auto" w:fill="CCEEFF"/>
          </w:tcPr>
          <w:p>
            <w:pPr>
              <w:spacing w:after="0"/>
              <w:rPr>
                <w:sz w:val="18"/>
                <w:szCs w:val="18"/>
                <w:color w:val="auto"/>
              </w:rPr>
            </w:pPr>
          </w:p>
        </w:tc>
      </w:tr>
      <w:tr>
        <w:trPr>
          <w:trHeight w:val="237"/>
        </w:trPr>
        <w:tc>
          <w:tcPr>
            <w:tcW w:w="8820" w:type="dxa"/>
            <w:vAlign w:val="bottom"/>
          </w:tcPr>
          <w:p>
            <w:pPr>
              <w:ind w:left="840"/>
              <w:spacing w:after="0"/>
              <w:rPr>
                <w:sz w:val="20"/>
                <w:szCs w:val="20"/>
                <w:color w:val="auto"/>
              </w:rPr>
            </w:pPr>
            <w:r>
              <w:rPr>
                <w:rFonts w:ascii="Arial" w:cs="Arial" w:eastAsia="Arial" w:hAnsi="Arial"/>
                <w:sz w:val="18"/>
                <w:szCs w:val="18"/>
                <w:color w:val="auto"/>
              </w:rPr>
              <w:t>Deferred taxes</w:t>
            </w:r>
          </w:p>
        </w:tc>
        <w:tc>
          <w:tcPr>
            <w:tcW w:w="2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(368)</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r>
      <w:tr>
        <w:trPr>
          <w:trHeight w:val="216"/>
        </w:trPr>
        <w:tc>
          <w:tcPr>
            <w:tcW w:w="88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304"/>
        </w:trPr>
        <w:tc>
          <w:tcPr>
            <w:tcW w:w="882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711</w:t>
            </w:r>
          </w:p>
        </w:tc>
        <w:tc>
          <w:tcPr>
            <w:tcW w:w="340" w:type="dxa"/>
            <w:vAlign w:val="bottom"/>
            <w:gridSpan w:val="2"/>
          </w:tcPr>
          <w:p>
            <w:pPr>
              <w:jc w:val="right"/>
              <w:ind w:right="26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24"/>
                <w:szCs w:val="24"/>
                <w:color w:val="auto"/>
              </w:rPr>
            </w:pPr>
          </w:p>
        </w:tc>
      </w:tr>
      <w:tr>
        <w:trPr>
          <w:trHeight w:val="216"/>
        </w:trPr>
        <w:tc>
          <w:tcPr>
            <w:tcW w:w="88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820" w:type="dxa"/>
            <w:vAlign w:val="bottom"/>
          </w:tcPr>
          <w:p>
            <w:pPr>
              <w:ind w:left="840"/>
              <w:spacing w:after="0"/>
              <w:rPr>
                <w:sz w:val="20"/>
                <w:szCs w:val="20"/>
                <w:color w:val="auto"/>
              </w:rPr>
            </w:pPr>
            <w:r>
              <w:rPr>
                <w:rFonts w:ascii="Arial" w:cs="Arial" w:eastAsia="Arial" w:hAnsi="Arial"/>
                <w:sz w:val="18"/>
                <w:szCs w:val="18"/>
                <w:color w:val="auto"/>
              </w:rPr>
              <w:t>Domestic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6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r>
      <w:tr>
        <w:trPr>
          <w:trHeight w:val="237"/>
        </w:trPr>
        <w:tc>
          <w:tcPr>
            <w:tcW w:w="88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Foreign</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711</w:t>
            </w: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00" w:type="dxa"/>
            <w:vAlign w:val="bottom"/>
            <w:shd w:val="clear" w:color="auto" w:fill="CCEEFF"/>
          </w:tcPr>
          <w:p>
            <w:pPr>
              <w:spacing w:after="0"/>
              <w:rPr>
                <w:sz w:val="20"/>
                <w:szCs w:val="20"/>
                <w:color w:val="auto"/>
              </w:rPr>
            </w:pPr>
          </w:p>
        </w:tc>
      </w:tr>
      <w:tr>
        <w:trPr>
          <w:trHeight w:val="216"/>
        </w:trPr>
        <w:tc>
          <w:tcPr>
            <w:tcW w:w="88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4"/>
        </w:trPr>
        <w:tc>
          <w:tcPr>
            <w:tcW w:w="88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711</w:t>
            </w:r>
          </w:p>
        </w:tc>
        <w:tc>
          <w:tcPr>
            <w:tcW w:w="3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00" w:type="dxa"/>
            <w:vAlign w:val="bottom"/>
            <w:shd w:val="clear" w:color="auto" w:fill="CCEEFF"/>
          </w:tcPr>
          <w:p>
            <w:pPr>
              <w:spacing w:after="0"/>
              <w:rPr>
                <w:sz w:val="22"/>
                <w:szCs w:val="22"/>
                <w:color w:val="auto"/>
              </w:rPr>
            </w:pPr>
          </w:p>
        </w:tc>
      </w:tr>
      <w:tr>
        <w:trPr>
          <w:trHeight w:val="21"/>
        </w:trPr>
        <w:tc>
          <w:tcPr>
            <w:tcW w:w="8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4"/>
        </w:trPr>
        <w:tc>
          <w:tcPr>
            <w:tcW w:w="8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88"/>
              </w:rPr>
              <w:t>Nine months ended</w:t>
            </w:r>
          </w:p>
        </w:tc>
      </w:tr>
      <w:tr>
        <w:trPr>
          <w:trHeight w:val="241"/>
        </w:trPr>
        <w:tc>
          <w:tcPr>
            <w:tcW w:w="8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r>
      <w:tr>
        <w:trPr>
          <w:trHeight w:val="237"/>
        </w:trPr>
        <w:tc>
          <w:tcPr>
            <w:tcW w:w="88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2015</w:t>
            </w:r>
          </w:p>
        </w:tc>
        <w:tc>
          <w:tcPr>
            <w:tcW w:w="100" w:type="dxa"/>
            <w:vAlign w:val="bottom"/>
          </w:tcPr>
          <w:p>
            <w:pPr>
              <w:spacing w:after="0"/>
              <w:rPr>
                <w:sz w:val="20"/>
                <w:szCs w:val="20"/>
                <w:color w:val="auto"/>
              </w:rPr>
            </w:pPr>
          </w:p>
        </w:tc>
      </w:tr>
      <w:tr>
        <w:trPr>
          <w:trHeight w:val="223"/>
        </w:trPr>
        <w:tc>
          <w:tcPr>
            <w:tcW w:w="88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center"/>
              <w:ind w:left="470"/>
              <w:spacing w:after="0"/>
              <w:rPr>
                <w:sz w:val="20"/>
                <w:szCs w:val="20"/>
                <w:color w:val="auto"/>
              </w:rPr>
            </w:pPr>
            <w:r>
              <w:rPr>
                <w:rFonts w:ascii="Arial" w:cs="Arial" w:eastAsia="Arial" w:hAnsi="Arial"/>
                <w:sz w:val="18"/>
                <w:szCs w:val="18"/>
                <w:b w:val="1"/>
                <w:bCs w:val="1"/>
                <w:color w:val="auto"/>
                <w:w w:val="93"/>
              </w:rPr>
              <w:t>Unaudited</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432"/>
        </w:trPr>
        <w:tc>
          <w:tcPr>
            <w:tcW w:w="8820" w:type="dxa"/>
            <w:vAlign w:val="bottom"/>
          </w:tcPr>
          <w:p>
            <w:pPr>
              <w:ind w:left="840"/>
              <w:spacing w:after="0"/>
              <w:rPr>
                <w:sz w:val="20"/>
                <w:szCs w:val="20"/>
                <w:color w:val="auto"/>
              </w:rPr>
            </w:pPr>
            <w:r>
              <w:rPr>
                <w:rFonts w:ascii="Arial" w:cs="Arial" w:eastAsia="Arial" w:hAnsi="Arial"/>
                <w:sz w:val="18"/>
                <w:szCs w:val="18"/>
                <w:color w:val="auto"/>
              </w:rPr>
              <w:t>Domestic taxes: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88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Current taxes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20"/>
                <w:szCs w:val="20"/>
                <w:color w:val="auto"/>
              </w:rPr>
            </w:pPr>
          </w:p>
        </w:tc>
      </w:tr>
      <w:tr>
        <w:trPr>
          <w:trHeight w:val="216"/>
        </w:trPr>
        <w:tc>
          <w:tcPr>
            <w:tcW w:w="88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8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Foreign taxes: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Current taxes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00" w:type="dxa"/>
            <w:vAlign w:val="bottom"/>
            <w:shd w:val="clear" w:color="auto" w:fill="CCEEFF"/>
          </w:tcPr>
          <w:p>
            <w:pPr>
              <w:spacing w:after="0"/>
              <w:rPr>
                <w:sz w:val="18"/>
                <w:szCs w:val="18"/>
                <w:color w:val="auto"/>
              </w:rPr>
            </w:pPr>
          </w:p>
        </w:tc>
      </w:tr>
      <w:tr>
        <w:trPr>
          <w:trHeight w:val="237"/>
        </w:trPr>
        <w:tc>
          <w:tcPr>
            <w:tcW w:w="8820" w:type="dxa"/>
            <w:vAlign w:val="bottom"/>
          </w:tcPr>
          <w:p>
            <w:pPr>
              <w:ind w:left="840"/>
              <w:spacing w:after="0"/>
              <w:rPr>
                <w:sz w:val="20"/>
                <w:szCs w:val="20"/>
                <w:color w:val="auto"/>
              </w:rPr>
            </w:pPr>
            <w:r>
              <w:rPr>
                <w:rFonts w:ascii="Arial" w:cs="Arial" w:eastAsia="Arial" w:hAnsi="Arial"/>
                <w:sz w:val="18"/>
                <w:szCs w:val="18"/>
                <w:color w:val="auto"/>
              </w:rPr>
              <w:t>Deferred taxes</w:t>
            </w:r>
          </w:p>
        </w:tc>
        <w:tc>
          <w:tcPr>
            <w:tcW w:w="2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(368)</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r>
      <w:tr>
        <w:trPr>
          <w:trHeight w:val="216"/>
        </w:trPr>
        <w:tc>
          <w:tcPr>
            <w:tcW w:w="88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4"/>
        </w:trPr>
        <w:tc>
          <w:tcPr>
            <w:tcW w:w="8820" w:type="dxa"/>
            <w:vAlign w:val="bottom"/>
          </w:tcPr>
          <w:p>
            <w:pPr>
              <w:ind w:left="840"/>
              <w:spacing w:after="0"/>
              <w:rPr>
                <w:sz w:val="20"/>
                <w:szCs w:val="20"/>
                <w:color w:val="auto"/>
              </w:rPr>
            </w:pPr>
            <w:r>
              <w:rPr>
                <w:rFonts w:ascii="Arial" w:cs="Arial" w:eastAsia="Arial" w:hAnsi="Arial"/>
                <w:sz w:val="18"/>
                <w:szCs w:val="18"/>
                <w:color w:val="auto"/>
              </w:rPr>
              <w:t>Taxes on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711</w:t>
            </w:r>
          </w:p>
        </w:tc>
        <w:tc>
          <w:tcPr>
            <w:tcW w:w="340" w:type="dxa"/>
            <w:vAlign w:val="bottom"/>
            <w:gridSpan w:val="2"/>
          </w:tcPr>
          <w:p>
            <w:pPr>
              <w:jc w:val="right"/>
              <w:ind w:right="26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22"/>
                <w:szCs w:val="22"/>
                <w:color w:val="auto"/>
              </w:rPr>
            </w:pPr>
          </w:p>
        </w:tc>
      </w:tr>
      <w:tr>
        <w:trPr>
          <w:trHeight w:val="21"/>
        </w:trPr>
        <w:tc>
          <w:tcPr>
            <w:tcW w:w="8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-2237740</wp:posOffset>
            </wp:positionV>
            <wp:extent cx="531495" cy="22123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31495" cy="2212340"/>
                    </a:xfrm>
                    <a:prstGeom prst="rect">
                      <a:avLst/>
                    </a:prstGeom>
                    <a:noFill/>
                  </pic:spPr>
                </pic:pic>
              </a:graphicData>
            </a:graphic>
          </wp:anchor>
        </w:drawing>
      </w:r>
    </w:p>
    <w:p>
      <w:pPr>
        <w:spacing w:after="0" w:line="182" w:lineRule="exact"/>
        <w:rPr>
          <w:sz w:val="20"/>
          <w:szCs w:val="20"/>
          <w:color w:val="auto"/>
        </w:rPr>
      </w:pPr>
    </w:p>
    <w:p>
      <w:pPr>
        <w:ind w:left="860"/>
        <w:spacing w:after="0" w:line="277" w:lineRule="auto"/>
        <w:rPr>
          <w:sz w:val="20"/>
          <w:szCs w:val="20"/>
          <w:color w:val="auto"/>
        </w:rPr>
      </w:pPr>
      <w:r>
        <w:rPr>
          <w:rFonts w:ascii="Arial" w:cs="Arial" w:eastAsia="Arial" w:hAnsi="Arial"/>
          <w:sz w:val="18"/>
          <w:szCs w:val="18"/>
          <w:color w:val="auto"/>
        </w:rPr>
        <w:t>The effective tax rate is higher than the Israeli statutory tax rate primarily because of domestic losses for which a valuation allowance was provided.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Nine Months Ended September 30, 2016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Period to Period Results of Operations</w:t>
      </w:r>
    </w:p>
    <w:p>
      <w:pPr>
        <w:spacing w:after="0" w:line="225"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60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5"/>
          </w:tcPr>
          <w:p>
            <w:pPr>
              <w:jc w:val="right"/>
              <w:ind w:right="61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76,707</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60,907</w:t>
            </w: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r>
              <w:rPr>
                <w:rFonts w:ascii="Arial" w:cs="Arial" w:eastAsia="Arial" w:hAnsi="Arial"/>
                <w:sz w:val="18"/>
                <w:szCs w:val="18"/>
                <w:color w:val="auto"/>
              </w:rPr>
              <w:t>Cost of revenues</w:t>
            </w:r>
          </w:p>
        </w:tc>
        <w:tc>
          <w:tcPr>
            <w:tcW w:w="3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40,924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32,373</w:t>
            </w:r>
          </w:p>
        </w:tc>
        <w:tc>
          <w:tcPr>
            <w:tcW w:w="0" w:type="dxa"/>
            <w:vAlign w:val="bottom"/>
          </w:tcPr>
          <w:p>
            <w:pPr>
              <w:spacing w:after="0"/>
              <w:rPr>
                <w:sz w:val="1"/>
                <w:szCs w:val="1"/>
                <w:color w:val="auto"/>
              </w:rPr>
            </w:pPr>
          </w:p>
        </w:tc>
      </w:tr>
      <w:tr>
        <w:trPr>
          <w:trHeight w:val="236"/>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3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600" w:type="dxa"/>
            <w:vAlign w:val="bottom"/>
          </w:tcPr>
          <w:p>
            <w:pPr>
              <w:spacing w:after="0" w:line="203" w:lineRule="exact"/>
              <w:rPr>
                <w:sz w:val="20"/>
                <w:szCs w:val="20"/>
                <w:color w:val="auto"/>
              </w:rPr>
            </w:pPr>
            <w:r>
              <w:rPr>
                <w:rFonts w:ascii="Arial" w:cs="Arial" w:eastAsia="Arial" w:hAnsi="Arial"/>
                <w:sz w:val="18"/>
                <w:szCs w:val="18"/>
                <w:color w:val="auto"/>
              </w:rPr>
              <w:t>Operating expenses:</w:t>
            </w:r>
          </w:p>
        </w:tc>
        <w:tc>
          <w:tcPr>
            <w:tcW w:w="3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12,293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8,573</w:t>
            </w:r>
          </w:p>
        </w:tc>
        <w:tc>
          <w:tcPr>
            <w:tcW w:w="0" w:type="dxa"/>
            <w:vAlign w:val="bottom"/>
          </w:tcPr>
          <w:p>
            <w:pPr>
              <w:spacing w:after="0"/>
              <w:rPr>
                <w:sz w:val="1"/>
                <w:szCs w:val="1"/>
                <w:color w:val="auto"/>
              </w:rPr>
            </w:pPr>
          </w:p>
        </w:tc>
      </w:tr>
      <w:tr>
        <w:trPr>
          <w:trHeight w:val="216"/>
        </w:trPr>
        <w:tc>
          <w:tcPr>
            <w:tcW w:w="560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3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13,585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9,175</w:t>
            </w:r>
          </w:p>
        </w:tc>
        <w:tc>
          <w:tcPr>
            <w:tcW w:w="0" w:type="dxa"/>
            <w:vAlign w:val="bottom"/>
          </w:tcPr>
          <w:p>
            <w:pPr>
              <w:spacing w:after="0"/>
              <w:rPr>
                <w:sz w:val="1"/>
                <w:szCs w:val="1"/>
                <w:color w:val="auto"/>
              </w:rPr>
            </w:pPr>
          </w:p>
        </w:tc>
      </w:tr>
      <w:tr>
        <w:trPr>
          <w:trHeight w:val="250"/>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9,279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7,213</w:t>
            </w:r>
          </w:p>
        </w:tc>
        <w:tc>
          <w:tcPr>
            <w:tcW w:w="0" w:type="dxa"/>
            <w:vAlign w:val="bottom"/>
          </w:tcPr>
          <w:p>
            <w:pPr>
              <w:spacing w:after="0"/>
              <w:rPr>
                <w:sz w:val="1"/>
                <w:szCs w:val="1"/>
                <w:color w:val="auto"/>
              </w:rPr>
            </w:pPr>
          </w:p>
        </w:tc>
      </w:tr>
      <w:tr>
        <w:trPr>
          <w:trHeight w:val="203"/>
        </w:trPr>
        <w:tc>
          <w:tcPr>
            <w:tcW w:w="56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3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35,157</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24,961</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3,569</w:t>
            </w: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r>
              <w:rPr>
                <w:rFonts w:ascii="Arial" w:cs="Arial" w:eastAsia="Arial" w:hAnsi="Arial"/>
                <w:sz w:val="18"/>
                <w:szCs w:val="18"/>
                <w:color w:val="auto"/>
              </w:rPr>
              <w:t>Financial income (expenses), net</w:t>
            </w:r>
          </w:p>
        </w:tc>
        <w:tc>
          <w:tcPr>
            <w:tcW w:w="3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taxes on income</w:t>
            </w:r>
          </w:p>
        </w:tc>
        <w:tc>
          <w:tcPr>
            <w:tcW w:w="3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Taxes on income</w:t>
            </w:r>
          </w:p>
        </w:tc>
        <w:tc>
          <w:tcPr>
            <w:tcW w:w="3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7"/>
        </w:trPr>
        <w:tc>
          <w:tcPr>
            <w:tcW w:w="56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income</w:t>
            </w:r>
          </w:p>
        </w:tc>
        <w:tc>
          <w:tcPr>
            <w:tcW w:w="3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vMerge w:val="continue"/>
            <w:shd w:val="clear" w:color="auto" w:fill="CCEEFF"/>
          </w:tcPr>
          <w:p>
            <w:pPr>
              <w:spacing w:after="0"/>
              <w:rPr>
                <w:sz w:val="21"/>
                <w:szCs w:val="21"/>
                <w:color w:val="auto"/>
              </w:rPr>
            </w:pPr>
          </w:p>
        </w:tc>
        <w:tc>
          <w:tcPr>
            <w:tcW w:w="3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2,660</w:t>
            </w:r>
          </w:p>
        </w:tc>
        <w:tc>
          <w:tcPr>
            <w:tcW w:w="0" w:type="dxa"/>
            <w:vAlign w:val="bottom"/>
          </w:tcPr>
          <w:p>
            <w:pPr>
              <w:spacing w:after="0"/>
              <w:rPr>
                <w:sz w:val="1"/>
                <w:szCs w:val="1"/>
                <w:color w:val="auto"/>
              </w:rPr>
            </w:pPr>
          </w:p>
        </w:tc>
      </w:tr>
      <w:tr>
        <w:trPr>
          <w:trHeight w:val="21"/>
        </w:trPr>
        <w:tc>
          <w:tcPr>
            <w:tcW w:w="560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left="856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left="856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02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6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21"/>
                <w:szCs w:val="21"/>
                <w:color w:val="auto"/>
              </w:rPr>
            </w:pPr>
          </w:p>
        </w:tc>
      </w:tr>
      <w:tr>
        <w:trPr>
          <w:trHeight w:val="216"/>
        </w:trPr>
        <w:tc>
          <w:tcPr>
            <w:tcW w:w="40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54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rPr>
              <w:t>(as a % of revenues)</w:t>
            </w:r>
          </w:p>
        </w:tc>
        <w:tc>
          <w:tcPr>
            <w:tcW w:w="16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61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7"/>
        </w:trPr>
        <w:tc>
          <w:tcPr>
            <w:tcW w:w="4020" w:type="dxa"/>
            <w:vAlign w:val="bottom"/>
          </w:tcPr>
          <w:p>
            <w:pPr>
              <w:spacing w:after="0"/>
              <w:rPr>
                <w:sz w:val="20"/>
                <w:szCs w:val="20"/>
                <w:color w:val="auto"/>
              </w:rPr>
            </w:pPr>
            <w:r>
              <w:rPr>
                <w:rFonts w:ascii="Arial" w:cs="Arial" w:eastAsia="Arial" w:hAnsi="Arial"/>
                <w:sz w:val="18"/>
                <w:szCs w:val="18"/>
                <w:color w:val="auto"/>
              </w:rPr>
              <w:t>Cost of revenues</w:t>
            </w:r>
          </w:p>
        </w:tc>
        <w:tc>
          <w:tcPr>
            <w:tcW w:w="6100" w:type="dxa"/>
            <w:vAlign w:val="bottom"/>
            <w:gridSpan w:val="3"/>
          </w:tcPr>
          <w:p>
            <w:pPr>
              <w:jc w:val="right"/>
              <w:ind w:right="170"/>
              <w:spacing w:after="0"/>
              <w:rPr>
                <w:sz w:val="20"/>
                <w:szCs w:val="20"/>
                <w:color w:val="auto"/>
              </w:rPr>
            </w:pPr>
            <w:r>
              <w:rPr>
                <w:rFonts w:ascii="Arial" w:cs="Arial" w:eastAsia="Arial" w:hAnsi="Arial"/>
                <w:sz w:val="18"/>
                <w:szCs w:val="18"/>
                <w:color w:val="auto"/>
              </w:rPr>
              <w:t>53.4</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53.2</w:t>
            </w:r>
          </w:p>
        </w:tc>
      </w:tr>
      <w:tr>
        <w:trPr>
          <w:trHeight w:val="236"/>
        </w:trPr>
        <w:tc>
          <w:tcPr>
            <w:tcW w:w="4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47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4020" w:type="dxa"/>
            <w:vAlign w:val="bottom"/>
          </w:tcPr>
          <w:p>
            <w:pPr>
              <w:spacing w:after="0" w:line="203" w:lineRule="exact"/>
              <w:rPr>
                <w:sz w:val="20"/>
                <w:szCs w:val="20"/>
                <w:color w:val="auto"/>
              </w:rPr>
            </w:pPr>
            <w:r>
              <w:rPr>
                <w:rFonts w:ascii="Arial" w:cs="Arial" w:eastAsia="Arial" w:hAnsi="Arial"/>
                <w:sz w:val="18"/>
                <w:szCs w:val="18"/>
                <w:color w:val="auto"/>
              </w:rPr>
              <w:t>Operating expenses:</w:t>
            </w:r>
          </w:p>
        </w:tc>
        <w:tc>
          <w:tcPr>
            <w:tcW w:w="4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610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16.0</w:t>
            </w:r>
          </w:p>
        </w:tc>
        <w:tc>
          <w:tcPr>
            <w:tcW w:w="1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14.1</w:t>
            </w:r>
          </w:p>
        </w:tc>
      </w:tr>
      <w:tr>
        <w:trPr>
          <w:trHeight w:val="216"/>
        </w:trPr>
        <w:tc>
          <w:tcPr>
            <w:tcW w:w="402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6100" w:type="dxa"/>
            <w:vAlign w:val="bottom"/>
            <w:gridSpan w:val="3"/>
          </w:tcPr>
          <w:p>
            <w:pPr>
              <w:jc w:val="right"/>
              <w:ind w:right="170"/>
              <w:spacing w:after="0"/>
              <w:rPr>
                <w:sz w:val="20"/>
                <w:szCs w:val="20"/>
                <w:color w:val="auto"/>
              </w:rPr>
            </w:pPr>
            <w:r>
              <w:rPr>
                <w:rFonts w:ascii="Arial" w:cs="Arial" w:eastAsia="Arial" w:hAnsi="Arial"/>
                <w:sz w:val="18"/>
                <w:szCs w:val="18"/>
                <w:color w:val="auto"/>
              </w:rPr>
              <w:t>17.7</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15.1</w:t>
            </w:r>
          </w:p>
        </w:tc>
      </w:tr>
      <w:tr>
        <w:trPr>
          <w:trHeight w:val="250"/>
        </w:trPr>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610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12.1</w:t>
            </w:r>
          </w:p>
        </w:tc>
        <w:tc>
          <w:tcPr>
            <w:tcW w:w="1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11.8</w:t>
            </w:r>
          </w:p>
        </w:tc>
      </w:tr>
      <w:tr>
        <w:trPr>
          <w:trHeight w:val="210"/>
        </w:trPr>
        <w:tc>
          <w:tcPr>
            <w:tcW w:w="40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470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45.8</w:t>
            </w:r>
          </w:p>
        </w:tc>
        <w:tc>
          <w:tcPr>
            <w:tcW w:w="26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41.0</w:t>
            </w:r>
          </w:p>
        </w:tc>
        <w:tc>
          <w:tcPr>
            <w:tcW w:w="160" w:type="dxa"/>
            <w:vAlign w:val="bottom"/>
            <w:tcBorders>
              <w:top w:val="single" w:sz="8" w:color="CCEEFF"/>
              <w:bottom w:val="single" w:sz="8" w:color="CCEEFF"/>
            </w:tcBorders>
          </w:tcPr>
          <w:p>
            <w:pPr>
              <w:spacing w:after="0"/>
              <w:rPr>
                <w:sz w:val="18"/>
                <w:szCs w:val="18"/>
                <w:color w:val="auto"/>
              </w:rPr>
            </w:pPr>
          </w:p>
        </w:tc>
      </w:tr>
      <w:tr>
        <w:trPr>
          <w:trHeight w:val="236"/>
        </w:trPr>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47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10"/>
        </w:trPr>
        <w:tc>
          <w:tcPr>
            <w:tcW w:w="402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Financial income (expenses), net</w:t>
            </w:r>
          </w:p>
        </w:tc>
        <w:tc>
          <w:tcPr>
            <w:tcW w:w="47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w:t>
            </w:r>
          </w:p>
        </w:tc>
        <w:tc>
          <w:tcPr>
            <w:tcW w:w="26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w:t>
            </w:r>
          </w:p>
        </w:tc>
        <w:tc>
          <w:tcPr>
            <w:tcW w:w="16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 on income</w:t>
            </w:r>
          </w:p>
        </w:tc>
        <w:tc>
          <w:tcPr>
            <w:tcW w:w="47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8"/>
                <w:szCs w:val="18"/>
                <w:color w:val="auto"/>
              </w:rPr>
            </w:pPr>
          </w:p>
        </w:tc>
      </w:tr>
      <w:tr>
        <w:trPr>
          <w:trHeight w:val="237"/>
        </w:trPr>
        <w:tc>
          <w:tcPr>
            <w:tcW w:w="4020" w:type="dxa"/>
            <w:vAlign w:val="bottom"/>
          </w:tcPr>
          <w:p>
            <w:pPr>
              <w:spacing w:after="0"/>
              <w:rPr>
                <w:sz w:val="20"/>
                <w:szCs w:val="20"/>
                <w:color w:val="auto"/>
              </w:rPr>
            </w:pPr>
            <w:r>
              <w:rPr>
                <w:rFonts w:ascii="Arial" w:cs="Arial" w:eastAsia="Arial" w:hAnsi="Arial"/>
                <w:sz w:val="18"/>
                <w:szCs w:val="18"/>
                <w:color w:val="auto"/>
              </w:rPr>
              <w:t>Taxes on income</w:t>
            </w:r>
          </w:p>
        </w:tc>
        <w:tc>
          <w:tcPr>
            <w:tcW w:w="6100" w:type="dxa"/>
            <w:vAlign w:val="bottom"/>
            <w:gridSpan w:val="3"/>
          </w:tcPr>
          <w:p>
            <w:pPr>
              <w:jc w:val="right"/>
              <w:ind w:right="170"/>
              <w:spacing w:after="0"/>
              <w:rPr>
                <w:sz w:val="20"/>
                <w:szCs w:val="20"/>
                <w:color w:val="auto"/>
              </w:rPr>
            </w:pPr>
            <w:r>
              <w:rPr>
                <w:rFonts w:ascii="Arial" w:cs="Arial" w:eastAsia="Arial" w:hAnsi="Arial"/>
                <w:sz w:val="18"/>
                <w:szCs w:val="18"/>
                <w:color w:val="auto"/>
              </w:rPr>
              <w:t>0.9</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1.2</w:t>
            </w:r>
          </w:p>
        </w:tc>
      </w:tr>
      <w:tr>
        <w:trPr>
          <w:trHeight w:val="236"/>
        </w:trPr>
        <w:tc>
          <w:tcPr>
            <w:tcW w:w="4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47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87"/>
              </w:rPr>
              <w:t>%</w:t>
            </w:r>
          </w:p>
        </w:tc>
      </w:tr>
      <w:tr>
        <w:trPr>
          <w:trHeight w:val="642"/>
        </w:trPr>
        <w:tc>
          <w:tcPr>
            <w:tcW w:w="402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jc w:val="right"/>
              <w:ind w:right="2870"/>
              <w:spacing w:after="0"/>
              <w:rPr>
                <w:sz w:val="20"/>
                <w:szCs w:val="20"/>
                <w:color w:val="auto"/>
              </w:rPr>
            </w:pPr>
            <w:r>
              <w:rPr>
                <w:rFonts w:ascii="Arial" w:cs="Arial" w:eastAsia="Arial" w:hAnsi="Arial"/>
                <w:sz w:val="18"/>
                <w:szCs w:val="18"/>
                <w:color w:val="auto"/>
              </w:rPr>
              <w:t>1</w:t>
            </w:r>
          </w:p>
        </w:tc>
        <w:tc>
          <w:tcPr>
            <w:tcW w:w="1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Geographic Breakdown of Revenues</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sets forth the geographic breakdown of revenues from sales to customers located in the regions indicated below for the periods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80" w:type="dxa"/>
            <w:vAlign w:val="bottom"/>
            <w:gridSpan w:val="6"/>
          </w:tcPr>
          <w:p>
            <w:pPr>
              <w:jc w:val="right"/>
              <w:ind w:right="1040"/>
              <w:spacing w:after="0"/>
              <w:rPr>
                <w:sz w:val="20"/>
                <w:szCs w:val="20"/>
                <w:color w:val="auto"/>
              </w:rPr>
            </w:pPr>
            <w:r>
              <w:rPr>
                <w:rFonts w:ascii="Arial" w:cs="Arial" w:eastAsia="Arial" w:hAnsi="Arial"/>
                <w:sz w:val="18"/>
                <w:szCs w:val="18"/>
                <w:b w:val="1"/>
                <w:bCs w:val="1"/>
                <w:color w:val="auto"/>
              </w:rPr>
              <w:t>Nine Months Ended</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6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2016</w:t>
            </w:r>
          </w:p>
        </w:tc>
        <w:tc>
          <w:tcPr>
            <w:tcW w:w="8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2015</w:t>
            </w: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40" w:type="dxa"/>
            <w:vAlign w:val="bottom"/>
            <w:gridSpan w:val="8"/>
          </w:tcPr>
          <w:p>
            <w:pPr>
              <w:jc w:val="right"/>
              <w:ind w:right="360"/>
              <w:spacing w:after="0"/>
              <w:rPr>
                <w:sz w:val="20"/>
                <w:szCs w:val="20"/>
                <w:color w:val="auto"/>
              </w:rPr>
            </w:pPr>
            <w:r>
              <w:rPr>
                <w:rFonts w:ascii="Arial" w:cs="Arial" w:eastAsia="Arial" w:hAnsi="Arial"/>
                <w:sz w:val="18"/>
                <w:szCs w:val="18"/>
                <w:b w:val="1"/>
                <w:bCs w:val="1"/>
                <w:color w:val="auto"/>
                <w:w w:val="90"/>
              </w:rPr>
              <w:t>($ in thousands, except percentages)</w:t>
            </w: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5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Americas</w:t>
            </w:r>
          </w:p>
        </w:tc>
        <w:tc>
          <w:tcPr>
            <w:tcW w:w="2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53,252</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69.4%</w:t>
            </w:r>
          </w:p>
        </w:tc>
        <w:tc>
          <w:tcPr>
            <w:tcW w:w="4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33,888</w:t>
            </w:r>
          </w:p>
        </w:tc>
        <w:tc>
          <w:tcPr>
            <w:tcW w:w="2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EMEA</w:t>
            </w:r>
          </w:p>
        </w:tc>
        <w:tc>
          <w:tcPr>
            <w:tcW w:w="2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10"/>
              <w:spacing w:after="0"/>
              <w:rPr>
                <w:sz w:val="20"/>
                <w:szCs w:val="20"/>
                <w:color w:val="auto"/>
              </w:rPr>
            </w:pPr>
            <w:r>
              <w:rPr>
                <w:rFonts w:ascii="Arial" w:cs="Arial" w:eastAsia="Arial" w:hAnsi="Arial"/>
                <w:sz w:val="18"/>
                <w:szCs w:val="18"/>
                <w:color w:val="auto"/>
              </w:rPr>
              <w:t>15,717</w:t>
            </w:r>
          </w:p>
        </w:tc>
        <w:tc>
          <w:tcPr>
            <w:tcW w:w="260" w:type="dxa"/>
            <w:vAlign w:val="bottom"/>
          </w:tcPr>
          <w:p>
            <w:pPr>
              <w:spacing w:after="0"/>
              <w:rPr>
                <w:sz w:val="18"/>
                <w:szCs w:val="18"/>
                <w:color w:val="auto"/>
              </w:rPr>
            </w:pPr>
          </w:p>
        </w:tc>
        <w:tc>
          <w:tcPr>
            <w:tcW w:w="1160" w:type="dxa"/>
            <w:vAlign w:val="bottom"/>
            <w:gridSpan w:val="2"/>
          </w:tcPr>
          <w:p>
            <w:pPr>
              <w:jc w:val="right"/>
              <w:ind w:right="190"/>
              <w:spacing w:after="0"/>
              <w:rPr>
                <w:sz w:val="20"/>
                <w:szCs w:val="20"/>
                <w:color w:val="auto"/>
              </w:rPr>
            </w:pPr>
            <w:r>
              <w:rPr>
                <w:rFonts w:ascii="Arial" w:cs="Arial" w:eastAsia="Arial" w:hAnsi="Arial"/>
                <w:sz w:val="18"/>
                <w:szCs w:val="18"/>
                <w:color w:val="auto"/>
              </w:rPr>
              <w:t>20.5</w:t>
            </w:r>
          </w:p>
        </w:tc>
        <w:tc>
          <w:tcPr>
            <w:tcW w:w="4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14,911</w:t>
            </w:r>
          </w:p>
        </w:tc>
        <w:tc>
          <w:tcPr>
            <w:tcW w:w="2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24.5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2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7,737</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10.1</w:t>
            </w:r>
          </w:p>
        </w:tc>
        <w:tc>
          <w:tcPr>
            <w:tcW w:w="4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12,108</w:t>
            </w:r>
          </w:p>
        </w:tc>
        <w:tc>
          <w:tcPr>
            <w:tcW w:w="2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 revenues</w:t>
            </w:r>
          </w:p>
        </w:tc>
        <w:tc>
          <w:tcPr>
            <w:tcW w:w="2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tcPr>
          <w:p>
            <w:pPr>
              <w:jc w:val="right"/>
              <w:ind w:right="30"/>
              <w:spacing w:after="0"/>
              <w:rPr>
                <w:sz w:val="20"/>
                <w:szCs w:val="20"/>
                <w:color w:val="auto"/>
              </w:rPr>
            </w:pPr>
            <w:r>
              <w:rPr>
                <w:rFonts w:ascii="Arial" w:cs="Arial" w:eastAsia="Arial" w:hAnsi="Arial"/>
                <w:sz w:val="18"/>
                <w:szCs w:val="18"/>
                <w:color w:val="auto"/>
                <w:w w:val="87"/>
              </w:rPr>
              <w:t>%</w:t>
            </w: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gridSpan w:val="2"/>
            <w:vMerge w:val="restart"/>
          </w:tcPr>
          <w:p>
            <w:pPr>
              <w:jc w:val="right"/>
              <w:ind w:right="2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520" w:type="dxa"/>
            <w:vAlign w:val="bottom"/>
            <w:vMerge w:val="continue"/>
          </w:tcPr>
          <w:p>
            <w:pPr>
              <w:spacing w:after="0"/>
              <w:rPr>
                <w:sz w:val="20"/>
                <w:szCs w:val="20"/>
                <w:color w:val="auto"/>
              </w:rPr>
            </w:pPr>
          </w:p>
        </w:tc>
        <w:tc>
          <w:tcPr>
            <w:tcW w:w="2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10"/>
              <w:spacing w:after="0"/>
              <w:rPr>
                <w:sz w:val="20"/>
                <w:szCs w:val="20"/>
                <w:color w:val="auto"/>
              </w:rPr>
            </w:pPr>
            <w:r>
              <w:rPr>
                <w:rFonts w:ascii="Arial" w:cs="Arial" w:eastAsia="Arial" w:hAnsi="Arial"/>
                <w:sz w:val="18"/>
                <w:szCs w:val="18"/>
                <w:color w:val="auto"/>
              </w:rPr>
              <w:t>76,707</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w:t>
            </w:r>
          </w:p>
        </w:tc>
        <w:tc>
          <w:tcPr>
            <w:tcW w:w="280" w:type="dxa"/>
            <w:vAlign w:val="bottom"/>
            <w:vMerge w:val="continue"/>
          </w:tcPr>
          <w:p>
            <w:pPr>
              <w:spacing w:after="0"/>
              <w:rPr>
                <w:sz w:val="20"/>
                <w:szCs w:val="20"/>
                <w:color w:val="auto"/>
              </w:rPr>
            </w:pP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60,907</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2015 and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Revenues increased by $15.8 million, or 25.9%, to $76.7 million in the nine months ended September 30, 2016 from $60.9 million in the nine months ended September 30, 2015. The growth in revenues resulted from a 31.4% increase in system and services revenues to $47.4 million in the nine months ended September 30, 2016 from $36.0 million in the nine months ended September 30, 2015 and an 18.1% increase in sales of ink and other consumables to $29.3 million in the nine months ended September 30, 2016 from $24.9 million in the nine months ended September 30, 2015. The increase in system services revenues was attributable to a change in the mix of systems sold, specifically sales of more high throughput systems in this period, which sell for higher average selling prices than our entry level systems. We believe that the increase in sales of high throughput systems was a result of the growing maturity of the web-to-print business model which calls for high throughput systems to meet the growing consumer demand. The increase in higher ink and other consumables revenues was due to the increase in our installed base, particularly of high throughput systems, which drive higher consumption of ink and other consumables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 and Gross Profit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Cost of revenues increased by $8.5 million, or 26.4%, to $40.9 million in the nine months ended September 30, 2016 from $32.4 million in the nine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months ended September 30, 2015. Cost of revenues in the nine months ended September 30, 2016 included $1.4 million of excess cost of acquired inventory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recorded in connection with our purchase of the digital printing assets of SPSI, Inc. during 2016. Gross profit increased by $7.2 million, or 25.4%, to $35.8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in the nine months ended September 30, 2016, as compared to $28.5 million in the nine months ended September 30, 2015. Gross margin was 46.6%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the nine months ended September 30, 2016 compared to 46.8% in the nine months ended September 30, 2015. While gross margin was positively impacted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an increase in sales of higher margin high throughput systems and economies of scale during the nine months ended September 30, 2016 compared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nine months ended September 30, 2015, such positive impact was offset by a the impact a non-recurring charge for the repurchase of inventory in connection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 the acquisition of the digital printing assets of SPSI during the nine months ended September 30, 2016, which resulted in a slight decrease in gross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margin. Ink and other consumables gross margin remained flat from the nine months ended September 30, 2015 to the nine months ended September 30,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2016. Excluding the effects of the non-recurring charge for repurchase of inventory in connection with the SPSI acquisition, gross profit would have been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$37.2 million in the nine months ended September 30, 2016 compared to $28.5 million in the nine months ended September 30, 2015 and gross margin would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have been 48.5% in the nine months ended September 30, 2016 compared to 46.8% in the nine months ended September 30, 2015.</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0"/>
        </w:trPr>
        <w:tc>
          <w:tcPr>
            <w:tcW w:w="2620" w:type="dxa"/>
            <w:vAlign w:val="bottom"/>
          </w:tcPr>
          <w:p>
            <w:pPr>
              <w:spacing w:after="0"/>
              <w:rPr>
                <w:sz w:val="20"/>
                <w:szCs w:val="20"/>
                <w:color w:val="auto"/>
              </w:rPr>
            </w:pPr>
            <w:r>
              <w:rPr>
                <w:rFonts w:ascii="Arial" w:cs="Arial" w:eastAsia="Arial" w:hAnsi="Arial"/>
                <w:sz w:val="18"/>
                <w:szCs w:val="18"/>
                <w:i w:val="1"/>
                <w:iCs w:val="1"/>
                <w:color w:val="auto"/>
              </w:rPr>
              <w:t>Operating Expenses</w:t>
            </w: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40" w:type="dxa"/>
            <w:vAlign w:val="bottom"/>
            <w:gridSpan w:val="7"/>
          </w:tcPr>
          <w:p>
            <w:pPr>
              <w:jc w:val="center"/>
              <w:ind w:right="600"/>
              <w:spacing w:after="0"/>
              <w:rPr>
                <w:sz w:val="20"/>
                <w:szCs w:val="20"/>
                <w:color w:val="auto"/>
              </w:rPr>
            </w:pPr>
            <w:r>
              <w:rPr>
                <w:rFonts w:ascii="Arial" w:cs="Arial" w:eastAsia="Arial" w:hAnsi="Arial"/>
                <w:sz w:val="18"/>
                <w:szCs w:val="18"/>
                <w:b w:val="1"/>
                <w:bCs w:val="1"/>
                <w:color w:val="auto"/>
                <w:w w:val="91"/>
              </w:rPr>
              <w:t>Nine Months Ended</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7"/>
          </w:tcPr>
          <w:p>
            <w:pPr>
              <w:ind w:left="580"/>
              <w:spacing w:after="0"/>
              <w:rPr>
                <w:sz w:val="20"/>
                <w:szCs w:val="20"/>
                <w:color w:val="auto"/>
              </w:rPr>
            </w:pPr>
            <w:r>
              <w:rPr>
                <w:rFonts w:ascii="Arial" w:cs="Arial" w:eastAsia="Arial" w:hAnsi="Arial"/>
                <w:sz w:val="18"/>
                <w:szCs w:val="18"/>
                <w:b w:val="1"/>
                <w:bCs w:val="1"/>
                <w:color w:val="auto"/>
              </w:rPr>
              <w:t>September 30,</w:t>
            </w:r>
          </w:p>
        </w:tc>
        <w:tc>
          <w:tcPr>
            <w:tcW w:w="10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2016</w:t>
            </w:r>
          </w:p>
        </w:tc>
        <w:tc>
          <w:tcPr>
            <w:tcW w:w="9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2015</w:t>
            </w:r>
          </w:p>
        </w:tc>
        <w:tc>
          <w:tcPr>
            <w:tcW w:w="10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ind w:left="780"/>
              <w:spacing w:after="0"/>
              <w:rPr>
                <w:sz w:val="20"/>
                <w:szCs w:val="20"/>
                <w:color w:val="auto"/>
              </w:rPr>
            </w:pPr>
            <w:r>
              <w:rPr>
                <w:rFonts w:ascii="Arial" w:cs="Arial" w:eastAsia="Arial" w:hAnsi="Arial"/>
                <w:sz w:val="18"/>
                <w:szCs w:val="18"/>
                <w:b w:val="1"/>
                <w:bCs w:val="1"/>
                <w:color w:val="auto"/>
              </w:rPr>
              <w:t>Change</w:t>
            </w: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ind w:left="240"/>
              <w:spacing w:after="0" w:line="198" w:lineRule="exact"/>
              <w:rPr>
                <w:sz w:val="20"/>
                <w:szCs w:val="20"/>
                <w:color w:val="auto"/>
              </w:rPr>
            </w:pPr>
            <w:r>
              <w:rPr>
                <w:rFonts w:ascii="Arial" w:cs="Arial" w:eastAsia="Arial" w:hAnsi="Arial"/>
                <w:sz w:val="18"/>
                <w:szCs w:val="18"/>
                <w:b w:val="1"/>
                <w:bCs w:val="1"/>
                <w:color w:val="auto"/>
              </w:rPr>
              <w:t>% of</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ind w:left="240"/>
              <w:spacing w:after="0" w:line="198" w:lineRule="exact"/>
              <w:rPr>
                <w:sz w:val="20"/>
                <w:szCs w:val="20"/>
                <w:color w:val="auto"/>
              </w:rPr>
            </w:pPr>
            <w:r>
              <w:rPr>
                <w:rFonts w:ascii="Arial" w:cs="Arial" w:eastAsia="Arial" w:hAnsi="Arial"/>
                <w:sz w:val="18"/>
                <w:szCs w:val="18"/>
                <w:b w:val="1"/>
                <w:bCs w:val="1"/>
                <w:color w:val="auto"/>
              </w:rPr>
              <w:t>% of</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620"/>
              <w:spacing w:after="0"/>
              <w:rPr>
                <w:sz w:val="20"/>
                <w:szCs w:val="20"/>
                <w:color w:val="auto"/>
              </w:rPr>
            </w:pPr>
            <w:r>
              <w:rPr>
                <w:rFonts w:ascii="Arial" w:cs="Arial" w:eastAsia="Arial" w:hAnsi="Arial"/>
                <w:sz w:val="18"/>
                <w:szCs w:val="18"/>
                <w:b w:val="1"/>
                <w:bCs w:val="1"/>
                <w:color w:val="auto"/>
                <w:w w:val="99"/>
              </w:rPr>
              <w:t>Amount</w:t>
            </w:r>
          </w:p>
        </w:tc>
        <w:tc>
          <w:tcPr>
            <w:tcW w:w="12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Revenues</w:t>
            </w: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Amount</w:t>
            </w:r>
          </w:p>
        </w:tc>
        <w:tc>
          <w:tcPr>
            <w:tcW w:w="12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Revenues</w:t>
            </w: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620" w:type="dxa"/>
            <w:vAlign w:val="bottom"/>
            <w:vMerge w:val="restart"/>
          </w:tcPr>
          <w:p>
            <w:pPr>
              <w:spacing w:after="0"/>
              <w:rPr>
                <w:sz w:val="20"/>
                <w:szCs w:val="20"/>
                <w:color w:val="auto"/>
              </w:rPr>
            </w:pPr>
            <w:r>
              <w:rPr>
                <w:rFonts w:ascii="Arial" w:cs="Arial" w:eastAsia="Arial" w:hAnsi="Arial"/>
                <w:sz w:val="18"/>
                <w:szCs w:val="18"/>
                <w:b w:val="1"/>
                <w:bCs w:val="1"/>
                <w:color w:val="auto"/>
              </w:rPr>
              <w:t>Operating expenses:</w:t>
            </w: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0" w:type="dxa"/>
            <w:vAlign w:val="bottom"/>
            <w:gridSpan w:val="5"/>
          </w:tcPr>
          <w:p>
            <w:pPr>
              <w:jc w:val="center"/>
              <w:ind w:right="350"/>
              <w:spacing w:after="0"/>
              <w:rPr>
                <w:sz w:val="20"/>
                <w:szCs w:val="20"/>
                <w:color w:val="auto"/>
              </w:rPr>
            </w:pPr>
            <w:r>
              <w:rPr>
                <w:rFonts w:ascii="Arial" w:cs="Arial" w:eastAsia="Arial" w:hAnsi="Arial"/>
                <w:sz w:val="18"/>
                <w:szCs w:val="18"/>
                <w:b w:val="1"/>
                <w:bCs w:val="1"/>
                <w:color w:val="auto"/>
                <w:w w:val="89"/>
              </w:rPr>
              <w:t>($ in thousands)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62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12,293</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7"/>
              </w:rPr>
              <w:t>16.0%</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8,573</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14.1%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3,720</w:t>
            </w:r>
          </w:p>
        </w:tc>
        <w:tc>
          <w:tcPr>
            <w:tcW w:w="3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w w:val="90"/>
              </w:rPr>
              <w:t>43.4%</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Sales and marketing</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13,585</w:t>
            </w:r>
          </w:p>
        </w:tc>
        <w:tc>
          <w:tcPr>
            <w:tcW w:w="140" w:type="dxa"/>
            <w:vAlign w:val="bottom"/>
          </w:tcPr>
          <w:p>
            <w:pPr>
              <w:spacing w:after="0"/>
              <w:rPr>
                <w:sz w:val="18"/>
                <w:szCs w:val="18"/>
                <w:color w:val="auto"/>
              </w:rPr>
            </w:pPr>
          </w:p>
        </w:tc>
        <w:tc>
          <w:tcPr>
            <w:tcW w:w="1200" w:type="dxa"/>
            <w:vAlign w:val="bottom"/>
            <w:gridSpan w:val="2"/>
          </w:tcPr>
          <w:p>
            <w:pPr>
              <w:ind w:left="680"/>
              <w:spacing w:after="0"/>
              <w:rPr>
                <w:sz w:val="20"/>
                <w:szCs w:val="20"/>
                <w:color w:val="auto"/>
              </w:rPr>
            </w:pPr>
            <w:r>
              <w:rPr>
                <w:rFonts w:ascii="Arial" w:cs="Arial" w:eastAsia="Arial" w:hAnsi="Arial"/>
                <w:sz w:val="18"/>
                <w:szCs w:val="18"/>
                <w:color w:val="auto"/>
              </w:rPr>
              <w:t>17.7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9,175</w:t>
            </w:r>
          </w:p>
        </w:tc>
        <w:tc>
          <w:tcPr>
            <w:tcW w:w="140" w:type="dxa"/>
            <w:vAlign w:val="bottom"/>
          </w:tcPr>
          <w:p>
            <w:pPr>
              <w:spacing w:after="0"/>
              <w:rPr>
                <w:sz w:val="18"/>
                <w:szCs w:val="18"/>
                <w:color w:val="auto"/>
              </w:rPr>
            </w:pPr>
          </w:p>
        </w:tc>
        <w:tc>
          <w:tcPr>
            <w:tcW w:w="1280" w:type="dxa"/>
            <w:vAlign w:val="bottom"/>
            <w:gridSpan w:val="2"/>
          </w:tcPr>
          <w:p>
            <w:pPr>
              <w:ind w:left="680"/>
              <w:spacing w:after="0"/>
              <w:rPr>
                <w:sz w:val="20"/>
                <w:szCs w:val="20"/>
                <w:color w:val="auto"/>
              </w:rPr>
            </w:pPr>
            <w:r>
              <w:rPr>
                <w:rFonts w:ascii="Arial" w:cs="Arial" w:eastAsia="Arial" w:hAnsi="Arial"/>
                <w:sz w:val="18"/>
                <w:szCs w:val="18"/>
                <w:color w:val="auto"/>
              </w:rPr>
              <w:t>15.1</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4,410</w:t>
            </w:r>
          </w:p>
        </w:tc>
        <w:tc>
          <w:tcPr>
            <w:tcW w:w="340" w:type="dxa"/>
            <w:vAlign w:val="bottom"/>
          </w:tcPr>
          <w:p>
            <w:pPr>
              <w:spacing w:after="0"/>
              <w:rPr>
                <w:sz w:val="18"/>
                <w:szCs w:val="18"/>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w w:val="91"/>
              </w:rPr>
              <w:t>48.1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9,279</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12.1</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7,213</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ind w:left="700"/>
              <w:spacing w:after="0"/>
              <w:rPr>
                <w:sz w:val="20"/>
                <w:szCs w:val="20"/>
                <w:color w:val="auto"/>
              </w:rPr>
            </w:pPr>
            <w:r>
              <w:rPr>
                <w:rFonts w:ascii="Arial" w:cs="Arial" w:eastAsia="Arial" w:hAnsi="Arial"/>
                <w:sz w:val="18"/>
                <w:szCs w:val="18"/>
                <w:color w:val="auto"/>
                <w:w w:val="79"/>
              </w:rPr>
              <w:t>11.8</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2,066</w:t>
            </w:r>
          </w:p>
        </w:tc>
        <w:tc>
          <w:tcPr>
            <w:tcW w:w="3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1"/>
              </w:rPr>
              <w:t>28.6</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 operating expenses</w:t>
            </w:r>
          </w:p>
        </w:tc>
        <w:tc>
          <w:tcPr>
            <w:tcW w:w="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tcPr>
          <w:p>
            <w:pPr>
              <w:jc w:val="right"/>
              <w:ind w:right="30"/>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gridSpan w:val="2"/>
            <w:vMerge w:val="restart"/>
          </w:tcPr>
          <w:p>
            <w:pPr>
              <w:jc w:val="right"/>
              <w:ind w:right="2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37"/>
        </w:trPr>
        <w:tc>
          <w:tcPr>
            <w:tcW w:w="2620" w:type="dxa"/>
            <w:vAlign w:val="bottom"/>
            <w:vMerge w:val="continue"/>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35,157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ind w:left="680"/>
              <w:spacing w:after="0"/>
              <w:rPr>
                <w:sz w:val="20"/>
                <w:szCs w:val="20"/>
                <w:color w:val="auto"/>
              </w:rPr>
            </w:pPr>
            <w:r>
              <w:rPr>
                <w:rFonts w:ascii="Arial" w:cs="Arial" w:eastAsia="Arial" w:hAnsi="Arial"/>
                <w:sz w:val="18"/>
                <w:szCs w:val="18"/>
                <w:color w:val="auto"/>
                <w:w w:val="79"/>
              </w:rPr>
              <w:t>45.8</w:t>
            </w:r>
          </w:p>
        </w:tc>
        <w:tc>
          <w:tcPr>
            <w:tcW w:w="220" w:type="dxa"/>
            <w:vAlign w:val="bottom"/>
            <w:vMerge w:val="continue"/>
          </w:tcPr>
          <w:p>
            <w:pPr>
              <w:spacing w:after="0"/>
              <w:rPr>
                <w:sz w:val="20"/>
                <w:szCs w:val="20"/>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24,961</w:t>
            </w:r>
          </w:p>
        </w:tc>
        <w:tc>
          <w:tcPr>
            <w:tcW w:w="140" w:type="dxa"/>
            <w:vAlign w:val="bottom"/>
          </w:tcPr>
          <w:p>
            <w:pPr>
              <w:spacing w:after="0"/>
              <w:rPr>
                <w:sz w:val="20"/>
                <w:szCs w:val="20"/>
                <w:color w:val="auto"/>
              </w:rPr>
            </w:pPr>
          </w:p>
        </w:tc>
        <w:tc>
          <w:tcPr>
            <w:tcW w:w="1000" w:type="dxa"/>
            <w:vAlign w:val="bottom"/>
          </w:tcPr>
          <w:p>
            <w:pPr>
              <w:ind w:left="680"/>
              <w:spacing w:after="0"/>
              <w:rPr>
                <w:sz w:val="20"/>
                <w:szCs w:val="20"/>
                <w:color w:val="auto"/>
              </w:rPr>
            </w:pPr>
            <w:r>
              <w:rPr>
                <w:rFonts w:ascii="Arial" w:cs="Arial" w:eastAsia="Arial" w:hAnsi="Arial"/>
                <w:sz w:val="18"/>
                <w:szCs w:val="18"/>
                <w:color w:val="auto"/>
                <w:w w:val="85"/>
              </w:rPr>
              <w:t>41.0</w:t>
            </w:r>
          </w:p>
        </w:tc>
        <w:tc>
          <w:tcPr>
            <w:tcW w:w="280" w:type="dxa"/>
            <w:vAlign w:val="bottom"/>
            <w:vMerge w:val="continue"/>
          </w:tcPr>
          <w:p>
            <w:pPr>
              <w:spacing w:after="0"/>
              <w:rPr>
                <w:sz w:val="20"/>
                <w:szCs w:val="20"/>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10,196</w:t>
            </w:r>
          </w:p>
        </w:tc>
        <w:tc>
          <w:tcPr>
            <w:tcW w:w="340" w:type="dxa"/>
            <w:vAlign w:val="bottom"/>
          </w:tcPr>
          <w:p>
            <w:pPr>
              <w:spacing w:after="0"/>
              <w:rPr>
                <w:sz w:val="20"/>
                <w:szCs w:val="20"/>
                <w:color w:val="auto"/>
              </w:rPr>
            </w:pPr>
          </w:p>
        </w:tc>
        <w:tc>
          <w:tcPr>
            <w:tcW w:w="800" w:type="dxa"/>
            <w:vAlign w:val="bottom"/>
          </w:tcPr>
          <w:p>
            <w:pPr>
              <w:ind w:left="480"/>
              <w:spacing w:after="0"/>
              <w:rPr>
                <w:sz w:val="20"/>
                <w:szCs w:val="20"/>
                <w:color w:val="auto"/>
              </w:rPr>
            </w:pPr>
            <w:r>
              <w:rPr>
                <w:rFonts w:ascii="Arial" w:cs="Arial" w:eastAsia="Arial" w:hAnsi="Arial"/>
                <w:sz w:val="18"/>
                <w:szCs w:val="18"/>
                <w:color w:val="auto"/>
                <w:w w:val="85"/>
              </w:rPr>
              <w:t>40.8</w:t>
            </w:r>
          </w:p>
        </w:tc>
        <w:tc>
          <w:tcPr>
            <w:tcW w:w="1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i w:val="1"/>
          <w:iCs w:val="1"/>
          <w:color w:val="auto"/>
        </w:rPr>
        <w:t xml:space="preserve">Research and Development. </w:t>
      </w:r>
      <w:r>
        <w:rPr>
          <w:rFonts w:ascii="Arial" w:cs="Arial" w:eastAsia="Arial" w:hAnsi="Arial"/>
          <w:sz w:val="17"/>
          <w:szCs w:val="17"/>
          <w:color w:val="auto"/>
        </w:rPr>
        <w:t>Research and development expenses increased by 43.4% in the nine months ended September 30, 2016 compared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nine months ended September 30, 2015. This resulted primarily from an increase of $2.5 million in salaries and related personnel expenses and share based compensation due to the hiring of additional personnel reflecting an increase in headcount compared to the same period in the previous year, an increase of $0.8 million in costs due to increased research and development activity, which primarily includes $0.4 million in facilities costs in connection with the expansion of our headquarters in Rosh Ha'Ayin, Israel, and an increase of $0.3 million in depreciation compared to the same period in the previous year. As a percentage of total revenues, our research and development expenses increased during this period, from 14.1% in the nine months ended September 30, 2015 to 16.0% in the nine months ended September 30, 2016.</w:t>
      </w:r>
    </w:p>
    <w:p>
      <w:pPr>
        <w:spacing w:after="0" w:line="17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increased by 48.1% in the nine months ended September 30, 2016 compared to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2015. This increase was primarily due to an increase of $2.3 million in salaries and related personnel expenses and share based compensation expenses due to the hiring of additional sales and marketing personnel in the nine months ended September 30, 2016 reflecting an increase in headcount compared to the same period in the previous year, an increase of $0.7 million in marketing activities, including trade shows and online marketing activities and an increase of $0.3 million in facilities costs in connection with the expansion of our headquarters in Rosh Ha’Ayin, Israel. As a percentage of total revenues, our sales and marketing expenses increased during this period, from 15.1% in the nine months ended September 30, 2015 to 17.7% in the nine months ended September 30, 2016.</w:t>
      </w:r>
    </w:p>
    <w:p>
      <w:pPr>
        <w:spacing w:after="0" w:line="18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General and administrative expenses increased by 28.6% in the nine months ended September 30, 2016 compared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nine months ended September 30, 2015. This resulted primarily from an increase of $1.0 million in salaries and related personnel expenses and share based compensation due to the hiring of additional personnel reflecting an increase in headcount compared to the same period in the previous year, an increase of $0.4 million in legal expenses relating to settlement of a legal claim, an increase of $0.4 million in expenses related to upgrades of our IT infrastructure, an increase of $0.2 million of facilities costs due to expansion of our facilities and an increase of $0.2 million in costs associated with being a publicly traded company. This increase was offset by a decrease of $0.8 million due to a one-time payment in the prior period to Fortissimo Capital, our principal shareholder, in connection with the termination of our management services agreement with them and a decrease of $0.2 due to one-time bonuses in the prior period in connection with our initial public offering. As a percentage of total revenues, our general and administrative expenses increased from 11.8% in the nine months ended September 30, 2015 to 12.1% in the nine months ended September 30, 2016.</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income (expenses), net</w:t>
      </w:r>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Financial income, net, reflected income of $0.1 million in the nine months ended September 30, 2016 compared to expenses of $0.2 million in the nine months ended September 30, 2015. This change resulted from an increase in interest from marketable securities and bank deposits of $0.5 million due to the investment of the proceeds of our initial public offering, which occurred during the nine months ended September 30, 2016, offset by bank charges and foreign currency translation differences, specifically the exchange rate of the U.S. dollar to the NIS.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Taxes on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Taxes on income were $0.7 million in each of the nine months ended September 30, 2016 and September 30,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As of September 30, 2016, we had approximately $18.5 million in cash and cash equivalents, no short-term bank deposits and $38.2 million in marketable securities totaling $56.7 million.</w:t>
      </w:r>
    </w:p>
    <w:p>
      <w:pPr>
        <w:spacing w:after="0" w:line="17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As of September 30, 2016, we had three lines of credit with Israeli banks for total borrowings of up to $3.5 million, all of which was undrawn as of September 30, 2016. These lines of credit are unsecured and available subject to our maintenance of a 30% ratio of total shareholders’ equity to total assets. Interest rates across our credit lines varied from 1.95% to 2.3% as of September 30, 2016. Any borrowings under our credit lines would become repayable if Fortissimo Capital ceases to be our controlling shareholder (which for this purpose generally requires Fortissimo Capital to continue to hold 25% of our outstanding ordinary shares).</w:t>
      </w:r>
    </w:p>
    <w:p>
      <w:pPr>
        <w:spacing w:after="0" w:line="18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Based on our current business plans, we believe that our cash flows from operating activities and our existing cash resources will be sufficient to fund our projected cash requirements for at least the next 12 months without drawing on our lines of credit or using cash on hand. Our future capital requirements will depend on many factors, including our rate of revenue growth, the timing and extent of spending to support product development efforts, the expansion of our sales and marketing activities, and the timing of introductions of new solutions and the continuing market acceptance of our solutions as well as other business development efforts.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60" w:type="dxa"/>
            <w:vAlign w:val="bottom"/>
          </w:tcPr>
          <w:p>
            <w:pPr>
              <w:ind w:left="660"/>
              <w:spacing w:after="0"/>
              <w:rPr>
                <w:sz w:val="20"/>
                <w:szCs w:val="20"/>
                <w:color w:val="auto"/>
              </w:rPr>
            </w:pPr>
            <w:r>
              <w:rPr>
                <w:rFonts w:ascii="Arial" w:cs="Arial" w:eastAsia="Arial" w:hAnsi="Arial"/>
                <w:sz w:val="18"/>
                <w:szCs w:val="18"/>
                <w:color w:val="auto"/>
                <w:w w:val="98"/>
              </w:rPr>
              <w:t>The following table presents the major components of net cash flows for the periods presented:</w:t>
            </w: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8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4"/>
          </w:tcPr>
          <w:p>
            <w:pPr>
              <w:jc w:val="right"/>
              <w:ind w:right="800"/>
              <w:spacing w:after="0"/>
              <w:rPr>
                <w:sz w:val="20"/>
                <w:szCs w:val="20"/>
                <w:color w:val="auto"/>
              </w:rPr>
            </w:pPr>
            <w:r>
              <w:rPr>
                <w:rFonts w:ascii="Arial" w:cs="Arial" w:eastAsia="Arial" w:hAnsi="Arial"/>
                <w:sz w:val="18"/>
                <w:szCs w:val="18"/>
                <w:b w:val="1"/>
                <w:bCs w:val="1"/>
                <w:color w:val="auto"/>
              </w:rPr>
              <w:t>September 30,</w:t>
            </w:r>
          </w:p>
        </w:tc>
      </w:tr>
      <w:tr>
        <w:trPr>
          <w:trHeight w:val="237"/>
        </w:trPr>
        <w:tc>
          <w:tcPr>
            <w:tcW w:w="8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3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r>
      <w:tr>
        <w:trPr>
          <w:trHeight w:val="216"/>
        </w:trPr>
        <w:tc>
          <w:tcPr>
            <w:tcW w:w="8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8"/>
                <w:szCs w:val="18"/>
                <w:color w:val="auto"/>
              </w:rPr>
            </w:pP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(4,324)</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(2,840)</w:t>
            </w: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3,766</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(38,972)</w:t>
            </w: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564</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74,240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2016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cash used in operating activities in the nine months ended September 30, 2016 was $4.3 million.</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Net cash used in operating activities consisted of an increase of approximately $6.8 million in trade receivables due primarily to the growth of our business and better payment terms to our customers. Net income for the period was less than $0.1 million. Our days sales’ outstanding, or DSO, for the nine month ended September 30, 2016 was 105 compared to 78 for the nine months ended September 30, 2015 as a result of such better payment terms to our customers.</w:t>
      </w:r>
    </w:p>
    <w:p>
      <w:pPr>
        <w:spacing w:after="0" w:line="187" w:lineRule="exact"/>
        <w:rPr>
          <w:sz w:val="20"/>
          <w:szCs w:val="20"/>
          <w:color w:val="auto"/>
        </w:rPr>
      </w:pPr>
    </w:p>
    <w:p>
      <w:pPr>
        <w:jc w:val="both"/>
        <w:ind w:right="420" w:firstLine="648"/>
        <w:spacing w:after="0" w:line="286" w:lineRule="auto"/>
        <w:rPr>
          <w:sz w:val="20"/>
          <w:szCs w:val="20"/>
          <w:color w:val="auto"/>
        </w:rPr>
      </w:pPr>
      <w:r>
        <w:rPr>
          <w:rFonts w:ascii="Arial" w:cs="Arial" w:eastAsia="Arial" w:hAnsi="Arial"/>
          <w:sz w:val="17"/>
          <w:szCs w:val="17"/>
          <w:color w:val="auto"/>
        </w:rPr>
        <w:t>During the same period, we experienced an increase of $4.7 million in inventory. This was primarily due to our strategy of increasing inventory levels to meet anticipated customer demand for our solutions. Our trade payables increased by $1.4 million primarily due to our increase in business and activity. Deferred revenues and prepaid expenses also increased by $0.2 million due to the timing of revenue recognition.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Nine Months Ended September 30, 2015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cash used in operating activities in the nine months ended September 30, 2015 was $2.8 million.</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Net cash used in operating activities consisted of net income of $2.7 million and an increase of approximately $7.7 million in trade receivables due primarily to the growth of our business and better payment terms to our customers.</w:t>
      </w:r>
    </w:p>
    <w:p>
      <w:pPr>
        <w:spacing w:after="0" w:line="170" w:lineRule="exact"/>
        <w:rPr>
          <w:sz w:val="20"/>
          <w:szCs w:val="20"/>
          <w:color w:val="auto"/>
        </w:rPr>
      </w:pPr>
    </w:p>
    <w:p>
      <w:pPr>
        <w:jc w:val="both"/>
        <w:ind w:right="400" w:firstLine="648"/>
        <w:spacing w:after="0" w:line="264" w:lineRule="auto"/>
        <w:rPr>
          <w:sz w:val="20"/>
          <w:szCs w:val="20"/>
          <w:color w:val="auto"/>
        </w:rPr>
      </w:pPr>
      <w:r>
        <w:rPr>
          <w:rFonts w:ascii="Arial" w:cs="Arial" w:eastAsia="Arial" w:hAnsi="Arial"/>
          <w:sz w:val="18"/>
          <w:szCs w:val="18"/>
          <w:color w:val="auto"/>
        </w:rPr>
        <w:t>During the same period, we experienced an increase of $3.4 million in inventory. This was primarily due to our strategy of increasing inventory levels to meet anticipated customer demand for our solutions. Our trade payables increased by $3.1 million primarily due to our increase in business and activity.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2016</w:t>
      </w:r>
    </w:p>
    <w:p>
      <w:pPr>
        <w:spacing w:after="0" w:line="22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Net cash provided by investing activities was $3.8 million for the nine months ended September 30, 2016, which was primarily attributable to our proceeds from short-term bank deposits of $22.0 million offset by our investment in property and equipment of $4.5 million and $9.2 million paid in connection of our acquisition of SPSI.</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2015</w:t>
      </w:r>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Net cash used in investing activities was $39.0 million for the nine months ended September 30, 2015, which was primarily attributable to our investment in short term bank deposits and the purchase of marketable securities n the total amount of $38.4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Financing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2016</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Net cash provided by financing activities was $0.6 million for the nine months ended September 30, 2016, which was attributable to the exercise of share options.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2015</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Net cash provided by financing activities was $74.2 million for the nine months ended September 30, 2016, which was attributable primarily to our initial public offering.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Certain information herein may be deemed to be “forward-looking statements” within the meaning of the Private Securities Litigation Reform Act of 1995, Section 27A of the Securities Act of 1933, and Section 21E of the Securities Exchange Act of 1934. Forward-looking statements are those that predict or describe future events or trends and that do not relate solely to historical matters. You can generally identify forward-looking statements as statements containing the words “may,” “will,” “could,” “should,” “expect,” “anticipate,” “intend,” “estimate,” “believe,” “project,” “plan,” “assume” or other similar expressions, or negatives of those expressions, although not all forward-looking statements contain these identifying words</w:t>
      </w:r>
      <w:r>
        <w:rPr>
          <w:rFonts w:ascii="Arial" w:cs="Arial" w:eastAsia="Arial" w:hAnsi="Arial"/>
          <w:sz w:val="17"/>
          <w:szCs w:val="17"/>
          <w:i w:val="1"/>
          <w:iCs w:val="1"/>
          <w:color w:val="auto"/>
        </w:rPr>
        <w:t>.</w:t>
      </w:r>
    </w:p>
    <w:p>
      <w:pPr>
        <w:spacing w:after="0" w:line="173"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These forward-looking statements may include, but are not limited to, statements regarding our future strategy, future operations, projected financial position, proposed products, estimated future revenues, projected costs, future prospects, the future of our industry and results that might be obtained by pursuing management’s current plans and objectives</w:t>
      </w:r>
      <w:r>
        <w:rPr>
          <w:rFonts w:ascii="Arial" w:cs="Arial" w:eastAsia="Arial" w:hAnsi="Arial"/>
          <w:sz w:val="18"/>
          <w:szCs w:val="18"/>
          <w:i w:val="1"/>
          <w:iCs w:val="1"/>
          <w:color w:val="auto"/>
        </w:rPr>
        <w:t>.</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0" w:name="page31"/>
    <w:bookmarkEnd w:id="30"/>
    <w:p>
      <w:pPr>
        <w:ind w:right="60" w:firstLine="648"/>
        <w:spacing w:after="0" w:line="259" w:lineRule="auto"/>
        <w:rPr>
          <w:sz w:val="20"/>
          <w:szCs w:val="20"/>
          <w:color w:val="auto"/>
        </w:rPr>
      </w:pPr>
      <w:r>
        <w:rPr>
          <w:rFonts w:ascii="Arial" w:cs="Arial" w:eastAsia="Arial" w:hAnsi="Arial"/>
          <w:sz w:val="18"/>
          <w:szCs w:val="18"/>
          <w:color w:val="auto"/>
        </w:rPr>
        <w:t>These forward-looking statements may include, but are not limited to, statements relating to our objectives, plans and strategies, statements that contain projections of results of operations or of financial condition and all statements (other than statements of historical facts) that address activities, events or developments that we expect, project, believe, anticipate, intend or project will or may occur in the future. The statements that we make regarding the following matters are forward-looking by their nature:</w:t>
      </w:r>
    </w:p>
    <w:p>
      <w:pPr>
        <w:spacing w:after="0" w:line="173"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expectations regarding our future gross margins and operating expenses</w:t>
      </w:r>
      <w:r>
        <w:rPr>
          <w:rFonts w:ascii="Arial" w:cs="Arial" w:eastAsia="Arial" w:hAnsi="Arial"/>
          <w:sz w:val="18"/>
          <w:szCs w:val="18"/>
          <w:i w:val="1"/>
          <w:iCs w:val="1"/>
          <w:color w:val="auto"/>
        </w:rPr>
        <w: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expectations regarding our growth and overall profitability</w:t>
      </w:r>
      <w:r>
        <w:rPr>
          <w:rFonts w:ascii="Arial" w:cs="Arial" w:eastAsia="Arial" w:hAnsi="Arial"/>
          <w:sz w:val="18"/>
          <w:szCs w:val="18"/>
          <w:i w:val="1"/>
          <w:iCs w:val="1"/>
          <w:color w:val="auto"/>
        </w:rPr>
        <w: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expectations regarding the impacts of variability on our future revenues</w:t>
      </w:r>
      <w:r>
        <w:rPr>
          <w:rFonts w:ascii="Arial" w:cs="Arial" w:eastAsia="Arial" w:hAnsi="Arial"/>
          <w:sz w:val="18"/>
          <w:szCs w:val="18"/>
          <w:i w:val="1"/>
          <w:iCs w:val="1"/>
          <w:color w:val="auto"/>
        </w:rPr>
        <w:t>;</w:t>
      </w:r>
    </w:p>
    <w:p>
      <w:pPr>
        <w:spacing w:after="0" w:line="225"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expectations regarding drivers of our future growth, including anticipated sales growth, penetration of new markets, and expansion of our customer base</w:t>
      </w:r>
      <w:r>
        <w:rPr>
          <w:rFonts w:ascii="Arial" w:cs="Arial" w:eastAsia="Arial" w:hAnsi="Arial"/>
          <w:sz w:val="18"/>
          <w:szCs w:val="18"/>
          <w:i w:val="1"/>
          <w:iCs w:val="1"/>
          <w:color w:val="auto"/>
        </w:rPr>
        <w: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plans to expand into continue our expansion into new product markets</w:t>
      </w:r>
      <w:r>
        <w:rPr>
          <w:rFonts w:ascii="Arial" w:cs="Arial" w:eastAsia="Arial" w:hAnsi="Arial"/>
          <w:sz w:val="18"/>
          <w:szCs w:val="18"/>
          <w:i w:val="1"/>
          <w:iCs w:val="1"/>
          <w:color w:val="auto"/>
        </w:rPr>
        <w: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plans to continue to invest in research and development to introduce new systems and improved solutions</w:t>
      </w:r>
      <w:r>
        <w:rPr>
          <w:rFonts w:ascii="Arial" w:cs="Arial" w:eastAsia="Arial" w:hAnsi="Arial"/>
          <w:sz w:val="18"/>
          <w:szCs w:val="18"/>
          <w:i w:val="1"/>
          <w:iCs w:val="1"/>
          <w:color w:val="auto"/>
        </w:rPr>
        <w: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expectations regarding the success of our new products and systems</w:t>
      </w:r>
      <w:r>
        <w:rPr>
          <w:rFonts w:ascii="Arial" w:cs="Arial" w:eastAsia="Arial" w:hAnsi="Arial"/>
          <w:sz w:val="18"/>
          <w:szCs w:val="18"/>
          <w:i w:val="1"/>
          <w:iCs w:val="1"/>
          <w:color w:val="auto"/>
        </w:rPr>
        <w: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government laws and regulations</w:t>
      </w:r>
      <w:r>
        <w:rPr>
          <w:rFonts w:ascii="Arial" w:cs="Arial" w:eastAsia="Arial" w:hAnsi="Arial"/>
          <w:sz w:val="18"/>
          <w:szCs w:val="18"/>
          <w:i w:val="1"/>
          <w:iCs w:val="1"/>
          <w:color w:val="auto"/>
        </w:rPr>
        <w: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expectations regarding our anticipated cash requirements for the next 12 months</w:t>
      </w:r>
      <w:r>
        <w:rPr>
          <w:rFonts w:ascii="Arial" w:cs="Arial" w:eastAsia="Arial" w:hAnsi="Arial"/>
          <w:sz w:val="18"/>
          <w:szCs w:val="18"/>
          <w:i w:val="1"/>
          <w:iCs w:val="1"/>
          <w:color w:val="auto"/>
        </w:rPr>
        <w: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plans to expand our international operations</w:t>
      </w:r>
      <w:r>
        <w:rPr>
          <w:rFonts w:ascii="Arial" w:cs="Arial" w:eastAsia="Arial" w:hAnsi="Arial"/>
          <w:sz w:val="18"/>
          <w:szCs w:val="18"/>
          <w:i w:val="1"/>
          <w:iCs w:val="1"/>
          <w:color w:val="auto"/>
        </w:rPr>
        <w: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plans to file and procure additional patents relating to our intellectual property rights and the adequate protection of these rights</w:t>
      </w:r>
      <w:r>
        <w:rPr>
          <w:rFonts w:ascii="Arial" w:cs="Arial" w:eastAsia="Arial" w:hAnsi="Arial"/>
          <w:sz w:val="18"/>
          <w:szCs w:val="18"/>
          <w:i w:val="1"/>
          <w:iCs w:val="1"/>
          <w:color w:val="auto"/>
        </w:rPr>
        <w: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plans to pursue strategic acquisitions or invest in complementary companies, products or technologies; and</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JOBS Act.</w:t>
      </w:r>
    </w:p>
    <w:p>
      <w:pPr>
        <w:spacing w:after="0" w:line="21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preceding list is not intended to be an exhaustive list of all of our forward-looking statements. The forward-looking statements are based on our beliefs, assumptions and expectations of future performance, taking into account the information currently available to us. These statements are only predictions based upon our current expectations and projections about future events. There are important factors that could cause our actual results, levels of activity, performance or achievements to differ materially from the results, levels of activity, performance or achievements expressed or implied by the forward-looking statements. In particular, you should consider the risks described in our Annual Report on Form 20-F for the year ended December 31, 2015, which is on file with the Securities and Exchange Commission ("SEC"), and the other risk factors discussed from time to time by our company in reports filed or furnished to the SEC.</w:t>
      </w:r>
    </w:p>
    <w:p>
      <w:pPr>
        <w:spacing w:after="0" w:line="18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and events and circumstances reflected in the forward-looking statements will be achieved or will occur.</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00"/>
      </w:cols>
      <w:pgMar w:left="240" w:top="90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lowerLetter"/>
      <w:start w:val="1"/>
    </w:lvl>
  </w:abstractNum>
  <w:abstractNum w:abstractNumId="1">
    <w:nsid w:val="12200854"/>
    <w:multiLevelType w:val="hybridMultilevel"/>
    <w:lvl w:ilvl="0">
      <w:lvlJc w:val="left"/>
      <w:lvlText w:val="%1."/>
      <w:numFmt w:val="lowerLetter"/>
      <w:start w:val="1"/>
    </w:lvl>
  </w:abstractNum>
  <w:abstractNum w:abstractNumId="2">
    <w:nsid w:val="4DB127F8"/>
    <w:multiLevelType w:val="hybridMultilevel"/>
    <w:lvl w:ilvl="0">
      <w:lvlJc w:val="left"/>
      <w:lvlText w:val="%1."/>
      <w:numFmt w:val="lowerLetter"/>
      <w:start w:val="3"/>
    </w:lvl>
    <w:lvl w:ilvl="1">
      <w:lvlJc w:val="left"/>
      <w:lvlText w:val="%2."/>
      <w:numFmt w:val="decimal"/>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lowerLetter"/>
      <w:start w:val="1"/>
    </w:lvl>
  </w:abstractNum>
  <w:abstractNum w:abstractNumId="10">
    <w:nsid w:val="DED7263"/>
    <w:multiLevelType w:val="hybridMultilevel"/>
    <w:lvl w:ilvl="0">
      <w:lvlJc w:val="left"/>
      <w:lvlText w:val="%1."/>
      <w:numFmt w:val="lowerLetter"/>
      <w:start w:val="4"/>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1."/>
      <w:numFmt w:val="lowerLetter"/>
      <w:start w:val="2"/>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lowerLetter"/>
      <w:start w:val="3"/>
    </w:lvl>
  </w:abstractNum>
  <w:abstractNum w:abstractNumId="15">
    <w:nsid w:val="4E6AFB66"/>
    <w:multiLevelType w:val="hybridMultilevel"/>
    <w:lvl w:ilvl="0">
      <w:lvlJc w:val="left"/>
      <w:lvlText w:val="%1."/>
      <w:numFmt w:val="lowerLetter"/>
      <w:start w:val="2"/>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2019-12-08T01:06:45Z</dcterms:created>
  <dcterms:modified xsi:type="dcterms:W3CDTF">2019-12-08T01:06:45Z</dcterms:modified>
</cp:coreProperties>
</file>