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FORM 6-K</w:t>
      </w:r>
    </w:p>
    <w:p>
      <w:pPr>
        <w:spacing w:after="0" w:line="23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November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KORNIT DIGITAL LTD.</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00" w:right="1719" w:hanging="470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99" w:right="1440"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On November 9, 2016, Kornit Digital Ltd. issued a press release entitled “Kornit Digital Reports 2016 Third Quarter Results.” A copy of this press release is furnished as Exhibit 99.1 hereto.</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November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November 9, 2016 entitled “Kornit Digital Reports 2016 Third Quarter Results”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2016 Third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2016 sales of $30.9 million, an increase of 40.3% over the prior-year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GAAP operating income of $0.7 million, compared to $2.2 million in Third quarter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Non-GAAP operating income of $3.9 million, up 28.9%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GAAP operating margin of 2.1% of sales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operating margin of 12.5% of sales; ahead of company guidance range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GAAP earning per diluted share of $0.01; Non-GAAP earnings per diluted share of $0.11, up 22% year-over-year</w:t>
      </w:r>
    </w:p>
    <w:p>
      <w:pPr>
        <w:spacing w:after="0" w:line="20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Rosh-Ha`Ayin, Israel – November 9, 2016 – </w:t>
      </w:r>
      <w:r>
        <w:rPr>
          <w:rFonts w:ascii="Arial" w:cs="Arial" w:eastAsia="Arial" w:hAnsi="Arial"/>
          <w:sz w:val="18"/>
          <w:szCs w:val="18"/>
          <w:color w:val="auto"/>
        </w:rPr>
        <w:t>Kornit Digital Ltd. (NASDAQ:KRNT),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third quarter ended September 30, 2016.</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Revenues for the third quarter of 2016 increased 40.3% to $30.9 million, compared to the prior year period of $22.0 million. Record sales in the quarter were achieved by significant growth throughout the company’s product offerings, including systems sold and ink and consumables. Increased sales of Avalanche 1000 were a substantial driver of revenue growth in the quarter.</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Third quarter GAAP net income was $0.4 million, or $0.01 per diluted share, compared to net income of $2.1 million in the third quarter of 2015. Non-GAAP net income in the third quarter of 2016 was $3.6 million, or $0.11 per diluted share, compared to prior-year net income of $2.9 million, or $0.09 per diluted share.</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Gabi Seligsohn, Kornit Digital’s Chief Executive Officer commented, “We expected a large step-up in revenue in the third quarter, and our performance exceeded the high end of our plan. We are pleased with revenue growth of over 40% year-over-year, which was led by the expanded role our large customers now play in our quarterly revenues from both system and ink and consumable sales. System sales to these accounts consisted primarily of our flagship model, the Avalanche 1000. Higher revenue also demonstrated the leverage in our model, as Non-GAAP operating margin was 12.5%, despite the sizable investments we continued to make in our global infrastructure in sales, marketing, and R&amp;D, while GAAP operating margin was 2.1%.”</w:t>
      </w:r>
    </w:p>
    <w:p>
      <w:pPr>
        <w:spacing w:after="0" w:line="15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Seligsohn continued, “We believe we are well positioned to continue the momentum through the end of the year, supported by strong order rates during the third quarter, new customers for the Allegro roll-to-roll printer, revenue from system upgrades and contribution from our new platform, the Vulcan.”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 Quarter 2016 Results of Operations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Revenues in the third quarter of 2016 were $30.9 million, an increase of 40.3% compared with the prior-year level of $22.0 million. Record sales in the quarter were achieved by significant growth throughout the company’s product offerings, including systems sold and ink and consumables. Increased sales of Avalanche 1000 was a substantial driver of revenue growth in the quarter.</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GAAP third quarter gross profit was $13.6 million, or 44.1%_of sales, compared with $10.6 million, or 48% of sales, in the third quarter of 2015. GAAP gross profit was adversely affected by the repurchase of inventory in connection with the Company’s acquisition of the digital printing assets of SPSI. Non-GAAP gross profit in the third quarter was $15.2 million, or 49.2% of sales, compared with $10.7 million, or 48.3% of sales in the prior-year. Higher Non-GAAP gross profit primarily reflected a favorable sales mix of high throughput systems, and an increased contribution from ink and consumables during the current period.</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GAAP total operating expenses in the third quarter were $13.0 million, or 41.9% of sales, compared to $8.4 million, or 37.9% of sales, in the third quarter of 2015. Non-GAAP operating expenses in the third quarter increased to $11.4 million, or 36.7% of sales, compared to $7.7 million, or 35.1% of sales in the third quarter of 2015. The increase in total operating expenses was consistent with the company’s investment strategy to expand its infrastructure.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Third quarter GAAP research and development expenses were $4.4 million, or 14.2% of sales compared to $3.1 million, or 13.9% of sales, in the third quarter of 2015. Third quarter non-GAAP research and development expenses were $4.4 million, or 14.2% of sales, compared to $2.9 million, or 13.3% of sales in the third quarter of 2015.</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GAAP third quarter operating income was $0.7 million, compared to $2.2 million in the third quarter of 2015. Non-GAAP operating income in the third quarter increased to $3.9 million, representing a company record, compared to $3.0 million in the third quarter of 2015. As a percent of sales, Non-GAAP operating margin for the third quarter was 12.5% of sales, compared with 13.5% of sales in the prior year.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reported third quarter GAAP net income of $0.4 million, or $0.01 per diluted share, compared to net income of $2.1 million in the third quarter of 2015. On a Non-GAAP basis, net income for the third quarter of 2016 was $3.6 million, or $0.11 per diluted share, compared to $2.9 million in the third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September 30, 2016, the company had cash and cash equivalents, deposits and marketable securities of $56.7 million and no long-term debt. Third quarter cash flow provided by operating activities was $2.5 million. Through the first nine months of 2016, cash used in operating activities was $4.3 million, primarily due to an increase of accounts receivables and inventory.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right="20"/>
        <w:spacing w:after="0" w:line="342" w:lineRule="auto"/>
        <w:rPr>
          <w:sz w:val="20"/>
          <w:szCs w:val="20"/>
          <w:color w:val="auto"/>
        </w:rPr>
      </w:pPr>
      <w:r>
        <w:rPr>
          <w:rFonts w:ascii="Arial" w:cs="Arial" w:eastAsia="Arial" w:hAnsi="Arial"/>
          <w:sz w:val="16"/>
          <w:szCs w:val="16"/>
          <w:color w:val="auto"/>
        </w:rPr>
        <w:t>Third quarter cash flow provided by investment activities was $4.4 million. Through the first nine months of 2016, cash provided by investment activities was $3.8 million and included a $9.2 million investment in SPSI assets acquisition including substantial amounts relating to inventory and future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2016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on the same day at 5:00 p.m. ET, or 12:00 a.m. Israel time, to discuss the results, followed by a question and answer session for the investment community. A live webcast of the call can be accessed at ir.kornit.com. To access the call, participants may dial toll-free at 1-888-312-3047 or +1-719-325-2326 (international). The toll-free Israeli number is 1 80 924 5906. The confirmation code is 7689796.</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listen to a telephonic replay of the conference call, dial toll-free 1-877-870-5176 or +1-858-384-5517 (international) and enter confirmation code 7689796. The telephonic replay will be available beginning at 8:00 p.m. ET on Wednesday, November 9, 2016, and will last through 11:59 p.m. ET November 23, 2016.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17, 2016.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Non-GAAP financial measures consist of GAAP financial measures adjusted to exclude acquisition related expenses, compensation in relation to the IPO, one time expenses, excess cost of acquired inventory, share-based compensation expenses, amortization of acquired intangible assetsThe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30,920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40,924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32,377</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17,299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8,573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7,213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3,569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7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719</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3,399</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Taxes on income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used in computing basic and diluted net</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per share</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30,474,462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22,814,312</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30,584,576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29,779,017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number of shares used in computing diluted net income</w:t>
            </w:r>
          </w:p>
        </w:tc>
        <w:tc>
          <w:tcPr>
            <w:tcW w:w="92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w w:val="99"/>
              </w:rPr>
              <w:t>per</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31,739,909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24,734,519</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31,795,707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31,743,307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RECONCILATION OF GAAP TO NON-GAAP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838" w:orient="portrait"/>
          <w:cols w:equalWidth="0" w:num="1">
            <w:col w:w="11420"/>
          </w:cols>
          <w:pgMar w:left="240" w:top="904" w:right="239" w:bottom="144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904"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net income as reported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 relation to the IPO</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Separation payment to shareholder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IPO bonuses to employees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Excess cost of acquired inventory (a)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one time expense</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4,866</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3,553</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Non-GAAP net income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4,874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3,552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 per</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32,018,295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25,111,776</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32,043,179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32,096,739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charges to cost of revenues for the difference between the higher carrying cost of the acquired inventory from a distributer purchased on July 1, 2016 which was recorded at fair value and the standard cost of the Company's inventory, which adversely impacts the Company's gross profit.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1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Short term bank deposits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Trade receivables,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Inventory</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assets</w:t>
            </w:r>
          </w:p>
        </w:tc>
        <w:tc>
          <w:tcPr>
            <w:tcW w:w="26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45,347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assets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132,186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Trade payables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14,354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26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26,228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21,251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LONG-TERM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Payment obligation related to acquisition</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132,186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940" w:type="dxa"/>
            <w:vAlign w:val="bottom"/>
            <w:gridSpan w:val="6"/>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gridSpan w:val="5"/>
          </w:tcPr>
          <w:p>
            <w:pPr>
              <w:spacing w:after="0" w:line="201" w:lineRule="exact"/>
              <w:rPr>
                <w:sz w:val="20"/>
                <w:szCs w:val="20"/>
                <w:color w:val="auto"/>
              </w:rPr>
            </w:pPr>
            <w:r>
              <w:rPr>
                <w:rFonts w:ascii="Arial" w:cs="Arial" w:eastAsia="Arial" w:hAnsi="Arial"/>
                <w:sz w:val="18"/>
                <w:szCs w:val="18"/>
                <w:color w:val="auto"/>
                <w:w w:val="92"/>
              </w:rPr>
              <w:t>Adjustments to reconcile net income to net cash provided by (used in) operating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6"/>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Amortization of premium and accretion of discount on available for sale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Accretion of payment obligation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Increase in other receivables and prepaid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(1,586)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inventory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Increase in deferred taxes,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Increase (decrease) in trade payables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loss from sale of property and equipments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Foreign currency translation gain (loss) on inter company balances with foreign</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Cash paid in connection with acquisition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bank deposits,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Purchase of marketable securities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(27,428)</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Payment of deferred issuance cost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Exercise of employee stock options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top w:val="single" w:sz="8" w:color="CCEEFF"/>
            </w:tcBorders>
            <w:gridSpan w:val="5"/>
          </w:tcPr>
          <w:p>
            <w:pPr>
              <w:ind w:left="40"/>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32,384</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7,168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(43,047)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gridSpan w:val="5"/>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18,477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37,377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18,477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20" w:type="dxa"/>
            <w:vAlign w:val="bottom"/>
            <w:gridSpan w:val="5"/>
          </w:tcPr>
          <w:p>
            <w:pPr>
              <w:spacing w:after="0" w:line="176" w:lineRule="exact"/>
              <w:rPr>
                <w:sz w:val="20"/>
                <w:szCs w:val="20"/>
                <w:color w:val="auto"/>
              </w:rPr>
            </w:pPr>
            <w:r>
              <w:rPr>
                <w:rFonts w:ascii="Arial" w:cs="Arial" w:eastAsia="Arial" w:hAnsi="Arial"/>
                <w:sz w:val="18"/>
                <w:szCs w:val="18"/>
                <w:color w:val="auto"/>
              </w:rPr>
              <w:t>(A)</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79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2019-12-09T00:47:57Z</dcterms:created>
  <dcterms:modified xsi:type="dcterms:W3CDTF">2019-12-09T00:47:57Z</dcterms:modified>
</cp:coreProperties>
</file>