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March 30, 2017</w:t>
      </w:r>
    </w:p>
    <w:p>
      <w:pPr>
        <w:spacing w:after="0" w:line="27" w:lineRule="exact"/>
        <w:rPr>
          <w:sz w:val="24"/>
          <w:szCs w:val="24"/>
          <w:color w:val="auto"/>
        </w:rPr>
      </w:pPr>
    </w:p>
    <w:p>
      <w:pPr>
        <w:jc w:val="right"/>
        <w:ind w:right="36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OF 1933</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State of Israel</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12 Ha’ Amal Street, Afek Park,</w:t>
            </w:r>
          </w:p>
        </w:tc>
        <w:tc>
          <w:tcPr>
            <w:tcW w:w="5600" w:type="dxa"/>
            <w:vAlign w:val="bottom"/>
          </w:tcPr>
          <w:p>
            <w:pPr>
              <w:spacing w:after="0"/>
              <w:rPr>
                <w:sz w:val="24"/>
                <w:szCs w:val="24"/>
                <w:color w:val="auto"/>
              </w:rPr>
            </w:pPr>
          </w:p>
        </w:tc>
      </w:t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Rosh-Ha’Ayin, Israel</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4809246</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 2015 Incentive Compensation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North America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10541-10601 North Commerce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Mequon, WI 53092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(262) 518-0200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communications to:</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Guy Avidan</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3"/>
              </w:rPr>
              <w:t>Clifford M. J. Felig, Adv.</w:t>
            </w:r>
          </w:p>
        </w:tc>
      </w:t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Chief Financial Officer</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1"/>
              </w:rPr>
              <w:t>Aviv Avidan-Shalit, Adv.</w:t>
            </w:r>
          </w:p>
        </w:tc>
      </w:t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Kornit Digital Ltd.</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5"/>
              </w:rPr>
              <w:t>Meitar Liquornik Geva</w:t>
            </w:r>
          </w:p>
        </w:tc>
      </w:t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12 Ha’ Amal Street, Afek Park,</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88"/>
              </w:rPr>
              <w:t>Leshem Tal</w:t>
            </w:r>
          </w:p>
        </w:tc>
      </w:t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Rosh-Ha’Ayin 4809246, Israel</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3"/>
              </w:rPr>
              <w:t>16 Abba Hillel Silver Rd.</w:t>
            </w:r>
          </w:p>
        </w:tc>
      </w:t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Tel: +972-3-908-5800</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2"/>
              </w:rPr>
              <w:t>Ramat Gan 5250608, Israel</w:t>
            </w:r>
          </w:p>
        </w:tc>
      </w:tr>
      <w:tr>
        <w:trPr>
          <w:trHeight w:val="216"/>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Fax: +972-3-908-0280</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1"/>
              </w:rPr>
              <w:t>Tel: +972-3-610-3100</w:t>
            </w:r>
          </w:p>
        </w:tc>
      </w:tr>
      <w:tr>
        <w:trPr>
          <w:trHeight w:val="234"/>
        </w:trPr>
        <w:tc>
          <w:tcPr>
            <w:tcW w:w="580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0"/>
              </w:rPr>
              <w:t>Fax: +972-3-610-3111</w:t>
            </w:r>
          </w:p>
        </w:tc>
      </w:tr>
      <w:tr>
        <w:trPr>
          <w:trHeight w:val="439"/>
        </w:trPr>
        <w:tc>
          <w:tcPr>
            <w:tcW w:w="58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CALCULATION OF REGISTRATION FEE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Proposed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Proposed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maximum</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maximum</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aggregate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Amount of</w:t>
            </w: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Amount to be</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offering 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offering</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registration</w:t>
            </w:r>
          </w:p>
        </w:tc>
      </w:tr>
      <w:tr>
        <w:trPr>
          <w:trHeight w:val="237"/>
        </w:trPr>
        <w:tc>
          <w:tcPr>
            <w:tcW w:w="568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Title of securities to be registered</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registered (1)(2)</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per share(4)</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price(4)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fee(4)</w:t>
            </w:r>
          </w:p>
        </w:tc>
        <w:tc>
          <w:tcPr>
            <w:tcW w:w="100" w:type="dxa"/>
            <w:vAlign w:val="bottom"/>
            <w:tcBorders>
              <w:bottom w:val="single" w:sz="8" w:color="CCEEFF"/>
            </w:tcBorders>
          </w:tcPr>
          <w:p>
            <w:pPr>
              <w:spacing w:after="0"/>
              <w:rPr>
                <w:sz w:val="20"/>
                <w:szCs w:val="20"/>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par value NIS 0.01</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929,689(3)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$ 16,269,557.50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1,885.64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right="40" w:hanging="332"/>
        <w:spacing w:after="0" w:line="269"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“Securities Act”), this Registration Statement also covers such indeterminate number of additional shares that may become issuable under the terms of the Registrant’s 2015 Incentive Compensation Plan (the “2015 Plan”) by reason of any share split, share dividend, recapitalization or other similar transaction effected without the Registrant’s receipt of consideration which results in an increase in the number of the outstanding shares of the Registrant’s ordinary shares.</w:t>
      </w:r>
    </w:p>
    <w:p>
      <w:pPr>
        <w:spacing w:after="0" w:line="2" w:lineRule="exact"/>
        <w:rPr>
          <w:rFonts w:ascii="Arial" w:cs="Arial" w:eastAsia="Arial" w:hAnsi="Arial"/>
          <w:sz w:val="17"/>
          <w:szCs w:val="17"/>
          <w:color w:val="auto"/>
        </w:rPr>
      </w:pPr>
    </w:p>
    <w:p>
      <w:pPr>
        <w:jc w:val="both"/>
        <w:ind w:left="340" w:right="12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429 of the Securities Act, the prospectus delivered to participants under the 2015 Plan also related to an aggregate of 3,698,706 shares previously registered on Form S-8 Registration Number 333-203970 under the Kornit Digital Ltd. 2004 Share Option Plan, the Kornit Digital Ltd. 2012 Share Incentive Plan, the Kornit Digital Ltd. 2015 Employee Share Purchase Plan and the 2015 Plan and on Form S-8 Registration Number 333-214015 under the 2015 Plan.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to the number of shares available for issuance under the 2015 Plan, effective January 1, 2017.</w:t>
      </w:r>
    </w:p>
    <w:p>
      <w:pPr>
        <w:spacing w:after="0" w:line="9" w:lineRule="exact"/>
        <w:rPr>
          <w:rFonts w:ascii="Arial" w:cs="Arial" w:eastAsia="Arial" w:hAnsi="Arial"/>
          <w:sz w:val="18"/>
          <w:szCs w:val="18"/>
          <w:color w:val="auto"/>
        </w:rPr>
      </w:pPr>
    </w:p>
    <w:p>
      <w:pPr>
        <w:ind w:left="340" w:right="12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457(h)(1) and 457(c) promulgated under the Securities Act, based on the average of the high and low prices ($17.95 and $17.05) of the Registrant’s Ordinary Shares on the NASDAQ Global Select Market on March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color w:val="auto"/>
        </w:rPr>
        <w:t>The Registrant is filing this Registration Statement (this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register an additional 929,689 ordinary shares, par value NIS 0.01 per share (“</w:t>
      </w:r>
      <w:r>
        <w:rPr>
          <w:rFonts w:ascii="Arial" w:cs="Arial" w:eastAsia="Arial" w:hAnsi="Arial"/>
          <w:sz w:val="17"/>
          <w:szCs w:val="17"/>
          <w:b w:val="1"/>
          <w:bCs w:val="1"/>
          <w:color w:val="auto"/>
        </w:rPr>
        <w:t>Ordinary Shares</w:t>
      </w:r>
      <w:r>
        <w:rPr>
          <w:rFonts w:ascii="Arial" w:cs="Arial" w:eastAsia="Arial" w:hAnsi="Arial"/>
          <w:sz w:val="17"/>
          <w:szCs w:val="17"/>
          <w:color w:val="auto"/>
        </w:rPr>
        <w:t>”), of Kornit Digital Ltd. (the “</w:t>
      </w:r>
      <w:r>
        <w:rPr>
          <w:rFonts w:ascii="Arial" w:cs="Arial" w:eastAsia="Arial" w:hAnsi="Arial"/>
          <w:sz w:val="17"/>
          <w:szCs w:val="17"/>
          <w:b w:val="1"/>
          <w:bCs w:val="1"/>
          <w:color w:val="auto"/>
        </w:rPr>
        <w:t>Registrant</w:t>
      </w:r>
      <w:r>
        <w:rPr>
          <w:rFonts w:ascii="Arial" w:cs="Arial" w:eastAsia="Arial" w:hAnsi="Arial"/>
          <w:sz w:val="17"/>
          <w:szCs w:val="17"/>
          <w:color w:val="auto"/>
        </w:rPr>
        <w:t>”) issuable pursuant to the Registrant’s 2015 Incentive Compensation Plan.</w:t>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Instruction E of Form S-8, the contents of the Registrant’s registration statement on Form S-8 (File No. 333-203970)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May 7, 2015 and the Registrant’s registration statement on Form S-8 (File No. 333-214015) filed with the Commission on October 6, 2016 are incorporated herein by reference, and the information required by Part II is omitted, except as supplemented by the information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29" w:lineRule="exact"/>
        <w:rPr>
          <w:sz w:val="20"/>
          <w:szCs w:val="20"/>
          <w:color w:val="auto"/>
        </w:rPr>
      </w:pPr>
    </w:p>
    <w:p>
      <w:pPr>
        <w:ind w:right="100" w:firstLine="8"/>
        <w:spacing w:after="0" w:line="270" w:lineRule="auto"/>
        <w:tabs>
          <w:tab w:leader="none" w:pos="13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documents containing the information specified in this Part I of Form S-8 (plan information and registration information and employee plan annual information) will be sent or given to employees as specified by the Commission pursuant to Rule 428(b)(1) of the Securities Act of 1933, as amended (the “Securities Act”). Such documents are not required to be and are not filed with the Commission either as part of this Registration Statement or as prospectuses or prospectus supplements pursuant to Rule 424.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Registrant are incorporated herein by reference:</w:t>
      </w:r>
    </w:p>
    <w:p>
      <w:pPr>
        <w:spacing w:after="0" w:line="225"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20-F filed on March 30, 2017; and</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contained in Item 1 of the Registration Statement on Form 8-A (File No. 001-36903) filed with the Commission on March 31, 2015.</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to the foregoing, all documents subsequently filed by the Registrant pursuant to Sections 13(a), 13(c), 14 or 15(d) of the Securities Exchange Act of 1934, as amended (the “Exchange Act”), prior to the filing of a post-effective amendment indicating that all securities offered hereby have been sold or deregistering all securities then remaining unsold, shall be deemed to be incorporated by reference in this Registration Statement and to be a part hereof from the date of filing of such documents.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at the end of this Registration Statement are included in this Registration Statement.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Rosh Ha-Ayin, Israel on this 30th day of March, 2017.</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Gabi Seligsohn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Gabi Seligsohn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Gabi Seligsohn and Guy Avidan, and each of them severally, acting alone and without the other,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9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and entity on March 30, 2017 in the capacities indicated: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left="2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070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2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Gabi Seligsohn</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Guy Avidan</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Yuval Cohen</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Ofer Ben-Zur</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Eli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Eli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29070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29070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Marc Lesnick</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Alon Lumbroso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Alon Lumbroso</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Jerry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Jerry Mandel</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Dov 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Dov Ofer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NORTH AMERICA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Thompson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Richard Thompsom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 w:lineRule="exact"/>
        <w:rPr>
          <w:sz w:val="20"/>
          <w:szCs w:val="20"/>
          <w:color w:val="auto"/>
        </w:rPr>
      </w:pPr>
      <w:r>
        <w:rPr>
          <w:sz w:val="20"/>
          <w:szCs w:val="20"/>
          <w:color w:val="auto"/>
        </w:rPr>
        <w:br w:type="column"/>
      </w:r>
    </w:p>
    <w:p>
      <w:pPr>
        <w:ind w:left="29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17145</wp:posOffset>
            </wp:positionV>
            <wp:extent cx="4271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(Principal Financial Officer and Principal Accounting Officer)</w:t>
      </w:r>
    </w:p>
    <w:p>
      <w:pPr>
        <w:spacing w:after="0" w:line="200" w:lineRule="exact"/>
        <w:rPr>
          <w:sz w:val="20"/>
          <w:szCs w:val="20"/>
          <w:color w:val="auto"/>
        </w:rPr>
      </w:pPr>
    </w:p>
    <w:p>
      <w:pPr>
        <w:spacing w:after="0" w:line="29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Authorized Representative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580" w:space="380"/>
            <w:col w:w="6200"/>
          </w:cols>
          <w:pgMar w:left="240" w:top="337"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4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53"/>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Kornit Digital Ltd. 2015 Incentive Compensation Plan (incorporated by reference to Exhibit 10.21 of the Registration Statement on Form F-1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of the Registrant (File No. 333-202291))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line="201"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10260" w:type="dxa"/>
            <w:vAlign w:val="bottom"/>
          </w:tcPr>
          <w:p>
            <w:pPr>
              <w:spacing w:after="0" w:line="201" w:lineRule="exact"/>
              <w:rPr>
                <w:sz w:val="20"/>
                <w:szCs w:val="20"/>
                <w:color w:val="auto"/>
              </w:rPr>
            </w:pPr>
            <w:r>
              <w:rPr>
                <w:rFonts w:ascii="Arial" w:cs="Arial" w:eastAsia="Arial" w:hAnsi="Arial"/>
                <w:sz w:val="18"/>
                <w:szCs w:val="18"/>
                <w:color w:val="auto"/>
                <w:w w:val="91"/>
              </w:rPr>
              <w:t>Articles of Association of the Registrant (incorporated by reference to Exhibit 3.1 of the Registration Statement on Form F-1 of the Registrant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333-202291))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7"/>
                <w:szCs w:val="17"/>
                <w:color w:val="auto"/>
              </w:rPr>
            </w:pPr>
          </w:p>
        </w:tc>
        <w:tc>
          <w:tcPr>
            <w:tcW w:w="10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Specimen Ordinary Share Certificate of the Registrant (incorporated by reference to Exhibit 4.1 of the Registration Statement on Form F-1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the Registrant (File No. 333-202291))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line="201"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0260" w:type="dxa"/>
            <w:vAlign w:val="bottom"/>
          </w:tcPr>
          <w:p>
            <w:pPr>
              <w:spacing w:after="0" w:line="201" w:lineRule="exact"/>
              <w:rPr>
                <w:sz w:val="20"/>
                <w:szCs w:val="20"/>
                <w:color w:val="auto"/>
              </w:rPr>
            </w:pPr>
            <w:r>
              <w:rPr>
                <w:rFonts w:ascii="Arial" w:cs="Arial" w:eastAsia="Arial" w:hAnsi="Arial"/>
                <w:sz w:val="18"/>
                <w:szCs w:val="18"/>
                <w:color w:val="auto"/>
                <w:w w:val="97"/>
              </w:rPr>
              <w:t>Opinion of Meitar Liquornik Geva Leshem Tal, Law Offices, Israeli counsel to the Registrant, as to the validity of the ordinary shares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(including consent)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Consent of Kost, Forer, Gabbay and Kasierer, a member of Ernst &amp; Young Global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Meitar Liquornik Geva Leshem Tal, Law Offices (included in Exhibit 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Power of Attorney (included in signature page to this Registration Statement)</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4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154940</wp:posOffset>
            </wp:positionV>
            <wp:extent cx="5093970" cy="917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9397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March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right="200" w:firstLine="627"/>
        <w:spacing w:after="0" w:line="303" w:lineRule="auto"/>
        <w:rPr>
          <w:sz w:val="20"/>
          <w:szCs w:val="20"/>
          <w:color w:val="auto"/>
        </w:rPr>
      </w:pPr>
      <w:r>
        <w:rPr>
          <w:rFonts w:ascii="Arial" w:cs="Arial" w:eastAsia="Arial" w:hAnsi="Arial"/>
          <w:sz w:val="16"/>
          <w:szCs w:val="16"/>
          <w:color w:val="auto"/>
        </w:rPr>
        <w:t>We have acted as Israeli counsel to Kornit Digital Ltd., a company organized under the laws of the State of Israel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its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covering up to an additional 929,689 ordinary shares of the Company, par value New Israeli Shekel 0.01 per share (the “</w:t>
      </w:r>
      <w:r>
        <w:rPr>
          <w:rFonts w:ascii="Arial" w:cs="Arial" w:eastAsia="Arial" w:hAnsi="Arial"/>
          <w:sz w:val="16"/>
          <w:szCs w:val="16"/>
          <w:b w:val="1"/>
          <w:bCs w:val="1"/>
          <w:color w:val="auto"/>
        </w:rPr>
        <w:t>Shares</w:t>
      </w:r>
      <w:r>
        <w:rPr>
          <w:rFonts w:ascii="Arial" w:cs="Arial" w:eastAsia="Arial" w:hAnsi="Arial"/>
          <w:sz w:val="16"/>
          <w:szCs w:val="16"/>
          <w:color w:val="auto"/>
        </w:rPr>
        <w:t>”) that are available for issuance under the Kornit Digital Ltd. 2015 Incentive Compensation Plan (the “</w:t>
      </w:r>
      <w:r>
        <w:rPr>
          <w:rFonts w:ascii="Arial" w:cs="Arial" w:eastAsia="Arial" w:hAnsi="Arial"/>
          <w:sz w:val="16"/>
          <w:szCs w:val="16"/>
          <w:b w:val="1"/>
          <w:bCs w:val="1"/>
          <w:color w:val="auto"/>
        </w:rPr>
        <w:t>Plan</w:t>
      </w:r>
      <w:r>
        <w:rPr>
          <w:rFonts w:ascii="Arial" w:cs="Arial" w:eastAsia="Arial" w:hAnsi="Arial"/>
          <w:sz w:val="16"/>
          <w:szCs w:val="16"/>
          <w:color w:val="auto"/>
        </w:rPr>
        <w:t>”).</w:t>
      </w:r>
    </w:p>
    <w:p>
      <w:pPr>
        <w:spacing w:after="0" w:line="155" w:lineRule="exact"/>
        <w:rPr>
          <w:sz w:val="20"/>
          <w:szCs w:val="20"/>
          <w:color w:val="auto"/>
        </w:rPr>
      </w:pPr>
    </w:p>
    <w:p>
      <w:pPr>
        <w:ind w:firstLine="627"/>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the Plan, the Registration Statement, the Company’s Articles of Association (as amended), and such other agreements, certificates, resolutions, minutes and other statements of corporate officers and other representatives of the Company and others and other documents provided to us by the Company as we have deemed necessary or appropriate as a basis for this opinion.</w:t>
      </w:r>
    </w:p>
    <w:p>
      <w:pPr>
        <w:spacing w:after="0" w:line="187" w:lineRule="exact"/>
        <w:rPr>
          <w:sz w:val="20"/>
          <w:szCs w:val="20"/>
          <w:color w:val="auto"/>
        </w:rPr>
      </w:pPr>
    </w:p>
    <w:p>
      <w:pPr>
        <w:ind w:right="180" w:firstLine="627"/>
        <w:spacing w:after="0" w:line="293" w:lineRule="auto"/>
        <w:rPr>
          <w:sz w:val="20"/>
          <w:szCs w:val="20"/>
          <w:color w:val="auto"/>
        </w:rPr>
      </w:pPr>
      <w:r>
        <w:rPr>
          <w:rFonts w:ascii="Arial" w:cs="Arial" w:eastAsia="Arial" w:hAnsi="Arial"/>
          <w:sz w:val="16"/>
          <w:szCs w:val="16"/>
          <w:color w:val="auto"/>
        </w:rPr>
        <w:t>In rendering an opinion on the matters hereinafter set forth, we have assumed the authenticity of all original documents submitted to us as certified, conformed or photographic copies thereof, the genuineness of all signatures and the due authenticity of all persons executing such documents. We have assumed the same to have been properly given and to be accurate. We have also assumed the truth of all facts communicated to us by the Company and that all consents, minutes and protocols of meetings of the Company’s board of directors which have been provided to us are true and accurate and have been properly prepared in accordance with the Company’s Articles of Association (as amended) and all applicable laws. In addition, we have assumed that the Company will receive the full consideration for the Shares (which may consist, in part or in full, of services performed for the Company).</w:t>
      </w:r>
    </w:p>
    <w:p>
      <w:pPr>
        <w:spacing w:after="0" w:line="165" w:lineRule="exact"/>
        <w:rPr>
          <w:sz w:val="20"/>
          <w:szCs w:val="20"/>
          <w:color w:val="auto"/>
        </w:rPr>
      </w:pPr>
    </w:p>
    <w:p>
      <w:pPr>
        <w:ind w:right="280" w:firstLine="627"/>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7" w:lineRule="exact"/>
        <w:rPr>
          <w:sz w:val="20"/>
          <w:szCs w:val="20"/>
          <w:color w:val="auto"/>
        </w:rPr>
      </w:pPr>
    </w:p>
    <w:p>
      <w:pPr>
        <w:ind w:right="80" w:firstLine="627"/>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and reserved for issuance and, when issued and paid for, will be legally issued, fully paid and non-assessable.</w:t>
      </w:r>
    </w:p>
    <w:p>
      <w:pPr>
        <w:spacing w:after="0" w:line="170" w:lineRule="exact"/>
        <w:rPr>
          <w:sz w:val="20"/>
          <w:szCs w:val="20"/>
          <w:color w:val="auto"/>
        </w:rPr>
      </w:pPr>
    </w:p>
    <w:p>
      <w:pPr>
        <w:jc w:val="both"/>
        <w:ind w:right="220" w:firstLine="627"/>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In giving this opinion and such consent, we do not admit that we are within the category of persons whose consent is required under Section 7 of the Securities Act, the rules and regulations of the Securities and Exchange Commission promulgated thereunder or Item 509 of Regulation S-K promulgated under the Securities Act.</w:t>
      </w:r>
    </w:p>
    <w:p>
      <w:pPr>
        <w:spacing w:after="0" w:line="166" w:lineRule="exact"/>
        <w:rPr>
          <w:sz w:val="20"/>
          <w:szCs w:val="20"/>
          <w:color w:val="auto"/>
        </w:rPr>
      </w:pPr>
    </w:p>
    <w:p>
      <w:pPr>
        <w:ind w:right="20" w:firstLine="627"/>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Meitar Liquornik Geva Leshem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Meitar Liquornik Geva Leshem Tal</w:t>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2015 Incentive Compensation Plan of Kornit Digital Ltd. of our report, dated March 30, 2017, with respect to the consolidated financial statements of Kornit Digital Ltd. and its subsidiaries included in its Annual Report (Form 20-F) for the year ended December 31, 2016, filed with the Securities and Exchange Commission.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860" w:type="dxa"/>
            <w:vAlign w:val="bottom"/>
          </w:tcPr>
          <w:p>
            <w:pPr>
              <w:spacing w:after="0"/>
              <w:rPr>
                <w:sz w:val="21"/>
                <w:szCs w:val="21"/>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Kost Forer Gabbay &amp; Kasierer</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rPr>
              <w:t>Tel-Aviv, Israel</w:t>
            </w:r>
          </w:p>
        </w:tc>
        <w:tc>
          <w:tcPr>
            <w:tcW w:w="4560" w:type="dxa"/>
            <w:vAlign w:val="bottom"/>
          </w:tcPr>
          <w:p>
            <w:pPr>
              <w:jc w:val="center"/>
              <w:spacing w:after="0" w:line="201" w:lineRule="exact"/>
              <w:rPr>
                <w:sz w:val="20"/>
                <w:szCs w:val="20"/>
                <w:color w:val="auto"/>
              </w:rPr>
            </w:pPr>
            <w:r>
              <w:rPr>
                <w:rFonts w:ascii="Arial" w:cs="Arial" w:eastAsia="Arial" w:hAnsi="Arial"/>
                <w:sz w:val="18"/>
                <w:szCs w:val="18"/>
                <w:color w:val="auto"/>
                <w:w w:val="97"/>
              </w:rPr>
              <w:t>KOST FORER GABBAY &amp; KASIERER</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March 30, 2017</w:t>
            </w: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A Member of Ernst &amp; Young Global</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2019-12-08T01:03:10Z</dcterms:created>
  <dcterms:modified xsi:type="dcterms:W3CDTF">2019-12-08T01:03:10Z</dcterms:modified>
</cp:coreProperties>
</file>