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r>
        <w:rPr>
          <w:rFonts w:ascii="Times New Roman" w:cs="Times New Roman" w:eastAsia="Times New Roman" w:hAnsi="Times New Roman"/>
          <w:sz w:val="21"/>
          <w:szCs w:val="2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29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001-36903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12 Ha`Amal St., Afek Park, Rosh-Ha`Ayin</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4809246</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Lauri Hanover, Chief Financial Officer, +97235148777</w:t>
      </w:r>
    </w:p>
    <w:p>
      <w:pPr>
        <w:spacing w:after="0" w:line="3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Kornit Digital Ltd.’s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Conflict Minerals Report is provided as Exhibit 1.01 to this Form SD and is publicly available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http://www.kornit.com/conflict-minerals-policy/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contents of the website referred to in this Form SD is included for general information only and is not incorporated by reference in this Form SD.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its Conflict Minerals Report as Exhibit 1.01 hereto as required by Item 1.01 of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 1.01 -</w:t>
      </w:r>
      <w:r>
        <w:rPr>
          <w:sz w:val="20"/>
          <w:szCs w:val="20"/>
          <w:color w:val="auto"/>
        </w:rPr>
        <w:tab/>
      </w:r>
      <w:r>
        <w:rPr>
          <w:rFonts w:ascii="Times New Roman" w:cs="Times New Roman" w:eastAsia="Times New Roman" w:hAnsi="Times New Roman"/>
          <w:sz w:val="17"/>
          <w:szCs w:val="17"/>
          <w:u w:val="single" w:color="auto"/>
          <w:color w:val="0000EE"/>
        </w:rPr>
        <w:t>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Kornit Digital Ltd.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29,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 company</w:t>
      </w:r>
      <w:r>
        <w:rPr>
          <w:rFonts w:ascii="Times New Roman" w:cs="Times New Roman" w:eastAsia="Times New Roman" w:hAnsi="Times New Roman"/>
          <w:sz w:val="18"/>
          <w:szCs w:val="18"/>
          <w:color w:val="auto"/>
        </w:rPr>
        <w:t>”) is a leading global developer and provider of innovative digital solutions for the printed textile industry. We aim to transform the industry by shifting demand generators and fulfillers from outdated and stagnant analog processes to innovative digital processes. Our solutions are designed to enable our customers to remain relevant, reduce waste, and adapt to shifting supply chain dynamics.</w:t>
      </w:r>
    </w:p>
    <w:p>
      <w:pPr>
        <w:spacing w:after="0" w:line="180"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We focus on the rapidly growing high throughput DTG (direct to garment) and DTF (direct to fabric) segments of the printed textile industry. Our solutions include our proprietary digital printing systems, ink, and other consumables, associated software and value-added services. These solutions allow for printing large scale, short to medium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16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are offering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blends,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and Presto MAX, like our predecessor DTF product, the Allegro, utilize our proprietary wet-on-wet printing methodology and house an integrated drying and curing system. It offers the sole single-step, eco-friendly, stand-alone industrial DTF digital textile printing solution available on the market, following its predecessor the Allegro. We primarily sell the Presto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Max we are well positioned to take advantage of the growing trend towards customized fashion, home décor and on-demand fabric printing, where there is an increased focus on sustainable production.</w:t>
      </w:r>
    </w:p>
    <w:p>
      <w:pPr>
        <w:spacing w:after="0" w:line="1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an attractive business model, with our growing installed base of systems driving recurring sales of ink and other consumables. Our ink and other consumables are specially formulated to enable our systems to operate at the highest throughput level while adhering to high print quality requirements.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intend to capitalize on the continued growth of the DTG market by expanding our diverse global customer base, focusing particularly on fast-growing web-to-print businesses.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 We constantly explore the possibility of adding new business models and concepts designed to grow our business and cater to our customers’ needs. We have recently begun piloting with our Apollo system, a new model, based on a price per impression produced on our system, which includes use of the system, consumables and service.</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with a trend towards adopting a direct sales model in certain key markets. We have historically generated a significant portion of our sales through a global network of independent agents,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or by service engineers employed by our distributors. This varies among the four regions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Kornit was founded in 2002 in Israel, shipped its first system in 2005 and, as of December 31, 2023, had approximately 1,100 active customers globally. As of December 31, 2023, we had 873 employees located primarily across four regions: Israel, America, Europe, and Asia Pacific. In the year ended December 31, 2023, we generated revenues of $219.8 million, representing a decrease of 19% as compared with the prior fiscal year. In the year ended December 31, 2023, we generated 56.2% of our revenues from the Americas region, 27.6% from the Europe, Middle East, and Asia (“</w:t>
      </w:r>
      <w:r>
        <w:rPr>
          <w:rFonts w:ascii="Times New Roman" w:cs="Times New Roman" w:eastAsia="Times New Roman" w:hAnsi="Times New Roman"/>
          <w:sz w:val="18"/>
          <w:szCs w:val="18"/>
          <w:b w:val="1"/>
          <w:bCs w:val="1"/>
          <w:color w:val="auto"/>
        </w:rPr>
        <w:t>EMEA</w:t>
      </w:r>
      <w:r>
        <w:rPr>
          <w:rFonts w:ascii="Times New Roman" w:cs="Times New Roman" w:eastAsia="Times New Roman" w:hAnsi="Times New Roman"/>
          <w:sz w:val="18"/>
          <w:szCs w:val="18"/>
          <w:color w:val="auto"/>
        </w:rPr>
        <w:t>”) region, 10.0% from the Asia Pacific region and 6.2% from other regions.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 Rule Overview, Scope, and Covered Products: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color w:val="auto"/>
        </w:rPr>
        <w:t>Issuers that file reports with the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under Sections 13(a) or 15(d) of the Securities Exchange Act of 1934, as amended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must comply with Section 1502 of the Dodd-Frank Wall Street Reform and Consumer Protection Act of 2010, which contains reporting requirements associated with conflict minerals that are necessary to the functionality or production of a product manufactured, or contracted to be manufactured, by an issuer. These reporting requirements are implemented by the SEC’s Rule 13p-1 under the Exchange Act (the “</w:t>
      </w:r>
      <w:r>
        <w:rPr>
          <w:rFonts w:ascii="Times New Roman" w:cs="Times New Roman" w:eastAsia="Times New Roman" w:hAnsi="Times New Roman"/>
          <w:sz w:val="17"/>
          <w:szCs w:val="17"/>
          <w:b w:val="1"/>
          <w:bCs w:val="1"/>
          <w:color w:val="auto"/>
        </w:rPr>
        <w:t>Rule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 registrant cannot establish with absolute certainty that the necessary conflict minerals in its products originated from sources other than the Democratic Republic of the Congo (“</w:t>
      </w:r>
      <w:r>
        <w:rPr>
          <w:rFonts w:ascii="Times New Roman" w:cs="Times New Roman" w:eastAsia="Times New Roman" w:hAnsi="Times New Roman"/>
          <w:sz w:val="18"/>
          <w:szCs w:val="18"/>
          <w:b w:val="1"/>
          <w:bCs w:val="1"/>
          <w:color w:val="auto"/>
        </w:rPr>
        <w:t>DRC</w:t>
      </w:r>
      <w:r>
        <w:rPr>
          <w:rFonts w:ascii="Times New Roman" w:cs="Times New Roman" w:eastAsia="Times New Roman" w:hAnsi="Times New Roman"/>
          <w:sz w:val="18"/>
          <w:szCs w:val="18"/>
          <w:color w:val="auto"/>
        </w:rPr>
        <w:t>”) or an adjoining country (the “</w:t>
      </w:r>
      <w:r>
        <w:rPr>
          <w:rFonts w:ascii="Times New Roman" w:cs="Times New Roman" w:eastAsia="Times New Roman" w:hAnsi="Times New Roman"/>
          <w:sz w:val="18"/>
          <w:szCs w:val="18"/>
          <w:b w:val="1"/>
          <w:bCs w:val="1"/>
          <w:color w:val="auto"/>
        </w:rPr>
        <w:t>Covered Countries</w:t>
      </w:r>
      <w:r>
        <w:rPr>
          <w:rFonts w:ascii="Times New Roman" w:cs="Times New Roman" w:eastAsia="Times New Roman" w:hAnsi="Times New Roman"/>
          <w:sz w:val="18"/>
          <w:szCs w:val="18"/>
          <w:color w:val="auto"/>
        </w:rPr>
        <w:t>”), or originate solely from recycled and/or scrap sources, the registrant must submit a specialized disclosure report under Form SD that describes the steps that the registrant took to determine the origin, or likely origin, of the necessary conflict minerals in its products or in the manufacture of its products.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an SEC-registered issuer that offers products that include tin, tungsten, tantalum, and gold (“Conflict Minerals”) that are necessary for the production and/or functionality of those manufactured products, we are subject to this Rule. As part of our company’s desire to take responsibility for and concern ourselves with human rights issues, we decided to review our company’s supply chain according to the EU regulation’s guidance as well, and, based on that guidance, have included conflict-affected or high-risk areas (“</w:t>
      </w:r>
      <w:r>
        <w:rPr>
          <w:rFonts w:ascii="Times New Roman" w:cs="Times New Roman" w:eastAsia="Times New Roman" w:hAnsi="Times New Roman"/>
          <w:sz w:val="18"/>
          <w:szCs w:val="18"/>
          <w:b w:val="1"/>
          <w:bCs w:val="1"/>
          <w:color w:val="auto"/>
        </w:rPr>
        <w:t>CAHRAs</w:t>
      </w:r>
      <w:r>
        <w:rPr>
          <w:rFonts w:ascii="Times New Roman" w:cs="Times New Roman" w:eastAsia="Times New Roman" w:hAnsi="Times New Roman"/>
          <w:sz w:val="18"/>
          <w:szCs w:val="18"/>
          <w:color w:val="auto"/>
        </w:rPr>
        <w:t>”) when approaching suppliers for information. As such, we conduct due diligence on our minerals supply chain according to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(2016) and related Supplements (the “</w:t>
      </w:r>
      <w:r>
        <w:rPr>
          <w:rFonts w:ascii="Times New Roman" w:cs="Times New Roman" w:eastAsia="Times New Roman" w:hAnsi="Times New Roman"/>
          <w:sz w:val="18"/>
          <w:szCs w:val="18"/>
          <w:b w:val="1"/>
          <w:bCs w:val="1"/>
          <w:color w:val="auto"/>
        </w:rPr>
        <w:t>OECD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Diligence Guidance</w:t>
      </w:r>
      <w:r>
        <w:rPr>
          <w:rFonts w:ascii="Times New Roman" w:cs="Times New Roman" w:eastAsia="Times New Roman" w:hAnsi="Times New Roman"/>
          <w:sz w:val="18"/>
          <w:szCs w:val="18"/>
          <w:color w:val="auto"/>
        </w:rPr>
        <w:t>”). It should be noted that our company does not directly purchase or procure raw materials from the mine sites, as we are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downstream company. Instead, we (or our suppliers) purchase cassiterite, columbite-tantalite (coltan), wolframite, gold, or their derivatives, which presently are limited to tin, tantalum, tungsten, and gold (collectively “</w:t>
      </w:r>
      <w:r>
        <w:rPr>
          <w:rFonts w:ascii="Times New Roman" w:cs="Times New Roman" w:eastAsia="Times New Roman" w:hAnsi="Times New Roman"/>
          <w:sz w:val="18"/>
          <w:szCs w:val="18"/>
          <w:b w:val="1"/>
          <w:bCs w:val="1"/>
          <w:color w:val="auto"/>
        </w:rPr>
        <w:t>3TG</w:t>
      </w:r>
      <w:r>
        <w:rPr>
          <w:rFonts w:ascii="Times New Roman" w:cs="Times New Roman" w:eastAsia="Times New Roman" w:hAnsi="Times New Roman"/>
          <w:sz w:val="18"/>
          <w:szCs w:val="18"/>
          <w:color w:val="auto"/>
        </w:rPr>
        <w:t>”) - related materials, after processing by smelters or refiners.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Kornit is committed to responsible sourcing practices and ensuring that it does not benefit, directly or indirectly, from the propagation of armed conflict or human rights abuses in areas of conflict, such as the CAHRAs. The goal of the due diligence process is not to eliminate sourcing from the CAHRAs,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2023, as detailed in the reasonable country of origin inquiry (“</w:t>
      </w:r>
      <w:r>
        <w:rPr>
          <w:rFonts w:ascii="Times New Roman" w:cs="Times New Roman" w:eastAsia="Times New Roman" w:hAnsi="Times New Roman"/>
          <w:sz w:val="18"/>
          <w:szCs w:val="18"/>
          <w:b w:val="1"/>
          <w:bCs w:val="1"/>
          <w:color w:val="auto"/>
        </w:rPr>
        <w:t>RCOI</w:t>
      </w:r>
      <w:r>
        <w:rPr>
          <w:rFonts w:ascii="Times New Roman" w:cs="Times New Roman" w:eastAsia="Times New Roman" w:hAnsi="Times New Roman"/>
          <w:sz w:val="18"/>
          <w:szCs w:val="18"/>
          <w:color w:val="auto"/>
        </w:rPr>
        <w:t>”) section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36" w:lineRule="exact"/>
        <w:rPr>
          <w:sz w:val="20"/>
          <w:szCs w:val="20"/>
          <w:color w:val="auto"/>
        </w:rPr>
      </w:pPr>
    </w:p>
    <w:p>
      <w:pPr>
        <w:ind w:right="6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our Conflict Minerals Policy, which can be viewed at: </w:t>
      </w:r>
      <w:r>
        <w:rPr>
          <w:rFonts w:ascii="Times New Roman" w:cs="Times New Roman" w:eastAsia="Times New Roman" w:hAnsi="Times New Roman"/>
          <w:sz w:val="18"/>
          <w:szCs w:val="18"/>
          <w:b w:val="1"/>
          <w:bCs w:val="1"/>
          <w:color w:val="auto"/>
        </w:rPr>
        <w:t>http://www.kornit.com/conflict-minerals-policy/</w:t>
      </w:r>
      <w:r>
        <w:rPr>
          <w:rFonts w:ascii="Times New Roman" w:cs="Times New Roman" w:eastAsia="Times New Roman" w:hAnsi="Times New Roman"/>
          <w:sz w:val="18"/>
          <w:szCs w:val="18"/>
          <w:color w:val="auto"/>
        </w:rPr>
        <w:t>, which is not incorporated by reference herein, Kornit has concluded in good faith that during the 2023 calendar year, we have manufactured and contracted to manufacture products containing all four Conflict Minerals and have determined that the use of these minerals is necessary to the functionality or production of our products.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firstLine="648"/>
        <w:spacing w:after="0" w:line="256" w:lineRule="auto"/>
        <w:rPr>
          <w:sz w:val="20"/>
          <w:szCs w:val="20"/>
          <w:color w:val="auto"/>
        </w:rPr>
      </w:pPr>
      <w:r>
        <w:rPr>
          <w:rFonts w:ascii="Times New Roman" w:cs="Times New Roman" w:eastAsia="Times New Roman" w:hAnsi="Times New Roman"/>
          <w:sz w:val="18"/>
          <w:szCs w:val="18"/>
          <w:color w:val="auto"/>
        </w:rPr>
        <w:t>We performed an RCOI simultaneously with the due diligence phase through which we sought to determine whether the Conflict Minerals necessary for the functionality or production of our products did or did not receive a compliant or active designation from the Responsible Minerals Initiative’s (“</w:t>
      </w:r>
      <w:r>
        <w:rPr>
          <w:rFonts w:ascii="Times New Roman" w:cs="Times New Roman" w:eastAsia="Times New Roman" w:hAnsi="Times New Roman"/>
          <w:sz w:val="18"/>
          <w:szCs w:val="18"/>
          <w:b w:val="1"/>
          <w:bCs w:val="1"/>
          <w:color w:val="auto"/>
        </w:rPr>
        <w:t>RMI</w:t>
      </w:r>
      <w:r>
        <w:rPr>
          <w:rFonts w:ascii="Times New Roman" w:cs="Times New Roman" w:eastAsia="Times New Roman" w:hAnsi="Times New Roman"/>
          <w:sz w:val="18"/>
          <w:szCs w:val="18"/>
          <w:color w:val="auto"/>
        </w:rPr>
        <w:t xml:space="preserve">”) independent smelter and refiner validation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Responsible Minerals Assurance Process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This was conducted simultaneously due to the large number of applicable suppliers from which we source materials that we surveyed and the timeframe in which we needed to complete both the RCOI and due diligence efforts. Our RCOI employed several methods to assess whether the necessary Conflict Minerals in our products originated, or likely originated, from CAHRAs.</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Based on the RCOI conducted, Kornit has reason to believe that a portion of the Conflict Minerals that are necessary for the functionality of its products originated, or likely originated, in the CAHRAs, and has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Based on this result, we conducted due diligence activities and have detailed those efforts in this Conflict Minerals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Rule and Form SD, we undertook due diligence to determine whether the Conflict Minerals necessary for the functionality or production of our products, which were manufactured, or contracted to manufacture in 2023, originated from smelters or refiners (“</w:t>
      </w:r>
      <w:r>
        <w:rPr>
          <w:rFonts w:ascii="Times New Roman" w:cs="Times New Roman" w:eastAsia="Times New Roman" w:hAnsi="Times New Roman"/>
          <w:sz w:val="18"/>
          <w:szCs w:val="18"/>
          <w:b w:val="1"/>
          <w:bCs w:val="1"/>
          <w:color w:val="auto"/>
        </w:rPr>
        <w:t>SoRs</w:t>
      </w:r>
      <w:r>
        <w:rPr>
          <w:rFonts w:ascii="Times New Roman" w:cs="Times New Roman" w:eastAsia="Times New Roman" w:hAnsi="Times New Roman"/>
          <w:sz w:val="18"/>
          <w:szCs w:val="18"/>
          <w:color w:val="auto"/>
        </w:rPr>
        <w:t>”) that have received a complaint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(OECD, 2016) (“</w:t>
      </w:r>
      <w:r>
        <w:rPr>
          <w:rFonts w:ascii="Times New Roman" w:cs="Times New Roman" w:eastAsia="Times New Roman" w:hAnsi="Times New Roman"/>
          <w:sz w:val="18"/>
          <w:szCs w:val="18"/>
          <w:b w:val="1"/>
          <w:bCs w:val="1"/>
          <w:color w:val="auto"/>
        </w:rPr>
        <w:t>OECD Framework</w:t>
      </w:r>
      <w:r>
        <w:rPr>
          <w:rFonts w:ascii="Times New Roman" w:cs="Times New Roman" w:eastAsia="Times New Roman" w:hAnsi="Times New Roman"/>
          <w:sz w:val="18"/>
          <w:szCs w:val="18"/>
          <w:color w:val="auto"/>
        </w:rPr>
        <w:t>”) and related supplements for Conflict Minerals.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due diligence measures we undertook consisted primarily of:</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Establishing strong company management systems - We reviewed and maintained our management systems that had been previously established through the following actions:</w:t>
      </w:r>
    </w:p>
    <w:p>
      <w:pPr>
        <w:spacing w:after="0" w:line="162" w:lineRule="exact"/>
        <w:rPr>
          <w:sz w:val="20"/>
          <w:szCs w:val="20"/>
          <w:color w:val="auto"/>
        </w:rPr>
      </w:pPr>
    </w:p>
    <w:p>
      <w:pPr>
        <w:ind w:left="980" w:right="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policy, Kornit strives to only use 3TG minerals from smelters or refiners that have been audited and verified as conflict-free compliant or active by the Responsible Minerals Assurance Process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and requires its suppliers to only source 3TG minerals from verified smelters or refiners. More information on our sourcing expectations of suppliers can be found in our Conflict Minerals Policy, which is available at the following link: http://www.kornit.com/conflict-minerals-policy/, which is not incorporated by reference herein.</w:t>
      </w:r>
    </w:p>
    <w:p>
      <w:pPr>
        <w:spacing w:after="0" w:line="179"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Conflict Minerals Governance Charter to set the Conflict Minerals annual work plan including: our steps for compliance, objectives, timelines, internal management, and cross functional team (such as supplier management, engineering, finance and legal) with identified roles and responsibilities, all to support supply chain due diligence.</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jc w:val="both"/>
        <w:ind w:left="980" w:right="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6.01 or above).</w:t>
      </w:r>
    </w:p>
    <w:p>
      <w:pPr>
        <w:spacing w:after="0" w:line="17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conflict minerals provision in our standard Terms and Conditions of Purchase to require suppliers to fully support Kornit’s efforts to keep its supply chain free from conflict minerals and comply with applicable governmental laws.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process whereby we communicate the due diligence efforts to customers, suppliers and other relevant functions in our organization, as applicable.</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grievance mechanism whereby concerns and violations of the Conflict Minerals Policy should be reported to Kornit’s Chief Financial Officer and/or Global Product Regulation and Sustainability Manager (at Nir.Gonen@kornit.com).</w:t>
      </w:r>
    </w:p>
    <w:p>
      <w:pPr>
        <w:spacing w:after="0" w:line="161" w:lineRule="exact"/>
        <w:rPr>
          <w:rFonts w:ascii="Times New Roman" w:cs="Times New Roman" w:eastAsia="Times New Roman" w:hAnsi="Times New Roman"/>
          <w:sz w:val="18"/>
          <w:szCs w:val="18"/>
          <w:color w:val="auto"/>
        </w:rPr>
      </w:pPr>
    </w:p>
    <w:p>
      <w:pPr>
        <w:ind w:right="6300" w:firstLine="656"/>
        <w:spacing w:after="0" w:line="500" w:lineRule="auto"/>
        <w:tabs>
          <w:tab w:leader="none" w:pos="98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relevant records for a minimum of five years. </w:t>
      </w:r>
      <w:r>
        <w:rPr>
          <w:rFonts w:ascii="Times New Roman" w:cs="Times New Roman" w:eastAsia="Times New Roman" w:hAnsi="Times New Roman"/>
          <w:sz w:val="18"/>
          <w:szCs w:val="18"/>
          <w:b w:val="1"/>
          <w:bCs w:val="1"/>
          <w:color w:val="auto"/>
        </w:rPr>
        <w:t>b. Identified and assessed risks in the supply chain</w:t>
      </w:r>
    </w:p>
    <w:p>
      <w:pPr>
        <w:spacing w:after="0" w:line="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3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2023 and the extent to which we are dependent upon any particular supplier or, conversely, the availability of alternative suppliers.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sent periodic reminders to any non-responsive suppliers to provide surveys or updated responses. We have identified, to the best of our efforts, the smelters/refiners in the supply chain by conducting a supply chain survey using the CMRT version 6.01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complaint or active designation from the Responsible Minerals Assurance Process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xml:space="preserve">”), or other independent third-party audit programs. We documented the country of origin, or likely country of origin, information for the smelters or refiners identified in the supply chain survey as provided from the different sources, as reported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Designed and implemented a strategy to respond to identified risks.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findings of the supply chain risk assessment and due diligence process are reported to designated members of our senior management team — our CEO, CFO, EVP Operations, General Counsel and ESG Director, and Supply Chain Director, who are updated regarding major findings and/or red flags, as they arise. As part of our risk management strategy, we continue to conduct business with any flagged supplier while we investigate such supplier’s’ sourcing practices.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contact suppliers whose responses are identified as incomplete, inconsistent, or inaccurate. We also review supplier responses to track smelters or refiners in our supply chain that supply us with Conflict Minerals and have not received a compliant or active designation based on the RMI’s RMAP or other independent third-party validation programs.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referred suppliers to training materials online that included an overview of the Rule and instructions on how to complete the Conflict Minerals Reporting Template. We also sent follow up letters to unresponsive suppliers as well as those suppliers that declared the existence of Conflict Minerals in their supply chain from the CAHRAs from uncertified smelters or refiners, according to the RMI’s Standard Smelter List that provides an indication of all the smelters or refiners that are conformant or active according to the RMAP audit. These are suppliers that we classify as high risk.</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Reviewed independent third-party audit of smelter/refiner due diligence practices.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a downstream company and are multiple layers removed from the smelters or refiners that directly process the minerals and mineral ores that are essential to the production or functionality of our products,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necessary Conflict Minerals. Our constitution as a downstream company means that we do not directly perform audits of the smelters or refiners in its mineral supply chain. As a result, our due diligence efforts relied on reviewing information on the status of smelters or refiners participating in Third Party Audit programs and cross-industry initiatives, such as those led by the RMI’s RMAP.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Prepared an annual report on supply chain due diligence.</w:t>
      </w:r>
    </w:p>
    <w:p>
      <w:pPr>
        <w:spacing w:after="0" w:line="229" w:lineRule="exact"/>
        <w:rPr>
          <w:sz w:val="20"/>
          <w:szCs w:val="20"/>
          <w:color w:val="auto"/>
        </w:rPr>
      </w:pPr>
    </w:p>
    <w:p>
      <w:pPr>
        <w:ind w:right="240" w:firstLine="641"/>
        <w:spacing w:after="0" w:line="266" w:lineRule="auto"/>
        <w:rPr>
          <w:sz w:val="20"/>
          <w:szCs w:val="20"/>
          <w:color w:val="auto"/>
        </w:rPr>
      </w:pPr>
      <w:r>
        <w:rPr>
          <w:rFonts w:ascii="Times New Roman" w:cs="Times New Roman" w:eastAsia="Times New Roman" w:hAnsi="Times New Roman"/>
          <w:sz w:val="18"/>
          <w:szCs w:val="18"/>
          <w:color w:val="auto"/>
        </w:rPr>
        <w:t xml:space="preserve">Kornit’s Conflict Mineral Policy states that we will comply with Section 1502 of the Dodd Frank Act, which includes filing a Form SD and this Conflict Minerals report with the SEC annually and posting such report publicly on our website at: </w:t>
      </w:r>
      <w:r>
        <w:rPr>
          <w:rFonts w:ascii="Times New Roman" w:cs="Times New Roman" w:eastAsia="Times New Roman" w:hAnsi="Times New Roman"/>
          <w:sz w:val="18"/>
          <w:szCs w:val="18"/>
          <w:b w:val="1"/>
          <w:bCs w:val="1"/>
          <w:color w:val="auto"/>
        </w:rPr>
        <w:t xml:space="preserve">https://ir.kornit.com/financial-information/sec-filings?items_per_page=10&amp;page=2 </w:t>
      </w:r>
      <w:r>
        <w:rPr>
          <w:rFonts w:ascii="Times New Roman" w:cs="Times New Roman" w:eastAsia="Times New Roman" w:hAnsi="Times New Roman"/>
          <w:sz w:val="18"/>
          <w:szCs w:val="18"/>
          <w:color w:val="auto"/>
        </w:rPr>
        <w:t>. We have included such report on our website for the calendar year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Assessment</w:t>
      </w:r>
    </w:p>
    <w:p>
      <w:pPr>
        <w:spacing w:after="0" w:line="225"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 xml:space="preserve">We conducted a supply-chain survey of the </w:t>
      </w:r>
      <w:r>
        <w:rPr>
          <w:rFonts w:ascii="Times New Roman" w:cs="Times New Roman" w:eastAsia="Times New Roman" w:hAnsi="Times New Roman"/>
          <w:sz w:val="17"/>
          <w:szCs w:val="17"/>
          <w:b w:val="1"/>
          <w:bCs w:val="1"/>
          <w:color w:val="auto"/>
        </w:rPr>
        <w:t>320</w:t>
      </w:r>
      <w:r>
        <w:rPr>
          <w:rFonts w:ascii="Times New Roman" w:cs="Times New Roman" w:eastAsia="Times New Roman" w:hAnsi="Times New Roman"/>
          <w:sz w:val="17"/>
          <w:szCs w:val="17"/>
          <w:color w:val="auto"/>
        </w:rPr>
        <w:t xml:space="preserve"> direct suppliers and manufacturers that we identified as contributing the necessary conflict minerals to our products. Based on the survey, we are unable to determine with any level of certainty as to whether or not the Conflict Minerals used in our products may or may not have directly or indirectly financed armed groups in the CAHRAs. The overall response rate to our survey was approximately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62.14%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which responses contained the names and locations of smelters or refiners (see Annex 1) and the reasonable countries of origin see (Annex 2) that process Conflict Minerals.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this response rate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relevant suppliers that responded to the supply chain inquiry in 2023):</w:t>
      </w:r>
    </w:p>
    <w:p>
      <w:pPr>
        <w:spacing w:after="0" w:line="22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0.89% suppliers were classified as “DRC conflict free”</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10.71% suppliers were classified as “Free no 3TG”</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12.5% suppliers were classified as “Undefined from DRC”</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12.05% suppliers were classified as “Undetermined not from DRC”</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32.59% suppliers were classified as “Undetermined from DRC”</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31.25% suppliers were classified as “Not from DRC”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The response rate includes those who reported with the new version and without it (6.13 &amp; 6.22).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CMRT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DRC conflict free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no 3TG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Undefined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Undetermined not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Undetermined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31.25%</w:t>
            </w: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above have the following meaning as part of our due diligence efforts:</w:t>
      </w:r>
    </w:p>
    <w:p>
      <w:pPr>
        <w:spacing w:after="0" w:line="221" w:lineRule="exact"/>
        <w:rPr>
          <w:sz w:val="20"/>
          <w:szCs w:val="20"/>
          <w:color w:val="auto"/>
        </w:rPr>
      </w:pPr>
    </w:p>
    <w:p>
      <w:pPr>
        <w:ind w:left="980" w:right="260" w:hanging="324"/>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DRC conflict free</w:t>
      </w:r>
      <w:r>
        <w:rPr>
          <w:rFonts w:ascii="Times New Roman" w:cs="Times New Roman" w:eastAsia="Times New Roman" w:hAnsi="Times New Roman"/>
          <w:sz w:val="18"/>
          <w:szCs w:val="18"/>
          <w:color w:val="auto"/>
        </w:rPr>
        <w:t>” indicates the suppliers that reported that the Conflict Minerals being used in the products provided to Kornit originate from the DRC or the Covered Countries, but the smelters or refiners are approved by the RMI RMAP Program (“Responsible Minerals Assurance Process”).</w:t>
      </w:r>
    </w:p>
    <w:p>
      <w:pPr>
        <w:spacing w:after="0" w:line="170" w:lineRule="exact"/>
        <w:rPr>
          <w:rFonts w:ascii="Times New Roman" w:cs="Times New Roman" w:eastAsia="Times New Roman" w:hAnsi="Times New Roman"/>
          <w:sz w:val="18"/>
          <w:szCs w:val="18"/>
          <w:color w:val="auto"/>
        </w:rPr>
      </w:pPr>
    </w:p>
    <w:p>
      <w:pPr>
        <w:ind w:left="980" w:right="340" w:hanging="324"/>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no 3TG</w:t>
      </w:r>
      <w:r>
        <w:rPr>
          <w:rFonts w:ascii="Times New Roman" w:cs="Times New Roman" w:eastAsia="Times New Roman" w:hAnsi="Times New Roman"/>
          <w:sz w:val="18"/>
          <w:szCs w:val="18"/>
          <w:color w:val="auto"/>
        </w:rPr>
        <w:t>” indicates the suppliers that reported that Conflict Minerals are not contained in the product, nor are they necessary for the functionality or included in the production of the products provided to Kornit.</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Undefined from DRC”</w:t>
      </w:r>
      <w:r>
        <w:rPr>
          <w:rFonts w:ascii="Times New Roman" w:cs="Times New Roman" w:eastAsia="Times New Roman" w:hAnsi="Times New Roman"/>
          <w:sz w:val="18"/>
          <w:szCs w:val="18"/>
          <w:color w:val="auto"/>
        </w:rPr>
        <w:t xml:space="preserve"> indicates the suppliers that reported the Conflict Minerals being used in the products provided to Kornit originate, or likely originate from the DRC or the Covered Countries. The smelters or refiners are not approved by the RMI’s RMAP.</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not from DRC</w:t>
      </w:r>
      <w:r>
        <w:rPr>
          <w:rFonts w:ascii="Times New Roman" w:cs="Times New Roman" w:eastAsia="Times New Roman" w:hAnsi="Times New Roman"/>
          <w:sz w:val="18"/>
          <w:szCs w:val="18"/>
          <w:color w:val="auto"/>
        </w:rPr>
        <w:t>” indicates the suppliers that reported the Conflict Minerals being used in the products do not originate 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70"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from DRC</w:t>
      </w:r>
      <w:r>
        <w:rPr>
          <w:rFonts w:ascii="Times New Roman" w:cs="Times New Roman" w:eastAsia="Times New Roman" w:hAnsi="Times New Roman"/>
          <w:sz w:val="18"/>
          <w:szCs w:val="18"/>
          <w:color w:val="auto"/>
        </w:rPr>
        <w:t>” indicates the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p>
      <w:pPr>
        <w:spacing w:after="0" w:line="176" w:lineRule="exact"/>
        <w:rPr>
          <w:rFonts w:ascii="Times New Roman" w:cs="Times New Roman" w:eastAsia="Times New Roman" w:hAnsi="Times New Roman"/>
          <w:sz w:val="18"/>
          <w:szCs w:val="18"/>
          <w:color w:val="auto"/>
        </w:rPr>
      </w:pPr>
    </w:p>
    <w:p>
      <w:pPr>
        <w:ind w:left="980" w:right="400" w:hanging="324"/>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from DRC</w:t>
      </w:r>
      <w:r>
        <w:rPr>
          <w:rFonts w:ascii="Times New Roman" w:cs="Times New Roman" w:eastAsia="Times New Roman" w:hAnsi="Times New Roman"/>
          <w:sz w:val="18"/>
          <w:szCs w:val="18"/>
          <w:color w:val="auto"/>
        </w:rPr>
        <w:t>” indicates the suppliers that reported sourcing Conflict Minerals, but from countries other than the DRC or the Covered Countries.</w:t>
      </w:r>
    </w:p>
    <w:p>
      <w:pPr>
        <w:spacing w:after="0" w:line="159" w:lineRule="exact"/>
        <w:rPr>
          <w:sz w:val="20"/>
          <w:szCs w:val="20"/>
          <w:color w:val="auto"/>
        </w:rPr>
      </w:pPr>
    </w:p>
    <w:p>
      <w:pPr>
        <w:ind w:left="20"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cannot assert with any level of certainty that our conclusions regarding the source, or likely source, and chain of custody of the necessary conflict minerals is accurate because we rely exclusively on information provided by our direct suppliers. In this regard, we have made reasonable inquiries in an effort to verify and assess the information provided based on the conclusions of an independent third-party audit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RMI’s RMAP validation program for smelters or refiners, or other relevant Third Party Audit bodies.</w:t>
      </w:r>
    </w:p>
    <w:p>
      <w:pPr>
        <w:spacing w:after="0" w:line="180" w:lineRule="exact"/>
        <w:rPr>
          <w:sz w:val="20"/>
          <w:szCs w:val="20"/>
          <w:color w:val="auto"/>
        </w:rPr>
      </w:pPr>
    </w:p>
    <w:p>
      <w:pPr>
        <w:ind w:left="20" w:right="280" w:firstLine="648"/>
        <w:spacing w:after="0" w:line="256" w:lineRule="auto"/>
        <w:rPr>
          <w:sz w:val="20"/>
          <w:szCs w:val="20"/>
          <w:color w:val="auto"/>
        </w:rPr>
      </w:pPr>
      <w:r>
        <w:rPr>
          <w:rFonts w:ascii="Times New Roman" w:cs="Times New Roman" w:eastAsia="Times New Roman" w:hAnsi="Times New Roman"/>
          <w:sz w:val="18"/>
          <w:szCs w:val="18"/>
          <w:color w:val="auto"/>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2023. Based on the lack of complete information from our suppliers, we are unable to determine with any level of certainty as to the complete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or refiners verified as conflict free or in the audit process: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9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60 of 76 (78.95%) - (58 compliant and 2 active smelters or refiners)</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9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26 of 28 (89.19%) - (26 compliant and 0 active smelters or refiners)</w:t>
            </w: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9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 of 44 (52.27%) - (23 compliant and 0 active smelters or refiners)</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9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116 of 201 (57.71%) - (114 compliant and 2 active smelters or refiners)</w:t>
            </w: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98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231 of 350 (66.00%) - (223 compliant and 8 active smelters or refiners)</w:t>
            </w:r>
          </w:p>
        </w:tc>
      </w:tr>
      <w:tr>
        <w:trPr>
          <w:trHeight w:val="682"/>
        </w:trPr>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9880" w:type="dxa"/>
            <w:vAlign w:val="bottom"/>
            <w:tcBorders>
              <w:top w:val="single" w:sz="8" w:color="CCEEFF"/>
              <w:bottom w:val="single" w:sz="8" w:color="auto"/>
            </w:tcBorders>
          </w:tcPr>
          <w:p>
            <w:pPr>
              <w:ind w:left="4220"/>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91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Smelters or refiners: </w:t>
            </w:r>
            <w:r>
              <w:rPr>
                <w:rFonts w:ascii="Times New Roman" w:cs="Times New Roman" w:eastAsia="Times New Roman" w:hAnsi="Times New Roman"/>
                <w:sz w:val="18"/>
                <w:szCs w:val="18"/>
                <w:color w:val="auto"/>
              </w:rPr>
              <w:t>2021-2022-2023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Verified Conflict Free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(63.32%)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(63.70%)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(67.36%)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Participating in an audit process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(1.15%)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(2.29%)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(5.04%)</w:t>
            </w: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Participating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 (35.53%)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 (34.00%)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 (27.60%)</w:t>
            </w:r>
          </w:p>
        </w:tc>
      </w:tr>
      <w:tr>
        <w:trPr>
          <w:trHeight w:val="175"/>
        </w:trPr>
        <w:tc>
          <w:tcPr>
            <w:tcW w:w="7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349 (100%)</w:t>
            </w:r>
          </w:p>
        </w:tc>
        <w:tc>
          <w:tcPr>
            <w:tcW w:w="12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350 (100%)</w:t>
            </w:r>
          </w:p>
        </w:tc>
        <w:tc>
          <w:tcPr>
            <w:tcW w:w="12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337 (100%)</w:t>
            </w:r>
          </w:p>
        </w:tc>
      </w:tr>
      <w:tr>
        <w:trPr>
          <w:trHeight w:val="20"/>
        </w:trPr>
        <w:tc>
          <w:tcPr>
            <w:tcW w:w="4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29" w:lineRule="exact"/>
        <w:rPr>
          <w:sz w:val="20"/>
          <w:szCs w:val="20"/>
          <w:color w:val="auto"/>
        </w:rPr>
      </w:pPr>
    </w:p>
    <w:p>
      <w:pPr>
        <w:jc w:val="both"/>
        <w:ind w:left="20" w:right="300" w:firstLine="648"/>
        <w:spacing w:after="0" w:line="266" w:lineRule="auto"/>
        <w:rPr>
          <w:sz w:val="20"/>
          <w:szCs w:val="20"/>
          <w:color w:val="auto"/>
        </w:rPr>
      </w:pPr>
      <w:r>
        <w:rPr>
          <w:rFonts w:ascii="Times New Roman" w:cs="Times New Roman" w:eastAsia="Times New Roman" w:hAnsi="Times New Roman"/>
          <w:sz w:val="18"/>
          <w:szCs w:val="18"/>
          <w:color w:val="auto"/>
        </w:rPr>
        <w:t>The statements above are based on the RCOI process and supply due diligence that we in good faith conducted for 2023. These statements are based on the information available at the time of the writing and publication of this report. A number of factors could introduce errors or otherwise may affect our conclusions.</w:t>
      </w:r>
    </w:p>
    <w:p>
      <w:pPr>
        <w:spacing w:after="0" w:line="176" w:lineRule="exact"/>
        <w:rPr>
          <w:sz w:val="20"/>
          <w:szCs w:val="20"/>
          <w:color w:val="auto"/>
        </w:rPr>
      </w:pPr>
    </w:p>
    <w:p>
      <w:pPr>
        <w:ind w:left="20" w:right="400" w:firstLine="648"/>
        <w:spacing w:after="0" w:line="258" w:lineRule="auto"/>
        <w:rPr>
          <w:sz w:val="20"/>
          <w:szCs w:val="20"/>
          <w:color w:val="auto"/>
        </w:rPr>
      </w:pPr>
      <w:r>
        <w:rPr>
          <w:rFonts w:ascii="Times New Roman" w:cs="Times New Roman" w:eastAsia="Times New Roman" w:hAnsi="Times New Roman"/>
          <w:sz w:val="18"/>
          <w:szCs w:val="18"/>
          <w:color w:val="auto"/>
        </w:rPr>
        <w:t>These factors include, but are not limited to, gaps in product or product content information, gaps in supplier data, errors and/or omissions by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2023, and smuggling of Conflict Minerals to countries beyond the CAHRAs.</w:t>
      </w:r>
    </w:p>
    <w:p>
      <w:pPr>
        <w:spacing w:after="0" w:line="183" w:lineRule="exact"/>
        <w:rPr>
          <w:sz w:val="20"/>
          <w:szCs w:val="20"/>
          <w:color w:val="auto"/>
        </w:rPr>
      </w:pPr>
    </w:p>
    <w:p>
      <w:pPr>
        <w:ind w:left="20" w:right="300" w:firstLine="648"/>
        <w:spacing w:after="0" w:line="261" w:lineRule="auto"/>
        <w:rPr>
          <w:sz w:val="20"/>
          <w:szCs w:val="20"/>
          <w:color w:val="auto"/>
        </w:rPr>
      </w:pPr>
      <w:r>
        <w:rPr>
          <w:rFonts w:ascii="Times New Roman" w:cs="Times New Roman" w:eastAsia="Times New Roman" w:hAnsi="Times New Roman"/>
          <w:sz w:val="18"/>
          <w:szCs w:val="18"/>
          <w:color w:val="auto"/>
        </w:rPr>
        <w:t>We do not collect information from our suppliers on a continuous and real-time basis. Instead, we only collect such information in the context of the CMRTs provided by the suppliers at the time of the publication of this report. We cannot be certain about our conclusions regarding the source and chain of custody of the necessary Conflict Minerals as such information comes from direct suppliers, though we do verify their declarations against the conclusions of independent third-party audit programs, such as the RMI’s RMAP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229" w:lineRule="exact"/>
        <w:rPr>
          <w:sz w:val="20"/>
          <w:szCs w:val="20"/>
          <w:color w:val="auto"/>
        </w:rPr>
      </w:pPr>
    </w:p>
    <w:p>
      <w:pPr>
        <w:ind w:left="20" w:right="960" w:firstLine="648"/>
        <w:spacing w:after="0" w:line="282" w:lineRule="auto"/>
        <w:rPr>
          <w:sz w:val="20"/>
          <w:szCs w:val="20"/>
          <w:color w:val="auto"/>
        </w:rPr>
      </w:pPr>
      <w:r>
        <w:rPr>
          <w:rFonts w:ascii="Times New Roman" w:cs="Times New Roman" w:eastAsia="Times New Roman" w:hAnsi="Times New Roman"/>
          <w:sz w:val="18"/>
          <w:szCs w:val="18"/>
          <w:color w:val="auto"/>
        </w:rPr>
        <w:t>We will continue working with our global supply chain in an effort to achieve responsible sourcing and compliance with international regulations, including through the following actions: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and report annually on supply chain due diligence for the applicable Conflict Minerals, as required by the Rule.</w:t>
      </w:r>
    </w:p>
    <w:p>
      <w:pPr>
        <w:spacing w:after="0" w:line="22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suppliers that did not respond to our 2023 survey to help them understand the importance of this initiative to Kornit and to encourage their participation in the 2024 survey.</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validate supplier responses using information collected via independent, conflict-free smelter validation programs such as the Responsible Minerals Initiative’s (RMI) RMAP smelter or refiner validation program.</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follow up letters to high-risk unresponsive suppliers, and to suppliers with Conflict Minerals from the DRC and the CAHRAs from uncertified smelters.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our CM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use of tools for improved supplier responses.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or attempt to include a conflict minerals flow-down clause in new or renewed supplier contracts.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suppliers to procure materials through validated smelters or refiners pursuant to the RMI or other approved resources and request suppliers to take mitigating actions in case they do not.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Annex 1</w:t>
            </w: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Reported Names and Locations of Smelters or Refiners</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Smelter Metal</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Smelter Country</w:t>
            </w:r>
          </w:p>
        </w:tc>
      </w:tr>
      <w:tr>
        <w:trPr>
          <w:trHeight w:val="210"/>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Heraeus Ltd. Hong Kong</w:t>
            </w:r>
          </w:p>
        </w:tc>
        <w:tc>
          <w:tcPr>
            <w:tcW w:w="1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Metalor Switzerland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PAMP S.A.</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8853 S.p.A.</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African Gold Refinery</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 Etihad Gold LLC</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AngloGold Ashanti Brazil</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Argor-Heraeus S.A.</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Amagasaki Factory, Hyogo Prefecture, Japan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Refining USA Inc.</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Asaka Riken Co., Ltd.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ATAkulche</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Aurubis AG</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Bangalore Refinery</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Boliden AB</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 Hafner GmbH + Co. KG</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Caridad</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CCR</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Cendres + M?taux SA</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CGR Metalloys Pvt Ltd.</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Chimet S.p.A.</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Italy</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Chugai Mining</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DEGUSSA</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Doduco</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Dowa</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Do Sung Corporation</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Eco-System Recycling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Emirates Gold DMCC</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Fujairah Gold FZC</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GCC Gujrat Gold Centre Pvt.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Gold by Gold Colombia</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Gold Coast Refinery</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Fujian Zijin mining stock company gold smelter</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Great Wall Precious Metals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Guangdong Gaoyao Co</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Heimerle + Meule GmbH</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Istanbul Gold Refinery</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Italpreziosi</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JALAN &amp; Company</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Japan Mint</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JCC</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Kazzinc</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Kojima Chemicals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Korea Zinc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KOREA, REPUBLIC OF</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LinBao Gold Mining</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L\\\'Orfebre S.A.</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LS-NIKKO Copper Inc.</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HeeSung Metal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Materion</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Matsuda Sangyo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Metal?rgica Met-Mex Pe?oles, S.A. de C.V</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Mitsui Kinzoku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MMTC-PAMP India Pvt.,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Morris and Watson</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NH Recytech Company</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Nihon Material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PX Precinox S.A.</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QG Refining, LLC</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Rand Refinery (Pty)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Gansu Seemine Material Hi-Tech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Remondis Argentia B.V.</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Royal Canadian Mint</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SAAMP</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Safimet S.p.A</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SAFINA A.S.</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Sai Refinery</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Samdok Metal</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SAXONIA Edelmetalle GmbH</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China's Shandong Gold Mining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Shandong Tarzan Bio-Gold Industry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 Vinto</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Fenix Metals</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 New Metals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Kennametal Fallon</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PT Artha Cipta Langgeng</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QuantumClean</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WBH</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Xiamen Tungsten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Niagara Refining LLC</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Metallo-Chimique N.V.</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PT Bangka Serumpun</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Cronimet Brasil Ltda</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CRM Synergies</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Sovereign Metals</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Sudan Gold Refinery</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MEM(Sumitomo Group)</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SungEel HiTech</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KOREA, REPUBLIC OF</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T.C.A S.p.A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Shonan Plant Tanaka Kikinzoku</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Tokuriki Honten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Anhui Tongling Nonferrous Metal Mining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TOO Tau-Ken-Altyn</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Torecom</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Metallurgie Hoboken Overpelt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Valcambi S.A.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WEEEREFINING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AGR (Perth Mint Australia)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Yamamoto Precious Metal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Yokohama Metal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CHALCO Yunnan Copper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 Henan Zhongyuan Gold Smelter</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 Traders and Refiners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DS PRETECH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Uralelectromed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Kyrgyzaltyn JSC</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Marsam Metals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Federal State Unitary Enterprise Moscow Special Processing Plant (FSUE</w:t>
            </w:r>
          </w:p>
        </w:tc>
        <w:tc>
          <w:tcPr>
            <w:tcW w:w="4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4"/>
        </w:trPr>
        <w:tc>
          <w:tcPr>
            <w:tcW w:w="940" w:type="dxa"/>
            <w:vAlign w:val="bottom"/>
            <w:shd w:val="clear" w:color="auto" w:fill="CCEEFF"/>
          </w:tcPr>
          <w:p>
            <w:pPr>
              <w:spacing w:after="0"/>
              <w:rPr>
                <w:sz w:val="20"/>
                <w:szCs w:val="20"/>
                <w:color w:val="auto"/>
              </w:rPr>
            </w:pP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MZSS)</w:t>
            </w:r>
          </w:p>
        </w:tc>
        <w:tc>
          <w:tcPr>
            <w:tcW w:w="4100" w:type="dxa"/>
            <w:vAlign w:val="bottom"/>
            <w:shd w:val="clear" w:color="auto" w:fill="CCEEFF"/>
          </w:tcPr>
          <w:p>
            <w:pPr>
              <w:spacing w:after="0"/>
              <w:rPr>
                <w:sz w:val="20"/>
                <w:szCs w:val="20"/>
                <w:color w:val="auto"/>
              </w:rPr>
            </w:pP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4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4"/>
        </w:trPr>
        <w:tc>
          <w:tcPr>
            <w:tcW w:w="9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Krastsvetmet)</w:t>
            </w:r>
          </w:p>
        </w:tc>
        <w:tc>
          <w:tcPr>
            <w:tcW w:w="4100" w:type="dxa"/>
            <w:vAlign w:val="bottom"/>
          </w:tcPr>
          <w:p>
            <w:pPr>
              <w:spacing w:after="0"/>
              <w:rPr>
                <w:sz w:val="20"/>
                <w:szCs w:val="20"/>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FSE Novosibirsk Refinery</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Umicore Brasil Ltda.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HwaSeong CJ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Kazakhmys Smelting LLC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Sabin Metal Corp.</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Samwon Metals Corp.</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Kaloti Precious Metals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Tony Goetz NV</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Pease &amp; Curren</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Elemetal Refining, LLC</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GG Refinery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Coimpa Industrial LTDA</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Sam Precious Metals</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Unknown</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UNKNOWN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Dongwu Gold Group</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Value Trading</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Metallix Refining Inc.</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MD Overseas</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Sellem Industries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MAURITANIA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Sancus ZFS (L</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Alexy Metals</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 Rasmussen</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ABC Refinery Pty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Albino Mountinho Lda.</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Academy Precious Metals (China) Co. LTD</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ARY Aurum Plus</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AURA-II</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Baiyin Nonferrous Group Co.,Ltd</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Bauer Walser AG</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Central Bank of the DPR of Korea</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Changzhou Chemical Research Institute Co.,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 Gold Deal Investment Co., Ltd.</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 Gold International Resources Corp.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 National Gold Group Corporation</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Codelco</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Colt Refining</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Daejin Indus Co., Ltd.</w:t>
            </w:r>
          </w:p>
        </w:tc>
        <w:tc>
          <w:tcPr>
            <w:tcW w:w="5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DaeryongENC</w:t>
            </w:r>
          </w:p>
        </w:tc>
        <w:tc>
          <w:tcPr>
            <w:tcW w:w="5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KOREA, REPUBLIC OF</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DHF Technical Products</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Dongguan Standard Electronic Material.Co.,Ltd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Faggi Enrico S.p.A.</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Feinh</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Hang Seng Technology</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I-PEX Inc.</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Jinlong Copper Co.,Ltd.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Metal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Kunshan Jinli chemical industry reagents co.,Ltd.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MK Electron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N.E.Chemcat Corporation</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Nyrstar Clarksville</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OJSC Kolyma Refinery</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Precious Metal Sales</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10300" w:type="dxa"/>
            <w:vAlign w:val="bottom"/>
            <w:gridSpan w:val="2"/>
          </w:tcPr>
          <w:p>
            <w:pPr>
              <w:ind w:left="540"/>
              <w:spacing w:after="0" w:line="198" w:lineRule="exact"/>
              <w:rPr>
                <w:sz w:val="20"/>
                <w:szCs w:val="20"/>
                <w:color w:val="auto"/>
              </w:rPr>
            </w:pPr>
            <w:r>
              <w:rPr>
                <w:rFonts w:ascii="Times New Roman" w:cs="Times New Roman" w:eastAsia="Times New Roman" w:hAnsi="Times New Roman"/>
                <w:sz w:val="18"/>
                <w:szCs w:val="18"/>
                <w:color w:val="auto"/>
              </w:rPr>
              <w:t>SANMENXIA  HENGSHENG  SCIENCE  AND  TECHNOLOGY  R&amp;D  CHINA</w:t>
            </w:r>
          </w:p>
        </w:tc>
      </w:tr>
      <w:tr>
        <w:trPr>
          <w:trHeight w:val="234"/>
        </w:trPr>
        <w:tc>
          <w:tcPr>
            <w:tcW w:w="940" w:type="dxa"/>
            <w:vAlign w:val="bottom"/>
          </w:tcPr>
          <w:p>
            <w:pPr>
              <w:spacing w:after="0"/>
              <w:rPr>
                <w:sz w:val="20"/>
                <w:szCs w:val="20"/>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CO.,LTD</w:t>
            </w:r>
          </w:p>
        </w:tc>
        <w:tc>
          <w:tcPr>
            <w:tcW w:w="4600" w:type="dxa"/>
            <w:vAlign w:val="bottom"/>
          </w:tcPr>
          <w:p>
            <w:pPr>
              <w:spacing w:after="0"/>
              <w:rPr>
                <w:sz w:val="20"/>
                <w:szCs w:val="20"/>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Schone Edelmetaal B.V.</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ScotiaMocatta, The Bank of Nova Scotia</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Shandong Zhongkuang Group Co.,Ltd.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Shenzhen Heng Zhong Industry Co.,Ltd.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Sino-platinum Metals CO.,Ltd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 Accurate Group, Inc.</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Standard Bank Group</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SUNTAIN CO., 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Suzhou Xingrui Noble Metal Material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 zhou chang san Jiao electron Co.,Ltd.</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Tsai Brother Industries</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TSK Pretech</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ZAMBIA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Wuzhong Group</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Yamato Denki Ind.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Yantai Zhaojin Kanfort Precious Metals Incorporated Company</w:t>
            </w:r>
          </w:p>
        </w:tc>
        <w:tc>
          <w:tcPr>
            <w:tcW w:w="4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Yunnan Metallurgical Group Co., Ltd</w:t>
            </w:r>
          </w:p>
        </w:tc>
        <w:tc>
          <w:tcPr>
            <w:tcW w:w="4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Al Ghaith Gold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Jinlong Copper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Nyrstar Metals</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TAIWAN TOTAI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Xiamen JInbo Metal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Zhaojun Maifu</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Hop Hing electroplating factory Zhejiang</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SuZhou ShenChuang recycling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Jin Jinyin Refining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GUANGDONG JINXIAN GAOXIN CAI LIAO GONG SI</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UNKNOWN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Bauer-Walser AG</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Accurate Refining Group</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Alldyne Powder Technologies</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Dai-ichi Seiko</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 Perng</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Wang Ting</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Austin powder</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Changsanjiao Elc.</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Changzhou Chemical Research Institute Co. Ltd.</w:t>
            </w:r>
          </w:p>
        </w:tc>
        <w:tc>
          <w:tcPr>
            <w:tcW w:w="54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Cooperativa Metalurgica de Rondonia Ltda.</w:t>
            </w:r>
          </w:p>
        </w:tc>
        <w:tc>
          <w:tcPr>
            <w:tcW w:w="5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Brazil</w:t>
            </w: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490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Gansu-based  Baiyin  Nonferrous  Metals  Corporation</w:t>
            </w:r>
          </w:p>
        </w:tc>
        <w:tc>
          <w:tcPr>
            <w:tcW w:w="54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(BNMC)/Baiyin China</w:t>
            </w:r>
          </w:p>
        </w:tc>
      </w:tr>
      <w:tr>
        <w:trPr>
          <w:trHeight w:val="234"/>
        </w:trPr>
        <w:tc>
          <w:tcPr>
            <w:tcW w:w="940" w:type="dxa"/>
            <w:vAlign w:val="bottom"/>
            <w:shd w:val="clear" w:color="auto" w:fill="CCEEFF"/>
          </w:tcPr>
          <w:p>
            <w:pPr>
              <w:spacing w:after="0"/>
              <w:rPr>
                <w:sz w:val="20"/>
                <w:szCs w:val="20"/>
                <w:color w:val="auto"/>
              </w:rPr>
            </w:pPr>
          </w:p>
        </w:tc>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Nonferrous Metals Corporation</w:t>
            </w:r>
          </w:p>
        </w:tc>
        <w:tc>
          <w:tcPr>
            <w:tcW w:w="54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Hetai Gold Mineral Guangdong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Kosak Seiren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Nohon Material Corporation</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Precious Metals Sales Corp.</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the Enterprise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Rio Tinto Group</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Sanmenxia Hengsheng science and technology, research and development</w:t>
            </w:r>
          </w:p>
        </w:tc>
        <w:tc>
          <w:tcPr>
            <w:tcW w:w="4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20" w:type="dxa"/>
            <w:vAlign w:val="bottom"/>
            <w:shd w:val="clear" w:color="auto" w:fill="CCEEFF"/>
          </w:tcPr>
          <w:p>
            <w:pPr>
              <w:spacing w:after="0"/>
              <w:rPr>
                <w:sz w:val="20"/>
                <w:szCs w:val="20"/>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 LTD</w:t>
            </w:r>
          </w:p>
        </w:tc>
        <w:tc>
          <w:tcPr>
            <w:tcW w:w="41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Shan Dong Huangjin</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Shandon Jin Jinyin Refining Limited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Bank</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Suzhou Xingrui Noble</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Yantai Zhaojin Lifu Precious Metals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 Block Metals, LLC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Exotech Inc.</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 &amp; X</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Guangdong Zhiyuan New Material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H.C. Starck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H.C. Starck Hermsdorf GmbH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H.C. Starck Inc.</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H.C. Starck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H.C. Starck Goslar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Jiujiang Nonferrous Metals Smelting Company Limited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KEMET Blue Metals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Metallurgical Products India Pvt. Ltd. (MPIL)</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Minerao Taboca S.A.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Mitsui Mining &amp; Smelting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Molycorp Silmet A.S.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Resources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 MACEDONIA, REPUBLIC OF</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Solikamsk</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Taki Chemical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Telex Metals</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ULBA</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RFH</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LSM Brasil S.A.</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Conghua Tantalum and Niobium Smeltry</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Douluoshan Sapphire Rare Metal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Hi-Temp</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Zhuzhou Cemented Carbide Group</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Plansee SE Liezen</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Plansee SE Reutte</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KEMET Blue Powder</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PowerX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5D Production OU</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Advanced Metallurgical Group N.V. (AMG)</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ANHUI HERRMAN IMPEX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Avon Specialty Metals</w:t>
            </w:r>
          </w:p>
        </w:tc>
        <w:tc>
          <w:tcPr>
            <w:tcW w:w="458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UNITED  KINGDOM  OF  GREAT  BRITAIN  AND</w:t>
            </w:r>
          </w:p>
        </w:tc>
      </w:tr>
      <w:tr>
        <w:trPr>
          <w:trHeight w:val="234"/>
        </w:trPr>
        <w:tc>
          <w:tcPr>
            <w:tcW w:w="11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NORTHERN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CP Metals Inc.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Duoluoshan</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E.S.R. Electronics</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Gannon &amp; Scott</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Guizhou Zhenhua Xinyun Technology Ltd., Kaili branch</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H.C. Starck GmbH Laufenburg</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 Materials</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NORTH MACEDONIA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PM Kalco Inc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Tantalite Resources</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Tranzact, Inc.</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Avon Specialty Metals Ltd</w:t>
            </w:r>
          </w:p>
        </w:tc>
        <w:tc>
          <w:tcPr>
            <w:tcW w:w="458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UNITED  KINGDOM  OF  GREAT  BRITAIN  AND</w:t>
            </w:r>
          </w:p>
        </w:tc>
      </w:tr>
      <w:tr>
        <w:trPr>
          <w:trHeight w:val="234"/>
        </w:trPr>
        <w:tc>
          <w:tcPr>
            <w:tcW w:w="11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NORTHERN</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ANHUI HERRMAN IMPEX CO.</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Advanced Metals</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Nantong Tongjie Electrical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Taike Technology(Suzhou)Co.,Ltd.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Rui Da Hung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AMG Brasil</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AMG Mining Mibra Mine</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H.C. Starck Group</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Plansee</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Babel Inti Perkasa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Chenzhou Yun Xiang mining limited liability company</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 Tin (Hechi)</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 RBT</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Kundur Smelter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Mentok Smelter</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Thai Solder Industry Corp.,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Chengfeng Metals Co Pte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 Yunnan Tin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PT Menara Cipta Mulia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Alent plc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Elmet S.L.U.</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 Do</w:t>
            </w:r>
          </w:p>
        </w:tc>
        <w:tc>
          <w:tcPr>
            <w:tcW w:w="4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1120" w:type="dxa"/>
            <w:vAlign w:val="bottom"/>
            <w:shd w:val="clear" w:color="auto" w:fill="CCEEFF"/>
          </w:tcPr>
          <w:p>
            <w:pPr>
              <w:spacing w:after="0"/>
              <w:rPr>
                <w:sz w:val="20"/>
                <w:szCs w:val="20"/>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Brasil Ltda</w:t>
            </w:r>
          </w:p>
        </w:tc>
        <w:tc>
          <w:tcPr>
            <w:tcW w:w="41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CV Ayi Jaya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CV Venus Inti Perkasa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DS Myanmar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Estanho de Rondonia S.A.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Nanshan</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Luna Smelter,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Metallic Resources, Inc.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Mineracao Taboca S.A.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Funsur Smelter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OMSA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Myanmar</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CV Nurjanah</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Bangka Prima Tin</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Bangka Tin Industry</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Brand IMLI</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Cipta Persada Mulia</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Mitra Stania Prima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Panca Mega Persada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Serumpun Sebalai</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Prima Timah Utama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Tiga Sekawan</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Stanindo Inti Perkasa</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Sukses Inti Makmur</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Pelat Timah Nusantara Tbk</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Tinindo Inter Nusa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Tirus Putra Mandiri</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Tommy Utama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Super Ligas</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Gejiu Zi-Li</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Melt Metais e Ligas S.A.</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Soft Metais Ltda.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Dua Sekawan</w:t>
            </w:r>
          </w:p>
        </w:tc>
        <w:tc>
          <w:tcPr>
            <w:tcW w:w="4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CV Gita Pesona</w:t>
            </w:r>
          </w:p>
        </w:tc>
        <w:tc>
          <w:tcPr>
            <w:tcW w:w="4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INDONESIA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CV United Smelting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DS Jaya Abadi</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Inti Stania Prima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Karimun Mining</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Sumber Jaya Indah</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 Joint</w:t>
            </w:r>
          </w:p>
        </w:tc>
        <w:tc>
          <w:tcPr>
            <w:tcW w:w="4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VIETNAM</w:t>
            </w:r>
          </w:p>
        </w:tc>
      </w:tr>
      <w:tr>
        <w:trPr>
          <w:trHeight w:val="234"/>
        </w:trPr>
        <w:tc>
          <w:tcPr>
            <w:tcW w:w="880" w:type="dxa"/>
            <w:vAlign w:val="bottom"/>
          </w:tcPr>
          <w:p>
            <w:pPr>
              <w:spacing w:after="0"/>
              <w:rPr>
                <w:sz w:val="20"/>
                <w:szCs w:val="20"/>
                <w:color w:val="auto"/>
              </w:rPr>
            </w:pP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 Company</w:t>
            </w:r>
          </w:p>
        </w:tc>
        <w:tc>
          <w:tcPr>
            <w:tcW w:w="4100" w:type="dxa"/>
            <w:vAlign w:val="bottom"/>
          </w:tcPr>
          <w:p>
            <w:pPr>
              <w:spacing w:after="0"/>
              <w:rPr>
                <w:sz w:val="20"/>
                <w:szCs w:val="20"/>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China Rare Metal Material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Eunindo Usaha Mandiri</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Wahana Perkit Jaya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Masbro Alam Stania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Kijang Jaya Mandiri</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Congo, Democratic Republic</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TRATHO Metal Quimica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Feinh?tte Halsbr?cke GmbH</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Rian Resources SDN. BHD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KESTER</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5N Plus</w:t>
            </w:r>
          </w:p>
        </w:tc>
        <w:tc>
          <w:tcPr>
            <w:tcW w:w="4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UNITED  KINGDOM  OF  GREAT  BRITAIN  AND</w:t>
            </w:r>
          </w:p>
        </w:tc>
      </w:tr>
      <w:tr>
        <w:trPr>
          <w:trHeight w:val="234"/>
        </w:trPr>
        <w:tc>
          <w:tcPr>
            <w:tcW w:w="8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NORTHERN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Alent Alpha Metals (Shenzhen)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Alpha Metals (Taiwan) Inc.</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Alpha Metals Korea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 Thai Minerals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Angelcast Enterprise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Arco Alloys Corp.</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Baoshan Iron &amp; Steel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Brinkmann Chemie AG</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CFC Cooperativa dos Fundidores de Cassiterita da Amazonia Ltda.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CNMC (Guangxi) PGMA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CV Duta Putra Bangka</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Makmur Jaya</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Da Nang Processing Import and Export Joint Stock</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DingNan JiaWang HuanBao Co. LTD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DONG GUAN SHI XI DA HAN XI PRODUCT CO., LTD</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Gold Bell Group</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GuangDong Jiatian Stannum Products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Guangxi Non-ferrous Metals Group Co..ltd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Hayes Metals Pty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Hezhou Jinwei Tin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HighTech Components Co.,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HUIZHOU LIAN JING METAL MATERIAL CO.,LTD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Hunan Xianghualing Tin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IBF IND Brasileira de Ferrolligas Ltda</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IMPAG Group</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Ishihara Chemical Co.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JAU JANQ ENTERPRISE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JU TAI INDUSTRIAL CO.,LTD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KARAS PLATING LTD</w:t>
            </w:r>
          </w:p>
        </w:tc>
        <w:tc>
          <w:tcPr>
            <w:tcW w:w="4880" w:type="dxa"/>
            <w:vAlign w:val="bottom"/>
          </w:tcPr>
          <w:p>
            <w:pPr>
              <w:ind w:left="840"/>
              <w:spacing w:after="0" w:line="198" w:lineRule="exact"/>
              <w:rPr>
                <w:sz w:val="20"/>
                <w:szCs w:val="20"/>
                <w:color w:val="auto"/>
              </w:rPr>
            </w:pPr>
            <w:r>
              <w:rPr>
                <w:rFonts w:ascii="Times New Roman" w:cs="Times New Roman" w:eastAsia="Times New Roman" w:hAnsi="Times New Roman"/>
                <w:sz w:val="18"/>
                <w:szCs w:val="18"/>
                <w:color w:val="auto"/>
              </w:rPr>
              <w:t>UNITED  KINGDOM  OF  GREAT  BRITAIN  AND</w:t>
            </w:r>
          </w:p>
        </w:tc>
      </w:tr>
      <w:tr>
        <w:trPr>
          <w:trHeight w:val="234"/>
        </w:trPr>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NORTHERN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KOBE STEEL,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Kovohute Pribram nastupnicka, a. s.</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Linwu Xianggui Ore Smelting Co.,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M/s ECO Tropical Resources</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 On Shuguang Smelting Plant</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Materials Eco-Refining CO.,LTD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Medeko cast, s.r.o.</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Minchali Metal Industry Co.,Ltd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Minsur</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Ney Metals and Alloys</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Nihon Superior Co., Ltd.</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Phoenix Metal Ltd.</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Alam Lestari Kencana</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Bangka Kudai Tin</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Bangka Putra Karya</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4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Fang Di MulTindo</w:t>
            </w:r>
          </w:p>
        </w:tc>
        <w:tc>
          <w:tcPr>
            <w:tcW w:w="4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INDONESIA</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HP Metals Indonesia</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Justindo</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Koba Tin</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O.M. Indonesia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Rajehan Ariq</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Supra Sukses Trinusa</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RedRing Solder (M) Sdn. Bhd.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Samhwa non-ferrorus Metal ind.co.ltd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ShangHai YueQiang Metal Products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Shenmao Technology Inc.</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Shenzhen Yi Cheng Industrial</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SIGMA TIN ALLOY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SIZER METALS PTE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Spectro Alloys Corp</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SUZHOU NUONENGDA CHEMICAL CO.,LTD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Taicang City Nancang Metal Material Co.,Ltd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Tamura Corporation</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TIANSHUI LONG BO TECHNOLOGY CO.,LTD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TIN PLATING GEJIU</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Tongding Metal Material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Ultracore Co.,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Welley Solder Corporation</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Westfalenzinn</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Westmetall GmbH &amp; Co. KG</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WUXI YUNXI SANYE SOLDER FACTORY</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XiaMen YiQuan Precision Metal Co.,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Yifeng Tin Industry (Chenzhou) Co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Zhongshan Jinye Smelting Co.,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Zhuhai Horyison Solder Co.,Ltd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Solder Court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Chofu Works</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Gejiu Yunxi Group Corp.</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Hezhou Jinwei Tin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Jiang Jia Wang Technology Co.</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LIAN JING</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OMODEO A. E S. METALLEGHE SRL</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Sigma Tin Alloy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Taiwan Huanliang</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Xianghualing Tin Industry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XURI</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Yifeng Tin</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Yuecheng Tin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Yunnan Industrial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Timah Tbk</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Thailand Mine Factory</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Three green surface technology limited company</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TONG LONG</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Yiquan Manufacturing</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KGETS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Taicang City Nancang Metal Material Co., Ltd.</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5NPLUS UK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IMPAG AG</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PSC VSMPO-AVISMA Corp.</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A.L.M.T. TUNGSTEN Corp.</w:t>
            </w:r>
          </w:p>
        </w:tc>
        <w:tc>
          <w:tcPr>
            <w:tcW w:w="4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BML</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Ketabang</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JusTindo</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American Iron and Metal</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Yunnan Tin Company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Zhangzhou Hiromi Non-ferrous Metals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Zhangzhou Xiangcheng Hongyu Building</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ZhongShi</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Zhuhai Horyison Solder Co.,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GEJIU YE LIAN CHANG</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Sandvik Material Technology</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Shanghai Gold Exchange</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Shen Mao Solder (M) Sdn. Bhd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Spectro Alloys Corp.</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Furuuchi Chemical Corporation</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Taiwan High-Tech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Tamura</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TAP</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TCC steel</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TENNANT METAL PTY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Tianshui Ling Bo Technology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Yunnan Dian'xi Tin Mine</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Yunnan Gejiu Smelting Corp.</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 BROS METAL PTE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UNIFORCE METAL INDUSTRIAL CORP.</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Univertical International (Suzhou) Co.,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Untracore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Welley</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Tongding Group</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Tosoh</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Triumph Northwest</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Xiamen Golden Egret Special Alloy Co.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Refined Bangka Tin</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Singkep Times Utama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Sincemat Co, Ltd.</w:t>
            </w:r>
          </w:p>
        </w:tc>
        <w:tc>
          <w:tcPr>
            <w:tcW w:w="4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Arco Alloys</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Fuji Metal Mining Corp.</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Hulterworth Smelter</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 Tai Industrial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Metallo Chimique</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Nathan Trotter &amp; Co., Inc.</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Old City Metals Processing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Pan Light Corporation</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Natari</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Sizer Metals PTE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Westmetall GmbH &amp; Co.KG</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 Nan Xi Ye Electrical Limited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ACL Metais Eireli</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 Molybdenum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Haichuang Tungsten Industry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China National Non Ferrous</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Chaozhou Xianglu Tungsten Industry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H.C. Starck GmbH</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Human Chun-Chang non-ferrous Smelting &amp; Concentrating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Litian Tungsten Industry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Hydrometallurg, JSC</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ATI Metalworking Products</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Lianyou Metals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Nui Phao H.C. Starck Tungsten Chemicals Manufacturing LLC</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Moliren Ltd.</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Woltech Korea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Xiamen H.C.</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Shaoguan Xinhai Rendan Tungsten Industry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GEM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 Of Great Britain And Northern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HANNAE FOR T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Vostok</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OOO</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Artek LLC</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NPP Tyazhmetprom LLC</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A.L.M.T. Corp.</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BESEEM MINING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Dayu Jincheng Tungsten Industry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Ganxian Shirui New Material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Non-ferrous Metals Smelting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Chuangda Vanadium Tungsten Co., Ltd. Yanglin</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Rare Earth &amp; Rare Metals Tungsten Group Imp.&amp; Exp.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Richsea New Materials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Xiushui Xianggan Nonferrous Metals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Jiujiang Tanbre Co., Ltd.</w:t>
            </w:r>
          </w:p>
        </w:tc>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Luoyang Mudu Tungsten &amp; Molybdenum Technology Co., Ltd.</w:t>
            </w:r>
          </w:p>
        </w:tc>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Nanchang Cemented Carbide Limited Liability Company</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Pobedit, JSC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South-East Nonferrous Metal Company Limited of Hengyang City</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TaeguTec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Dayu Longxintai Tungsten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LLC Volstok</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Timah (Persero), Tbk</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Thaisarco</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Zhuzhou Cement Carbide</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HC Starck GmbH</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Alta Group</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Kanto Denka Kogyo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Midwest Tungsten Wire Co.</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CWB Materials</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Electroloy Metal Pte</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Fort Wayne Wire Die, Inc.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Toshiba Material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Wolfram Company CJSC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Atlantic Metals</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Beijing Zenith Materials</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Changchun up-optotech</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Ganzhou Hongfei Materials Co.</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Hitachi</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KIHONG T &amp; G</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 Minmetals Non-ferrous Metals Holding Co., Ltd.</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Daido Steel</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Rare Earth &amp; Rare Metals Tungsten Group Corp</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Mehra Ferro-Alloys Pvt. Ltd.</w:t>
            </w:r>
          </w:p>
        </w:tc>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XTC,XTC Haicang,XTC H.C.</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22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Reported Country of Origin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ANDORRA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BOLIVIA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BOLIVIA (PLURINATIONAL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CONGO, DEMOCRATIC REPUBLIC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CZECH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GHANA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KAZAKHSTAN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KYRGYZSTAN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MAURITANIA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MACEDONIA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RUSSIAN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SLOVAKIA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TANZANIA, UNITED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UGANDA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UNITED KINGDOM OF GREAT BRITAIN AND NORTHERN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ZAMBIA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ZIMBABWE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21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2024-05-29T15:38:16Z</dcterms:created>
  <dcterms:modified xsi:type="dcterms:W3CDTF">2024-05-29T15:38:16Z</dcterms:modified>
</cp:coreProperties>
</file>