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13"/>
          <w:szCs w:val="13"/>
          <w:b w:val="1"/>
          <w:bCs w:val="1"/>
          <w:color w:val="auto"/>
        </w:rPr>
        <w:t>As filed with the Securities and Exchange Commission on March 26, 2015</w:t>
      </w:r>
    </w:p>
    <w:p>
      <w:pPr>
        <w:spacing w:after="0" w:line="30" w:lineRule="exact"/>
        <w:rPr>
          <w:sz w:val="24"/>
          <w:szCs w:val="24"/>
          <w:color w:val="auto"/>
        </w:rPr>
      </w:pPr>
    </w:p>
    <w:p>
      <w:pPr>
        <w:jc w:val="right"/>
        <w:ind w:right="859"/>
        <w:spacing w:after="0"/>
        <w:rPr>
          <w:sz w:val="20"/>
          <w:szCs w:val="20"/>
          <w:color w:val="auto"/>
        </w:rPr>
      </w:pPr>
      <w:r>
        <w:rPr>
          <w:rFonts w:ascii="Arial" w:cs="Arial" w:eastAsia="Arial" w:hAnsi="Arial"/>
          <w:sz w:val="13"/>
          <w:szCs w:val="13"/>
          <w:b w:val="1"/>
          <w:bCs w:val="1"/>
          <w:color w:val="auto"/>
        </w:rPr>
        <w:t>Registration No. 333-202291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555625</wp:posOffset>
            </wp:positionH>
            <wp:positionV relativeFrom="paragraph">
              <wp:posOffset>125095</wp:posOffset>
            </wp:positionV>
            <wp:extent cx="4628515" cy="139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28515" cy="13970"/>
                    </a:xfrm>
                    <a:prstGeom prst="rect">
                      <a:avLst/>
                    </a:prstGeom>
                    <a:noFill/>
                  </pic:spPr>
                </pic:pic>
              </a:graphicData>
            </a:graphic>
          </wp:anchor>
        </w:drawing>
        <w:drawing>
          <wp:anchor simplePos="0" relativeHeight="251657728" behindDoc="1" locked="0" layoutInCell="0" allowOverlap="1">
            <wp:simplePos x="0" y="0"/>
            <wp:positionH relativeFrom="column">
              <wp:posOffset>555625</wp:posOffset>
            </wp:positionH>
            <wp:positionV relativeFrom="paragraph">
              <wp:posOffset>153670</wp:posOffset>
            </wp:positionV>
            <wp:extent cx="4628515" cy="139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28515" cy="13970"/>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UNITED STATES</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SECURITIES AND EXCHANGE COMMISSION</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WASHINGTON, D.C. 20549</w:t>
      </w:r>
    </w:p>
    <w:p>
      <w:pPr>
        <w:spacing w:after="0" w:line="5"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______________________</w:t>
      </w:r>
    </w:p>
    <w:p>
      <w:pPr>
        <w:sectPr>
          <w:pgSz w:w="11900" w:h="16838" w:orient="portrait"/>
          <w:cols w:equalWidth="0" w:num="1">
            <w:col w:w="9019"/>
          </w:cols>
          <w:pgMar w:left="1440" w:top="275"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left="1480"/>
        <w:spacing w:after="0"/>
        <w:rPr>
          <w:sz w:val="20"/>
          <w:szCs w:val="20"/>
          <w:color w:val="auto"/>
        </w:rPr>
      </w:pPr>
      <w:r>
        <w:rPr>
          <w:rFonts w:ascii="Arial" w:cs="Arial" w:eastAsia="Arial" w:hAnsi="Arial"/>
          <w:sz w:val="12"/>
          <w:szCs w:val="12"/>
          <w:b w:val="1"/>
          <w:bCs w:val="1"/>
          <w:color w:val="auto"/>
        </w:rPr>
        <w:t>State of Israel</w:t>
      </w:r>
    </w:p>
    <w:p>
      <w:pPr>
        <w:spacing w:after="0" w:line="9" w:lineRule="exact"/>
        <w:rPr>
          <w:sz w:val="24"/>
          <w:szCs w:val="24"/>
          <w:color w:val="auto"/>
        </w:rPr>
      </w:pPr>
    </w:p>
    <w:p>
      <w:pPr>
        <w:ind w:left="1500"/>
        <w:spacing w:after="0"/>
        <w:rPr>
          <w:sz w:val="20"/>
          <w:szCs w:val="20"/>
          <w:color w:val="auto"/>
        </w:rPr>
      </w:pPr>
      <w:r>
        <w:rPr>
          <w:rFonts w:ascii="Arial" w:cs="Arial" w:eastAsia="Arial" w:hAnsi="Arial"/>
          <w:sz w:val="11"/>
          <w:szCs w:val="11"/>
          <w:i w:val="1"/>
          <w:iCs w:val="1"/>
          <w:color w:val="auto"/>
        </w:rPr>
        <w:t>(State or Other Jurisdiction of</w:t>
      </w:r>
    </w:p>
    <w:p>
      <w:pPr>
        <w:spacing w:after="0" w:line="8" w:lineRule="exact"/>
        <w:rPr>
          <w:sz w:val="24"/>
          <w:szCs w:val="24"/>
          <w:color w:val="auto"/>
        </w:rPr>
      </w:pPr>
    </w:p>
    <w:p>
      <w:pPr>
        <w:ind w:left="1480"/>
        <w:spacing w:after="0"/>
        <w:rPr>
          <w:sz w:val="20"/>
          <w:szCs w:val="20"/>
          <w:color w:val="auto"/>
        </w:rPr>
      </w:pPr>
      <w:r>
        <w:rPr>
          <w:rFonts w:ascii="Arial" w:cs="Arial" w:eastAsia="Arial" w:hAnsi="Arial"/>
          <w:sz w:val="11"/>
          <w:szCs w:val="11"/>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jc w:val="center"/>
        <w:ind w:right="3199"/>
        <w:spacing w:after="0"/>
        <w:rPr>
          <w:sz w:val="20"/>
          <w:szCs w:val="20"/>
          <w:color w:val="auto"/>
        </w:rPr>
      </w:pPr>
      <w:r>
        <w:rPr>
          <w:rFonts w:ascii="Arial" w:cs="Arial" w:eastAsia="Arial" w:hAnsi="Arial"/>
          <w:sz w:val="15"/>
          <w:szCs w:val="15"/>
          <w:b w:val="1"/>
          <w:bCs w:val="1"/>
          <w:color w:val="auto"/>
        </w:rPr>
        <w:t>AMENDMENT NO. 4</w:t>
      </w:r>
    </w:p>
    <w:p>
      <w:pPr>
        <w:spacing w:after="0" w:line="21" w:lineRule="exact"/>
        <w:rPr>
          <w:sz w:val="24"/>
          <w:szCs w:val="24"/>
          <w:color w:val="auto"/>
        </w:rPr>
      </w:pPr>
    </w:p>
    <w:p>
      <w:pPr>
        <w:jc w:val="center"/>
        <w:ind w:right="3159"/>
        <w:spacing w:after="0"/>
        <w:rPr>
          <w:sz w:val="20"/>
          <w:szCs w:val="20"/>
          <w:color w:val="auto"/>
        </w:rPr>
      </w:pPr>
      <w:r>
        <w:rPr>
          <w:rFonts w:ascii="Arial" w:cs="Arial" w:eastAsia="Arial" w:hAnsi="Arial"/>
          <w:sz w:val="15"/>
          <w:szCs w:val="15"/>
          <w:b w:val="1"/>
          <w:bCs w:val="1"/>
          <w:color w:val="auto"/>
        </w:rPr>
        <w:t>TO</w:t>
      </w:r>
    </w:p>
    <w:p>
      <w:pPr>
        <w:spacing w:after="0" w:line="7" w:lineRule="exact"/>
        <w:rPr>
          <w:sz w:val="24"/>
          <w:szCs w:val="24"/>
          <w:color w:val="auto"/>
        </w:rPr>
      </w:pPr>
    </w:p>
    <w:p>
      <w:pPr>
        <w:jc w:val="center"/>
        <w:ind w:right="3159"/>
        <w:spacing w:after="0"/>
        <w:rPr>
          <w:sz w:val="20"/>
          <w:szCs w:val="20"/>
          <w:color w:val="auto"/>
        </w:rPr>
      </w:pPr>
      <w:r>
        <w:rPr>
          <w:rFonts w:ascii="Arial" w:cs="Arial" w:eastAsia="Arial" w:hAnsi="Arial"/>
          <w:sz w:val="15"/>
          <w:szCs w:val="15"/>
          <w:b w:val="1"/>
          <w:bCs w:val="1"/>
          <w:color w:val="auto"/>
        </w:rPr>
        <w:t>FORM F-1</w:t>
      </w:r>
    </w:p>
    <w:p>
      <w:pPr>
        <w:spacing w:after="0" w:line="7" w:lineRule="exact"/>
        <w:rPr>
          <w:sz w:val="24"/>
          <w:szCs w:val="24"/>
          <w:color w:val="auto"/>
        </w:rPr>
      </w:pPr>
    </w:p>
    <w:p>
      <w:pPr>
        <w:jc w:val="center"/>
        <w:ind w:right="3159"/>
        <w:spacing w:after="0"/>
        <w:rPr>
          <w:sz w:val="20"/>
          <w:szCs w:val="20"/>
          <w:color w:val="auto"/>
        </w:rPr>
      </w:pPr>
      <w:r>
        <w:rPr>
          <w:rFonts w:ascii="Arial" w:cs="Arial" w:eastAsia="Arial" w:hAnsi="Arial"/>
          <w:sz w:val="15"/>
          <w:szCs w:val="15"/>
          <w:b w:val="1"/>
          <w:bCs w:val="1"/>
          <w:color w:val="auto"/>
        </w:rPr>
        <w:t>REGISTRATION STATEMENT UNDER</w:t>
      </w:r>
    </w:p>
    <w:p>
      <w:pPr>
        <w:spacing w:after="0" w:line="7" w:lineRule="exact"/>
        <w:rPr>
          <w:sz w:val="24"/>
          <w:szCs w:val="24"/>
          <w:color w:val="auto"/>
        </w:rPr>
      </w:pPr>
    </w:p>
    <w:p>
      <w:pPr>
        <w:jc w:val="center"/>
        <w:ind w:right="3159"/>
        <w:spacing w:after="0"/>
        <w:rPr>
          <w:sz w:val="20"/>
          <w:szCs w:val="20"/>
          <w:color w:val="auto"/>
        </w:rPr>
      </w:pPr>
      <w:r>
        <w:rPr>
          <w:rFonts w:ascii="Arial" w:cs="Arial" w:eastAsia="Arial" w:hAnsi="Arial"/>
          <w:sz w:val="15"/>
          <w:szCs w:val="15"/>
          <w:b w:val="1"/>
          <w:bCs w:val="1"/>
          <w:color w:val="auto"/>
        </w:rPr>
        <w:t>THE SECURITIES ACT OF 1933</w:t>
      </w:r>
    </w:p>
    <w:p>
      <w:pPr>
        <w:spacing w:after="0" w:line="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______________________</w:t>
      </w:r>
    </w:p>
    <w:p>
      <w:pPr>
        <w:spacing w:after="0" w:line="75" w:lineRule="exact"/>
        <w:rPr>
          <w:sz w:val="24"/>
          <w:szCs w:val="24"/>
          <w:color w:val="auto"/>
        </w:rPr>
      </w:pPr>
    </w:p>
    <w:p>
      <w:pPr>
        <w:ind w:left="20"/>
        <w:spacing w:after="0"/>
        <w:rPr>
          <w:sz w:val="20"/>
          <w:szCs w:val="20"/>
          <w:color w:val="auto"/>
        </w:rPr>
      </w:pPr>
      <w:r>
        <w:rPr>
          <w:rFonts w:ascii="Arial" w:cs="Arial" w:eastAsia="Arial" w:hAnsi="Arial"/>
          <w:sz w:val="24"/>
          <w:szCs w:val="24"/>
          <w:b w:val="1"/>
          <w:bCs w:val="1"/>
          <w:color w:val="auto"/>
        </w:rPr>
        <w:t>KORNIT DIGITAL LTD.</w:t>
      </w:r>
    </w:p>
    <w:p>
      <w:pPr>
        <w:jc w:val="center"/>
        <w:ind w:right="3159"/>
        <w:spacing w:after="0"/>
        <w:rPr>
          <w:sz w:val="20"/>
          <w:szCs w:val="20"/>
          <w:color w:val="auto"/>
        </w:rPr>
      </w:pPr>
      <w:r>
        <w:rPr>
          <w:rFonts w:ascii="Arial" w:cs="Arial" w:eastAsia="Arial" w:hAnsi="Arial"/>
          <w:sz w:val="11"/>
          <w:szCs w:val="11"/>
          <w:i w:val="1"/>
          <w:iCs w:val="1"/>
          <w:color w:val="auto"/>
        </w:rPr>
        <w:t>(Exact Name of Registrant as Specified in its Charter)</w:t>
      </w:r>
    </w:p>
    <w:p>
      <w:pPr>
        <w:spacing w:after="0" w:line="21" w:lineRule="exact"/>
        <w:rPr>
          <w:sz w:val="24"/>
          <w:szCs w:val="24"/>
          <w:color w:val="auto"/>
        </w:rPr>
      </w:pPr>
    </w:p>
    <w:p>
      <w:pPr>
        <w:ind w:left="400"/>
        <w:spacing w:after="0"/>
        <w:rPr>
          <w:sz w:val="20"/>
          <w:szCs w:val="20"/>
          <w:color w:val="auto"/>
        </w:rPr>
      </w:pPr>
      <w:r>
        <w:rPr>
          <w:rFonts w:ascii="Arial" w:cs="Arial" w:eastAsia="Arial" w:hAnsi="Arial"/>
          <w:sz w:val="15"/>
          <w:szCs w:val="15"/>
          <w:b w:val="1"/>
          <w:bCs w:val="1"/>
          <w:color w:val="auto"/>
        </w:rPr>
        <w:t>_________________________</w:t>
      </w:r>
    </w:p>
    <w:p>
      <w:pPr>
        <w:spacing w:after="0" w:line="60" w:lineRule="exact"/>
        <w:rPr>
          <w:sz w:val="24"/>
          <w:szCs w:val="24"/>
          <w:color w:val="auto"/>
        </w:rPr>
      </w:pPr>
    </w:p>
    <w:tbl>
      <w:tblPr>
        <w:tblLayout w:type="fixed"/>
        <w:tblInd w:w="720" w:type="dxa"/>
        <w:tblCellMar>
          <w:top w:w="0" w:type="dxa"/>
          <w:left w:w="0" w:type="dxa"/>
          <w:bottom w:w="0" w:type="dxa"/>
          <w:right w:w="0" w:type="dxa"/>
        </w:tblCellMar>
      </w:tblPr>
      <w:tr>
        <w:trPr>
          <w:trHeight w:val="152"/>
        </w:trPr>
        <w:tc>
          <w:tcPr>
            <w:tcW w:w="1960" w:type="dxa"/>
            <w:vAlign w:val="bottom"/>
          </w:tcPr>
          <w:p>
            <w:pPr>
              <w:jc w:val="right"/>
              <w:ind w:right="1100"/>
              <w:spacing w:after="0"/>
              <w:rPr>
                <w:sz w:val="20"/>
                <w:szCs w:val="20"/>
                <w:color w:val="auto"/>
              </w:rPr>
            </w:pPr>
            <w:r>
              <w:rPr>
                <w:rFonts w:ascii="Arial" w:cs="Arial" w:eastAsia="Arial" w:hAnsi="Arial"/>
                <w:sz w:val="12"/>
                <w:szCs w:val="12"/>
                <w:b w:val="1"/>
                <w:bCs w:val="1"/>
                <w:color w:val="auto"/>
              </w:rPr>
              <w:t>3555</w:t>
            </w:r>
          </w:p>
        </w:tc>
        <w:tc>
          <w:tcPr>
            <w:tcW w:w="1460" w:type="dxa"/>
            <w:vAlign w:val="bottom"/>
          </w:tcPr>
          <w:p>
            <w:pPr>
              <w:jc w:val="center"/>
              <w:ind w:left="520"/>
              <w:spacing w:after="0"/>
              <w:rPr>
                <w:sz w:val="20"/>
                <w:szCs w:val="20"/>
                <w:color w:val="auto"/>
              </w:rPr>
            </w:pPr>
            <w:r>
              <w:rPr>
                <w:rFonts w:ascii="Arial" w:cs="Arial" w:eastAsia="Arial" w:hAnsi="Arial"/>
                <w:sz w:val="12"/>
                <w:szCs w:val="12"/>
                <w:b w:val="1"/>
                <w:bCs w:val="1"/>
                <w:color w:val="auto"/>
                <w:w w:val="90"/>
              </w:rPr>
              <w:t>Not Applicable</w:t>
            </w:r>
          </w:p>
        </w:tc>
        <w:tc>
          <w:tcPr>
            <w:tcW w:w="0" w:type="dxa"/>
            <w:vAlign w:val="bottom"/>
          </w:tcPr>
          <w:p>
            <w:pPr>
              <w:spacing w:after="0"/>
              <w:rPr>
                <w:sz w:val="1"/>
                <w:szCs w:val="1"/>
                <w:color w:val="auto"/>
              </w:rPr>
            </w:pPr>
          </w:p>
        </w:tc>
      </w:tr>
      <w:tr>
        <w:trPr>
          <w:trHeight w:val="119"/>
        </w:trPr>
        <w:tc>
          <w:tcPr>
            <w:tcW w:w="1960" w:type="dxa"/>
            <w:vAlign w:val="bottom"/>
            <w:vMerge w:val="restart"/>
          </w:tcPr>
          <w:p>
            <w:pPr>
              <w:spacing w:after="0"/>
              <w:rPr>
                <w:sz w:val="20"/>
                <w:szCs w:val="20"/>
                <w:color w:val="auto"/>
              </w:rPr>
            </w:pPr>
            <w:r>
              <w:rPr>
                <w:rFonts w:ascii="Arial" w:cs="Arial" w:eastAsia="Arial" w:hAnsi="Arial"/>
                <w:sz w:val="12"/>
                <w:szCs w:val="12"/>
                <w:i w:val="1"/>
                <w:iCs w:val="1"/>
                <w:color w:val="auto"/>
              </w:rPr>
              <w:t>(Primary Standard Industrial</w:t>
            </w:r>
          </w:p>
        </w:tc>
        <w:tc>
          <w:tcPr>
            <w:tcW w:w="1460" w:type="dxa"/>
            <w:vAlign w:val="bottom"/>
          </w:tcPr>
          <w:p>
            <w:pPr>
              <w:jc w:val="center"/>
              <w:ind w:left="520"/>
              <w:spacing w:after="0" w:line="119" w:lineRule="exact"/>
              <w:rPr>
                <w:sz w:val="20"/>
                <w:szCs w:val="20"/>
                <w:color w:val="auto"/>
              </w:rPr>
            </w:pPr>
            <w:r>
              <w:rPr>
                <w:rFonts w:ascii="Arial" w:cs="Arial" w:eastAsia="Arial" w:hAnsi="Arial"/>
                <w:sz w:val="12"/>
                <w:szCs w:val="12"/>
                <w:i w:val="1"/>
                <w:iCs w:val="1"/>
                <w:color w:val="auto"/>
                <w:w w:val="90"/>
              </w:rPr>
              <w:t>(I.R.S. Employer</w:t>
            </w:r>
          </w:p>
        </w:tc>
        <w:tc>
          <w:tcPr>
            <w:tcW w:w="0" w:type="dxa"/>
            <w:vAlign w:val="bottom"/>
          </w:tcPr>
          <w:p>
            <w:pPr>
              <w:spacing w:after="0"/>
              <w:rPr>
                <w:sz w:val="1"/>
                <w:szCs w:val="1"/>
                <w:color w:val="auto"/>
              </w:rPr>
            </w:pPr>
          </w:p>
        </w:tc>
      </w:tr>
      <w:tr>
        <w:trPr>
          <w:trHeight w:val="45"/>
        </w:trPr>
        <w:tc>
          <w:tcPr>
            <w:tcW w:w="1960" w:type="dxa"/>
            <w:vAlign w:val="bottom"/>
            <w:vMerge w:val="continue"/>
          </w:tcPr>
          <w:p>
            <w:pPr>
              <w:spacing w:after="0"/>
              <w:rPr>
                <w:sz w:val="3"/>
                <w:szCs w:val="3"/>
                <w:color w:val="auto"/>
              </w:rPr>
            </w:pPr>
          </w:p>
        </w:tc>
        <w:tc>
          <w:tcPr>
            <w:tcW w:w="1460" w:type="dxa"/>
            <w:vAlign w:val="bottom"/>
            <w:vMerge w:val="restart"/>
          </w:tcPr>
          <w:p>
            <w:pPr>
              <w:jc w:val="center"/>
              <w:ind w:left="520"/>
              <w:spacing w:after="0"/>
              <w:rPr>
                <w:sz w:val="20"/>
                <w:szCs w:val="20"/>
                <w:color w:val="auto"/>
              </w:rPr>
            </w:pPr>
            <w:r>
              <w:rPr>
                <w:rFonts w:ascii="Arial" w:cs="Arial" w:eastAsia="Arial" w:hAnsi="Arial"/>
                <w:sz w:val="12"/>
                <w:szCs w:val="12"/>
                <w:i w:val="1"/>
                <w:iCs w:val="1"/>
                <w:color w:val="auto"/>
                <w:w w:val="94"/>
              </w:rPr>
              <w:t>Identification No.)</w:t>
            </w:r>
          </w:p>
        </w:tc>
        <w:tc>
          <w:tcPr>
            <w:tcW w:w="0" w:type="dxa"/>
            <w:vAlign w:val="bottom"/>
          </w:tcPr>
          <w:p>
            <w:pPr>
              <w:spacing w:after="0"/>
              <w:rPr>
                <w:sz w:val="1"/>
                <w:szCs w:val="1"/>
                <w:color w:val="auto"/>
              </w:rPr>
            </w:pPr>
          </w:p>
        </w:tc>
      </w:tr>
      <w:tr>
        <w:trPr>
          <w:trHeight w:val="108"/>
        </w:trPr>
        <w:tc>
          <w:tcPr>
            <w:tcW w:w="1960" w:type="dxa"/>
            <w:vAlign w:val="bottom"/>
            <w:vMerge w:val="restart"/>
          </w:tcPr>
          <w:p>
            <w:pPr>
              <w:spacing w:after="0"/>
              <w:rPr>
                <w:sz w:val="20"/>
                <w:szCs w:val="20"/>
                <w:color w:val="auto"/>
              </w:rPr>
            </w:pPr>
            <w:r>
              <w:rPr>
                <w:rFonts w:ascii="Arial" w:cs="Arial" w:eastAsia="Arial" w:hAnsi="Arial"/>
                <w:sz w:val="12"/>
                <w:szCs w:val="12"/>
                <w:i w:val="1"/>
                <w:iCs w:val="1"/>
                <w:color w:val="auto"/>
              </w:rPr>
              <w:t>Classification Code Number)</w:t>
            </w: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196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89" w:lineRule="exact"/>
        <w:rPr>
          <w:sz w:val="24"/>
          <w:szCs w:val="24"/>
          <w:color w:val="auto"/>
        </w:rPr>
      </w:pPr>
    </w:p>
    <w:p>
      <w:pPr>
        <w:sectPr>
          <w:pgSz w:w="11900" w:h="16838" w:orient="portrait"/>
          <w:cols w:equalWidth="0" w:num="2">
            <w:col w:w="2980" w:space="200"/>
            <w:col w:w="5839"/>
          </w:cols>
          <w:pgMar w:left="1440" w:top="275" w:right="1440" w:bottom="1440" w:gutter="0" w:footer="0" w:header="0"/>
          <w:type w:val="continuous"/>
        </w:sectPr>
      </w:pPr>
    </w:p>
    <w:p>
      <w:pPr>
        <w:jc w:val="center"/>
        <w:ind w:right="-20"/>
        <w:spacing w:after="0"/>
        <w:rPr>
          <w:sz w:val="20"/>
          <w:szCs w:val="20"/>
          <w:color w:val="auto"/>
        </w:rPr>
      </w:pPr>
      <w:r>
        <w:rPr>
          <w:rFonts w:ascii="Arial" w:cs="Arial" w:eastAsia="Arial" w:hAnsi="Arial"/>
          <w:sz w:val="13"/>
          <w:szCs w:val="13"/>
          <w:b w:val="1"/>
          <w:bCs w:val="1"/>
          <w:color w:val="auto"/>
        </w:rPr>
        <w:t>Kornit Digital Ltd.</w:t>
      </w:r>
    </w:p>
    <w:p>
      <w:pPr>
        <w:spacing w:after="0" w:line="30"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12 Ha`Amal Street, Afek Park,</w:t>
      </w:r>
    </w:p>
    <w:p>
      <w:pPr>
        <w:spacing w:after="0" w:line="30"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Rosh-Ha`Ayin 4809246, Israel</w:t>
      </w:r>
    </w:p>
    <w:p>
      <w:pPr>
        <w:spacing w:after="0" w:line="30"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Tel: +972-3-908-5800</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12"/>
          <w:szCs w:val="12"/>
          <w:i w:val="1"/>
          <w:iCs w:val="1"/>
          <w:color w:val="auto"/>
        </w:rPr>
        <w:t>(Address, including zip code, and telephone number, including area code, of Registrant’s principal executive offices)</w:t>
      </w:r>
    </w:p>
    <w:p>
      <w:pPr>
        <w:spacing w:after="0" w:line="103"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Kornit Digital North America Inc.</w:t>
      </w:r>
    </w:p>
    <w:p>
      <w:pPr>
        <w:spacing w:after="0" w:line="30"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10541-10601 North Commerce Street</w:t>
      </w:r>
    </w:p>
    <w:p>
      <w:pPr>
        <w:spacing w:after="0" w:line="30"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Mequon, WI 53092</w:t>
      </w:r>
    </w:p>
    <w:p>
      <w:pPr>
        <w:spacing w:after="0" w:line="30"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(262) 518-0200</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12"/>
          <w:szCs w:val="12"/>
          <w:i w:val="1"/>
          <w:iCs w:val="1"/>
          <w:color w:val="auto"/>
        </w:rPr>
        <w:t>(Name, address, including zip code, and telephone number, including area code, of agent for service)</w:t>
      </w:r>
    </w:p>
    <w:p>
      <w:pPr>
        <w:spacing w:after="0" w:line="16"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______________________</w:t>
      </w:r>
    </w:p>
    <w:p>
      <w:pPr>
        <w:spacing w:after="0" w:line="178" w:lineRule="exact"/>
        <w:rPr>
          <w:sz w:val="24"/>
          <w:szCs w:val="24"/>
          <w:color w:val="auto"/>
        </w:rPr>
      </w:pPr>
    </w:p>
    <w:tbl>
      <w:tblPr>
        <w:tblLayout w:type="fixed"/>
        <w:tblInd w:w="1020" w:type="dxa"/>
        <w:tblCellMar>
          <w:top w:w="0" w:type="dxa"/>
          <w:left w:w="0" w:type="dxa"/>
          <w:bottom w:w="0" w:type="dxa"/>
          <w:right w:w="0" w:type="dxa"/>
        </w:tblCellMar>
      </w:tblPr>
      <w:tr>
        <w:trPr>
          <w:trHeight w:val="153"/>
        </w:trPr>
        <w:tc>
          <w:tcPr>
            <w:tcW w:w="1580" w:type="dxa"/>
            <w:vAlign w:val="bottom"/>
          </w:tcPr>
          <w:p>
            <w:pPr>
              <w:spacing w:after="0"/>
              <w:rPr>
                <w:sz w:val="13"/>
                <w:szCs w:val="13"/>
                <w:color w:val="auto"/>
              </w:rPr>
            </w:pPr>
          </w:p>
        </w:tc>
        <w:tc>
          <w:tcPr>
            <w:tcW w:w="3800" w:type="dxa"/>
            <w:vAlign w:val="bottom"/>
            <w:gridSpan w:val="2"/>
          </w:tcPr>
          <w:p>
            <w:pPr>
              <w:ind w:left="1140"/>
              <w:spacing w:after="0"/>
              <w:rPr>
                <w:sz w:val="20"/>
                <w:szCs w:val="20"/>
                <w:color w:val="auto"/>
              </w:rPr>
            </w:pPr>
            <w:r>
              <w:rPr>
                <w:rFonts w:ascii="Arial" w:cs="Arial" w:eastAsia="Arial" w:hAnsi="Arial"/>
                <w:sz w:val="12"/>
                <w:szCs w:val="12"/>
                <w:color w:val="auto"/>
              </w:rPr>
              <w:t>Copies of all correspondence to:</w:t>
            </w:r>
          </w:p>
        </w:tc>
        <w:tc>
          <w:tcPr>
            <w:tcW w:w="1600" w:type="dxa"/>
            <w:vAlign w:val="bottom"/>
          </w:tcPr>
          <w:p>
            <w:pPr>
              <w:spacing w:after="0"/>
              <w:rPr>
                <w:sz w:val="13"/>
                <w:szCs w:val="13"/>
                <w:color w:val="auto"/>
              </w:rPr>
            </w:pPr>
          </w:p>
        </w:tc>
      </w:tr>
      <w:tr>
        <w:trPr>
          <w:trHeight w:val="216"/>
        </w:trPr>
        <w:tc>
          <w:tcPr>
            <w:tcW w:w="1580" w:type="dxa"/>
            <w:vAlign w:val="bottom"/>
          </w:tcPr>
          <w:p>
            <w:pPr>
              <w:jc w:val="center"/>
              <w:ind w:right="60"/>
              <w:spacing w:after="0"/>
              <w:rPr>
                <w:sz w:val="20"/>
                <w:szCs w:val="20"/>
                <w:color w:val="auto"/>
              </w:rPr>
            </w:pPr>
            <w:r>
              <w:rPr>
                <w:rFonts w:ascii="Arial" w:cs="Arial" w:eastAsia="Arial" w:hAnsi="Arial"/>
                <w:sz w:val="12"/>
                <w:szCs w:val="12"/>
                <w:b w:val="1"/>
                <w:bCs w:val="1"/>
                <w:color w:val="auto"/>
                <w:w w:val="89"/>
              </w:rPr>
              <w:t>Colin J. Diamond, Esq</w:t>
            </w:r>
          </w:p>
        </w:tc>
        <w:tc>
          <w:tcPr>
            <w:tcW w:w="1840" w:type="dxa"/>
            <w:vAlign w:val="bottom"/>
          </w:tcPr>
          <w:p>
            <w:pPr>
              <w:jc w:val="center"/>
              <w:spacing w:after="0"/>
              <w:rPr>
                <w:sz w:val="20"/>
                <w:szCs w:val="20"/>
                <w:color w:val="auto"/>
              </w:rPr>
            </w:pPr>
            <w:r>
              <w:rPr>
                <w:rFonts w:ascii="Arial" w:cs="Arial" w:eastAsia="Arial" w:hAnsi="Arial"/>
                <w:sz w:val="12"/>
                <w:szCs w:val="12"/>
                <w:b w:val="1"/>
                <w:bCs w:val="1"/>
                <w:color w:val="auto"/>
                <w:w w:val="93"/>
              </w:rPr>
              <w:t>Clifford M. J. Felig, Adv.</w:t>
            </w:r>
          </w:p>
        </w:tc>
        <w:tc>
          <w:tcPr>
            <w:tcW w:w="1960" w:type="dxa"/>
            <w:vAlign w:val="bottom"/>
          </w:tcPr>
          <w:p>
            <w:pPr>
              <w:jc w:val="center"/>
              <w:spacing w:after="0"/>
              <w:rPr>
                <w:sz w:val="20"/>
                <w:szCs w:val="20"/>
                <w:color w:val="auto"/>
              </w:rPr>
            </w:pPr>
            <w:r>
              <w:rPr>
                <w:rFonts w:ascii="Arial" w:cs="Arial" w:eastAsia="Arial" w:hAnsi="Arial"/>
                <w:sz w:val="12"/>
                <w:szCs w:val="12"/>
                <w:b w:val="1"/>
                <w:bCs w:val="1"/>
                <w:color w:val="auto"/>
                <w:w w:val="90"/>
              </w:rPr>
              <w:t>David Goldschmidt, Esq.</w:t>
            </w:r>
          </w:p>
        </w:tc>
        <w:tc>
          <w:tcPr>
            <w:tcW w:w="1600" w:type="dxa"/>
            <w:vAlign w:val="bottom"/>
          </w:tcPr>
          <w:p>
            <w:pPr>
              <w:jc w:val="center"/>
              <w:ind w:left="80"/>
              <w:spacing w:after="0"/>
              <w:rPr>
                <w:sz w:val="20"/>
                <w:szCs w:val="20"/>
                <w:color w:val="auto"/>
              </w:rPr>
            </w:pPr>
            <w:r>
              <w:rPr>
                <w:rFonts w:ascii="Arial" w:cs="Arial" w:eastAsia="Arial" w:hAnsi="Arial"/>
                <w:sz w:val="12"/>
                <w:szCs w:val="12"/>
                <w:b w:val="1"/>
                <w:bCs w:val="1"/>
                <w:color w:val="auto"/>
                <w:w w:val="90"/>
              </w:rPr>
              <w:t>Shachar Hadar, Adv.</w:t>
            </w:r>
          </w:p>
        </w:tc>
      </w:tr>
      <w:tr>
        <w:trPr>
          <w:trHeight w:val="135"/>
        </w:trPr>
        <w:tc>
          <w:tcPr>
            <w:tcW w:w="1580" w:type="dxa"/>
            <w:vAlign w:val="bottom"/>
          </w:tcPr>
          <w:p>
            <w:pPr>
              <w:jc w:val="center"/>
              <w:ind w:right="60"/>
              <w:spacing w:after="0" w:line="135" w:lineRule="exact"/>
              <w:rPr>
                <w:sz w:val="20"/>
                <w:szCs w:val="20"/>
                <w:color w:val="auto"/>
              </w:rPr>
            </w:pPr>
            <w:r>
              <w:rPr>
                <w:rFonts w:ascii="Arial" w:cs="Arial" w:eastAsia="Arial" w:hAnsi="Arial"/>
                <w:sz w:val="12"/>
                <w:szCs w:val="12"/>
                <w:b w:val="1"/>
                <w:bCs w:val="1"/>
                <w:color w:val="auto"/>
                <w:w w:val="91"/>
              </w:rPr>
              <w:t>Joshua G. Kiernan, Esq.</w:t>
            </w:r>
          </w:p>
        </w:tc>
        <w:tc>
          <w:tcPr>
            <w:tcW w:w="18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1"/>
              </w:rPr>
              <w:t>Aviv Avidan-Shalit, Adv.</w:t>
            </w:r>
          </w:p>
        </w:tc>
        <w:tc>
          <w:tcPr>
            <w:tcW w:w="19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2"/>
              </w:rPr>
              <w:t>Phyllis G. Korff, Esq.</w:t>
            </w:r>
          </w:p>
        </w:tc>
        <w:tc>
          <w:tcPr>
            <w:tcW w:w="1600" w:type="dxa"/>
            <w:vAlign w:val="bottom"/>
          </w:tcPr>
          <w:p>
            <w:pPr>
              <w:jc w:val="center"/>
              <w:ind w:left="80"/>
              <w:spacing w:after="0" w:line="135" w:lineRule="exact"/>
              <w:rPr>
                <w:sz w:val="20"/>
                <w:szCs w:val="20"/>
                <w:color w:val="auto"/>
              </w:rPr>
            </w:pPr>
            <w:r>
              <w:rPr>
                <w:rFonts w:ascii="Arial" w:cs="Arial" w:eastAsia="Arial" w:hAnsi="Arial"/>
                <w:sz w:val="12"/>
                <w:szCs w:val="12"/>
                <w:b w:val="1"/>
                <w:bCs w:val="1"/>
                <w:color w:val="auto"/>
                <w:w w:val="90"/>
              </w:rPr>
              <w:t>Gross, Kleinhendler, Hodak,</w:t>
            </w:r>
          </w:p>
        </w:tc>
      </w:tr>
      <w:tr>
        <w:trPr>
          <w:trHeight w:val="135"/>
        </w:trPr>
        <w:tc>
          <w:tcPr>
            <w:tcW w:w="1580" w:type="dxa"/>
            <w:vAlign w:val="bottom"/>
          </w:tcPr>
          <w:p>
            <w:pPr>
              <w:jc w:val="center"/>
              <w:ind w:right="60"/>
              <w:spacing w:after="0" w:line="135" w:lineRule="exact"/>
              <w:rPr>
                <w:sz w:val="20"/>
                <w:szCs w:val="20"/>
                <w:color w:val="auto"/>
              </w:rPr>
            </w:pPr>
            <w:r>
              <w:rPr>
                <w:rFonts w:ascii="Arial" w:cs="Arial" w:eastAsia="Arial" w:hAnsi="Arial"/>
                <w:sz w:val="12"/>
                <w:szCs w:val="12"/>
                <w:b w:val="1"/>
                <w:bCs w:val="1"/>
                <w:color w:val="auto"/>
                <w:w w:val="95"/>
              </w:rPr>
              <w:t>White &amp; Case LLP</w:t>
            </w:r>
          </w:p>
        </w:tc>
        <w:tc>
          <w:tcPr>
            <w:tcW w:w="18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3"/>
              </w:rPr>
              <w:t>Meitar Liquornik Geva Leshem</w:t>
            </w:r>
          </w:p>
        </w:tc>
        <w:tc>
          <w:tcPr>
            <w:tcW w:w="19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1"/>
              </w:rPr>
              <w:t>Skadden, Arps, Slate, Meagher &amp;</w:t>
            </w:r>
          </w:p>
        </w:tc>
        <w:tc>
          <w:tcPr>
            <w:tcW w:w="1600" w:type="dxa"/>
            <w:vAlign w:val="bottom"/>
          </w:tcPr>
          <w:p>
            <w:pPr>
              <w:jc w:val="center"/>
              <w:ind w:left="80"/>
              <w:spacing w:after="0" w:line="135" w:lineRule="exact"/>
              <w:rPr>
                <w:sz w:val="20"/>
                <w:szCs w:val="20"/>
                <w:color w:val="auto"/>
              </w:rPr>
            </w:pPr>
            <w:r>
              <w:rPr>
                <w:rFonts w:ascii="Arial" w:cs="Arial" w:eastAsia="Arial" w:hAnsi="Arial"/>
                <w:sz w:val="12"/>
                <w:szCs w:val="12"/>
                <w:b w:val="1"/>
                <w:bCs w:val="1"/>
                <w:color w:val="auto"/>
                <w:w w:val="92"/>
              </w:rPr>
              <w:t>Halevy, Greenberg &amp; Co.</w:t>
            </w:r>
          </w:p>
        </w:tc>
      </w:tr>
      <w:tr>
        <w:trPr>
          <w:trHeight w:val="135"/>
        </w:trPr>
        <w:tc>
          <w:tcPr>
            <w:tcW w:w="1580" w:type="dxa"/>
            <w:vAlign w:val="bottom"/>
          </w:tcPr>
          <w:p>
            <w:pPr>
              <w:jc w:val="center"/>
              <w:ind w:right="60"/>
              <w:spacing w:after="0" w:line="135" w:lineRule="exact"/>
              <w:rPr>
                <w:sz w:val="20"/>
                <w:szCs w:val="20"/>
                <w:color w:val="auto"/>
              </w:rPr>
            </w:pPr>
            <w:r>
              <w:rPr>
                <w:rFonts w:ascii="Arial" w:cs="Arial" w:eastAsia="Arial" w:hAnsi="Arial"/>
                <w:sz w:val="12"/>
                <w:szCs w:val="12"/>
                <w:b w:val="1"/>
                <w:bCs w:val="1"/>
                <w:color w:val="auto"/>
                <w:w w:val="87"/>
              </w:rPr>
              <w:t>1155 Avenue of the Americas</w:t>
            </w:r>
          </w:p>
        </w:tc>
        <w:tc>
          <w:tcPr>
            <w:tcW w:w="18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1"/>
              </w:rPr>
              <w:t>Tal</w:t>
            </w:r>
          </w:p>
        </w:tc>
        <w:tc>
          <w:tcPr>
            <w:tcW w:w="19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5"/>
              </w:rPr>
              <w:t>Flom LLP</w:t>
            </w:r>
          </w:p>
        </w:tc>
        <w:tc>
          <w:tcPr>
            <w:tcW w:w="1600" w:type="dxa"/>
            <w:vAlign w:val="bottom"/>
          </w:tcPr>
          <w:p>
            <w:pPr>
              <w:jc w:val="center"/>
              <w:ind w:left="80"/>
              <w:spacing w:after="0" w:line="135" w:lineRule="exact"/>
              <w:rPr>
                <w:sz w:val="20"/>
                <w:szCs w:val="20"/>
                <w:color w:val="auto"/>
              </w:rPr>
            </w:pPr>
            <w:r>
              <w:rPr>
                <w:rFonts w:ascii="Arial" w:cs="Arial" w:eastAsia="Arial" w:hAnsi="Arial"/>
                <w:sz w:val="12"/>
                <w:szCs w:val="12"/>
                <w:b w:val="1"/>
                <w:bCs w:val="1"/>
                <w:color w:val="auto"/>
                <w:w w:val="94"/>
              </w:rPr>
              <w:t>One Azrieli Center</w:t>
            </w:r>
          </w:p>
        </w:tc>
      </w:tr>
      <w:tr>
        <w:trPr>
          <w:trHeight w:val="135"/>
        </w:trPr>
        <w:tc>
          <w:tcPr>
            <w:tcW w:w="1580" w:type="dxa"/>
            <w:vAlign w:val="bottom"/>
          </w:tcPr>
          <w:p>
            <w:pPr>
              <w:jc w:val="center"/>
              <w:ind w:right="60"/>
              <w:spacing w:after="0" w:line="135" w:lineRule="exact"/>
              <w:rPr>
                <w:sz w:val="20"/>
                <w:szCs w:val="20"/>
                <w:color w:val="auto"/>
              </w:rPr>
            </w:pPr>
            <w:r>
              <w:rPr>
                <w:rFonts w:ascii="Arial" w:cs="Arial" w:eastAsia="Arial" w:hAnsi="Arial"/>
                <w:sz w:val="12"/>
                <w:szCs w:val="12"/>
                <w:b w:val="1"/>
                <w:bCs w:val="1"/>
                <w:color w:val="auto"/>
                <w:w w:val="92"/>
              </w:rPr>
              <w:t>New York, NY 10036</w:t>
            </w:r>
          </w:p>
        </w:tc>
        <w:tc>
          <w:tcPr>
            <w:tcW w:w="18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3"/>
              </w:rPr>
              <w:t>16 Abba Hillel Silver Rd.</w:t>
            </w:r>
          </w:p>
        </w:tc>
        <w:tc>
          <w:tcPr>
            <w:tcW w:w="19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0"/>
              </w:rPr>
              <w:t>4 Times Square</w:t>
            </w:r>
          </w:p>
        </w:tc>
        <w:tc>
          <w:tcPr>
            <w:tcW w:w="1600" w:type="dxa"/>
            <w:vAlign w:val="bottom"/>
          </w:tcPr>
          <w:p>
            <w:pPr>
              <w:jc w:val="center"/>
              <w:ind w:left="80"/>
              <w:spacing w:after="0" w:line="135" w:lineRule="exact"/>
              <w:rPr>
                <w:sz w:val="20"/>
                <w:szCs w:val="20"/>
                <w:color w:val="auto"/>
              </w:rPr>
            </w:pPr>
            <w:r>
              <w:rPr>
                <w:rFonts w:ascii="Arial" w:cs="Arial" w:eastAsia="Arial" w:hAnsi="Arial"/>
                <w:sz w:val="12"/>
                <w:szCs w:val="12"/>
                <w:b w:val="1"/>
                <w:bCs w:val="1"/>
                <w:color w:val="auto"/>
                <w:w w:val="91"/>
              </w:rPr>
              <w:t>Tel Aviv 67021, Israel</w:t>
            </w:r>
          </w:p>
        </w:tc>
      </w:tr>
      <w:tr>
        <w:trPr>
          <w:trHeight w:val="135"/>
        </w:trPr>
        <w:tc>
          <w:tcPr>
            <w:tcW w:w="1580" w:type="dxa"/>
            <w:vAlign w:val="bottom"/>
          </w:tcPr>
          <w:p>
            <w:pPr>
              <w:jc w:val="center"/>
              <w:ind w:right="60"/>
              <w:spacing w:after="0" w:line="135" w:lineRule="exact"/>
              <w:rPr>
                <w:sz w:val="20"/>
                <w:szCs w:val="20"/>
                <w:color w:val="auto"/>
              </w:rPr>
            </w:pPr>
            <w:r>
              <w:rPr>
                <w:rFonts w:ascii="Arial" w:cs="Arial" w:eastAsia="Arial" w:hAnsi="Arial"/>
                <w:sz w:val="12"/>
                <w:szCs w:val="12"/>
                <w:b w:val="1"/>
                <w:bCs w:val="1"/>
                <w:color w:val="auto"/>
                <w:w w:val="91"/>
              </w:rPr>
              <w:t>Tel: (212) 819-8200</w:t>
            </w:r>
          </w:p>
        </w:tc>
        <w:tc>
          <w:tcPr>
            <w:tcW w:w="18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2"/>
              </w:rPr>
              <w:t>Ramat Gan 5250608, Israel</w:t>
            </w:r>
          </w:p>
        </w:tc>
        <w:tc>
          <w:tcPr>
            <w:tcW w:w="19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2"/>
              </w:rPr>
              <w:t>New York, NY 10036</w:t>
            </w:r>
          </w:p>
        </w:tc>
        <w:tc>
          <w:tcPr>
            <w:tcW w:w="1600" w:type="dxa"/>
            <w:vAlign w:val="bottom"/>
          </w:tcPr>
          <w:p>
            <w:pPr>
              <w:jc w:val="center"/>
              <w:ind w:left="80"/>
              <w:spacing w:after="0" w:line="135" w:lineRule="exact"/>
              <w:rPr>
                <w:sz w:val="20"/>
                <w:szCs w:val="20"/>
                <w:color w:val="auto"/>
              </w:rPr>
            </w:pPr>
            <w:r>
              <w:rPr>
                <w:rFonts w:ascii="Arial" w:cs="Arial" w:eastAsia="Arial" w:hAnsi="Arial"/>
                <w:sz w:val="12"/>
                <w:szCs w:val="12"/>
                <w:b w:val="1"/>
                <w:bCs w:val="1"/>
                <w:color w:val="auto"/>
                <w:w w:val="90"/>
              </w:rPr>
              <w:t>Tel: +972-3-607-4444</w:t>
            </w:r>
          </w:p>
        </w:tc>
      </w:tr>
      <w:tr>
        <w:trPr>
          <w:trHeight w:val="135"/>
        </w:trPr>
        <w:tc>
          <w:tcPr>
            <w:tcW w:w="1580" w:type="dxa"/>
            <w:vAlign w:val="bottom"/>
          </w:tcPr>
          <w:p>
            <w:pPr>
              <w:jc w:val="center"/>
              <w:ind w:right="60"/>
              <w:spacing w:after="0" w:line="135" w:lineRule="exact"/>
              <w:rPr>
                <w:sz w:val="20"/>
                <w:szCs w:val="20"/>
                <w:color w:val="auto"/>
              </w:rPr>
            </w:pPr>
            <w:r>
              <w:rPr>
                <w:rFonts w:ascii="Arial" w:cs="Arial" w:eastAsia="Arial" w:hAnsi="Arial"/>
                <w:sz w:val="12"/>
                <w:szCs w:val="12"/>
                <w:b w:val="1"/>
                <w:bCs w:val="1"/>
                <w:color w:val="auto"/>
                <w:w w:val="92"/>
              </w:rPr>
              <w:t>Fax: (212) 354-8113</w:t>
            </w:r>
          </w:p>
        </w:tc>
        <w:tc>
          <w:tcPr>
            <w:tcW w:w="18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2"/>
              </w:rPr>
              <w:t>Tel: +972-3-610-3100</w:t>
            </w:r>
          </w:p>
        </w:tc>
        <w:tc>
          <w:tcPr>
            <w:tcW w:w="19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1"/>
              </w:rPr>
              <w:t>Tel: (212) 735-3000</w:t>
            </w:r>
          </w:p>
        </w:tc>
        <w:tc>
          <w:tcPr>
            <w:tcW w:w="1600" w:type="dxa"/>
            <w:vAlign w:val="bottom"/>
          </w:tcPr>
          <w:p>
            <w:pPr>
              <w:jc w:val="center"/>
              <w:ind w:left="80"/>
              <w:spacing w:after="0" w:line="135" w:lineRule="exact"/>
              <w:rPr>
                <w:sz w:val="20"/>
                <w:szCs w:val="20"/>
                <w:color w:val="auto"/>
              </w:rPr>
            </w:pPr>
            <w:r>
              <w:rPr>
                <w:rFonts w:ascii="Arial" w:cs="Arial" w:eastAsia="Arial" w:hAnsi="Arial"/>
                <w:sz w:val="12"/>
                <w:szCs w:val="12"/>
                <w:b w:val="1"/>
                <w:bCs w:val="1"/>
                <w:color w:val="auto"/>
                <w:w w:val="91"/>
              </w:rPr>
              <w:t>Fax: +972-3-607-4470</w:t>
            </w:r>
          </w:p>
        </w:tc>
      </w:tr>
      <w:tr>
        <w:trPr>
          <w:trHeight w:val="155"/>
        </w:trPr>
        <w:tc>
          <w:tcPr>
            <w:tcW w:w="1580" w:type="dxa"/>
            <w:vAlign w:val="bottom"/>
          </w:tcPr>
          <w:p>
            <w:pPr>
              <w:spacing w:after="0"/>
              <w:rPr>
                <w:sz w:val="13"/>
                <w:szCs w:val="13"/>
                <w:color w:val="auto"/>
              </w:rPr>
            </w:pPr>
          </w:p>
        </w:tc>
        <w:tc>
          <w:tcPr>
            <w:tcW w:w="1840" w:type="dxa"/>
            <w:vAlign w:val="bottom"/>
          </w:tcPr>
          <w:p>
            <w:pPr>
              <w:jc w:val="center"/>
              <w:spacing w:after="0"/>
              <w:rPr>
                <w:sz w:val="20"/>
                <w:szCs w:val="20"/>
                <w:color w:val="auto"/>
              </w:rPr>
            </w:pPr>
            <w:r>
              <w:rPr>
                <w:rFonts w:ascii="Arial" w:cs="Arial" w:eastAsia="Arial" w:hAnsi="Arial"/>
                <w:sz w:val="12"/>
                <w:szCs w:val="12"/>
                <w:b w:val="1"/>
                <w:bCs w:val="1"/>
                <w:color w:val="auto"/>
                <w:w w:val="91"/>
              </w:rPr>
              <w:t>Fax: +972-3-610-3111</w:t>
            </w:r>
          </w:p>
        </w:tc>
        <w:tc>
          <w:tcPr>
            <w:tcW w:w="1960" w:type="dxa"/>
            <w:vAlign w:val="bottom"/>
          </w:tcPr>
          <w:p>
            <w:pPr>
              <w:jc w:val="center"/>
              <w:spacing w:after="0"/>
              <w:rPr>
                <w:sz w:val="20"/>
                <w:szCs w:val="20"/>
                <w:color w:val="auto"/>
              </w:rPr>
            </w:pPr>
            <w:r>
              <w:rPr>
                <w:rFonts w:ascii="Arial" w:cs="Arial" w:eastAsia="Arial" w:hAnsi="Arial"/>
                <w:sz w:val="12"/>
                <w:szCs w:val="12"/>
                <w:b w:val="1"/>
                <w:bCs w:val="1"/>
                <w:color w:val="auto"/>
                <w:w w:val="92"/>
              </w:rPr>
              <w:t>Fax: (212) 735-2000</w:t>
            </w:r>
          </w:p>
        </w:tc>
        <w:tc>
          <w:tcPr>
            <w:tcW w:w="1600" w:type="dxa"/>
            <w:vAlign w:val="bottom"/>
          </w:tcPr>
          <w:p>
            <w:pPr>
              <w:spacing w:after="0"/>
              <w:rPr>
                <w:sz w:val="13"/>
                <w:szCs w:val="13"/>
                <w:color w:val="auto"/>
              </w:rPr>
            </w:pPr>
          </w:p>
        </w:tc>
      </w:tr>
    </w:tbl>
    <w:p>
      <w:pPr>
        <w:spacing w:after="0" w:line="158"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______________________</w:t>
      </w:r>
    </w:p>
    <w:p>
      <w:pPr>
        <w:spacing w:after="0" w:line="173" w:lineRule="exact"/>
        <w:rPr>
          <w:sz w:val="24"/>
          <w:szCs w:val="24"/>
          <w:color w:val="auto"/>
        </w:rPr>
      </w:pPr>
    </w:p>
    <w:p>
      <w:pPr>
        <w:ind w:left="860" w:right="1219"/>
        <w:spacing w:after="0" w:line="323" w:lineRule="auto"/>
        <w:rPr>
          <w:sz w:val="20"/>
          <w:szCs w:val="20"/>
          <w:color w:val="auto"/>
        </w:rPr>
      </w:pPr>
      <w:r>
        <w:rPr>
          <w:rFonts w:ascii="Arial" w:cs="Arial" w:eastAsia="Arial" w:hAnsi="Arial"/>
          <w:sz w:val="13"/>
          <w:szCs w:val="13"/>
          <w:color w:val="auto"/>
        </w:rPr>
        <w:t>Approximate date of commencement of proposed sale to the public: As soon as practicable after effectiveness of this registration statement.</w:t>
      </w:r>
    </w:p>
    <w:p>
      <w:pPr>
        <w:spacing w:after="0" w:line="1" w:lineRule="exact"/>
        <w:rPr>
          <w:sz w:val="24"/>
          <w:szCs w:val="24"/>
          <w:color w:val="auto"/>
        </w:rPr>
      </w:pPr>
    </w:p>
    <w:p>
      <w:pPr>
        <w:ind w:left="860" w:right="919"/>
        <w:spacing w:after="0" w:line="186"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32" w:lineRule="exact"/>
        <w:rPr>
          <w:sz w:val="24"/>
          <w:szCs w:val="24"/>
          <w:color w:val="auto"/>
        </w:rPr>
      </w:pPr>
    </w:p>
    <w:p>
      <w:pPr>
        <w:ind w:left="860" w:right="1219"/>
        <w:spacing w:after="0" w:line="184"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3" w:lineRule="exact"/>
        <w:rPr>
          <w:sz w:val="24"/>
          <w:szCs w:val="24"/>
          <w:color w:val="auto"/>
        </w:rPr>
      </w:pPr>
    </w:p>
    <w:p>
      <w:pPr>
        <w:ind w:left="860" w:right="939"/>
        <w:spacing w:after="0" w:line="186"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2" w:lineRule="exact"/>
        <w:rPr>
          <w:sz w:val="24"/>
          <w:szCs w:val="24"/>
          <w:color w:val="auto"/>
        </w:rPr>
      </w:pPr>
    </w:p>
    <w:p>
      <w:pPr>
        <w:ind w:left="860" w:right="939"/>
        <w:spacing w:after="0" w:line="177"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ind w:left="3520"/>
        <w:spacing w:after="0"/>
        <w:rPr>
          <w:sz w:val="20"/>
          <w:szCs w:val="20"/>
          <w:color w:val="auto"/>
        </w:rPr>
      </w:pPr>
      <w:r>
        <w:rPr>
          <w:rFonts w:ascii="Arial" w:cs="Arial" w:eastAsia="Arial" w:hAnsi="Arial"/>
          <w:sz w:val="18"/>
          <w:szCs w:val="18"/>
          <w:color w:val="auto"/>
        </w:rPr>
        <w:t>______________________</w:t>
      </w:r>
    </w:p>
    <w:p>
      <w:pPr>
        <w:spacing w:after="0" w:line="126" w:lineRule="exact"/>
        <w:rPr>
          <w:sz w:val="24"/>
          <w:szCs w:val="24"/>
          <w:color w:val="auto"/>
        </w:rPr>
      </w:pPr>
    </w:p>
    <w:tbl>
      <w:tblPr>
        <w:tblLayout w:type="fixed"/>
        <w:tblInd w:w="860" w:type="dxa"/>
        <w:tblCellMar>
          <w:top w:w="0" w:type="dxa"/>
          <w:left w:w="0" w:type="dxa"/>
          <w:bottom w:w="0" w:type="dxa"/>
          <w:right w:w="0" w:type="dxa"/>
        </w:tblCellMar>
      </w:tblPr>
      <w:tr>
        <w:trPr>
          <w:trHeight w:val="155"/>
        </w:trPr>
        <w:tc>
          <w:tcPr>
            <w:tcW w:w="6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40" w:type="dxa"/>
            <w:vAlign w:val="bottom"/>
            <w:gridSpan w:val="4"/>
          </w:tcPr>
          <w:p>
            <w:pPr>
              <w:ind w:left="120"/>
              <w:spacing w:after="0"/>
              <w:rPr>
                <w:sz w:val="20"/>
                <w:szCs w:val="20"/>
                <w:color w:val="auto"/>
              </w:rPr>
            </w:pPr>
            <w:r>
              <w:rPr>
                <w:rFonts w:ascii="Arial" w:cs="Arial" w:eastAsia="Arial" w:hAnsi="Arial"/>
                <w:sz w:val="12"/>
                <w:szCs w:val="12"/>
                <w:b w:val="1"/>
                <w:bCs w:val="1"/>
                <w:color w:val="auto"/>
              </w:rPr>
              <w:t>CALCULATION OF REGISTRATION FEE</w:t>
            </w: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2"/>
                <w:szCs w:val="12"/>
                <w:b w:val="1"/>
                <w:bCs w:val="1"/>
                <w:color w:val="auto"/>
                <w:w w:val="86"/>
              </w:rPr>
              <w:t>Proposed</w:t>
            </w: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8"/>
              </w:rPr>
              <w:t>Proposed maximum</w:t>
            </w:r>
          </w:p>
        </w:tc>
        <w:tc>
          <w:tcPr>
            <w:tcW w:w="1100" w:type="dxa"/>
            <w:vAlign w:val="bottom"/>
          </w:tcPr>
          <w:p>
            <w:pPr>
              <w:jc w:val="center"/>
              <w:spacing w:after="0"/>
              <w:rPr>
                <w:sz w:val="20"/>
                <w:szCs w:val="20"/>
                <w:color w:val="auto"/>
              </w:rPr>
            </w:pPr>
            <w:r>
              <w:rPr>
                <w:rFonts w:ascii="Arial" w:cs="Arial" w:eastAsia="Arial" w:hAnsi="Arial"/>
                <w:sz w:val="12"/>
                <w:szCs w:val="12"/>
                <w:b w:val="1"/>
                <w:bCs w:val="1"/>
                <w:color w:val="auto"/>
                <w:w w:val="92"/>
              </w:rPr>
              <w:t>maximum</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0" w:type="dxa"/>
            <w:vAlign w:val="bottom"/>
          </w:tcPr>
          <w:p>
            <w:pPr>
              <w:spacing w:after="0"/>
              <w:rPr>
                <w:sz w:val="15"/>
                <w:szCs w:val="15"/>
                <w:color w:val="auto"/>
              </w:rPr>
            </w:pPr>
          </w:p>
        </w:tc>
        <w:tc>
          <w:tcPr>
            <w:tcW w:w="23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Title of each class of securities to be</w:t>
            </w:r>
          </w:p>
        </w:tc>
        <w:tc>
          <w:tcPr>
            <w:tcW w:w="960" w:type="dxa"/>
            <w:vAlign w:val="bottom"/>
          </w:tcPr>
          <w:p>
            <w:pPr>
              <w:jc w:val="center"/>
              <w:spacing w:after="0"/>
              <w:rPr>
                <w:sz w:val="20"/>
                <w:szCs w:val="20"/>
                <w:color w:val="auto"/>
              </w:rPr>
            </w:pPr>
            <w:r>
              <w:rPr>
                <w:rFonts w:ascii="Arial" w:cs="Arial" w:eastAsia="Arial" w:hAnsi="Arial"/>
                <w:sz w:val="12"/>
                <w:szCs w:val="12"/>
                <w:b w:val="1"/>
                <w:bCs w:val="1"/>
                <w:color w:val="auto"/>
                <w:w w:val="90"/>
              </w:rPr>
              <w:t>Amount to be</w:t>
            </w:r>
          </w:p>
        </w:tc>
        <w:tc>
          <w:tcPr>
            <w:tcW w:w="180" w:type="dxa"/>
            <w:vAlign w:val="bottom"/>
          </w:tcPr>
          <w:p>
            <w:pPr>
              <w:spacing w:after="0"/>
              <w:rPr>
                <w:sz w:val="15"/>
                <w:szCs w:val="15"/>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1"/>
              </w:rPr>
              <w:t>offering price per</w:t>
            </w:r>
          </w:p>
        </w:tc>
        <w:tc>
          <w:tcPr>
            <w:tcW w:w="1100" w:type="dxa"/>
            <w:vAlign w:val="bottom"/>
          </w:tcPr>
          <w:p>
            <w:pPr>
              <w:jc w:val="center"/>
              <w:spacing w:after="0"/>
              <w:rPr>
                <w:sz w:val="20"/>
                <w:szCs w:val="20"/>
                <w:color w:val="auto"/>
              </w:rPr>
            </w:pPr>
            <w:r>
              <w:rPr>
                <w:rFonts w:ascii="Arial" w:cs="Arial" w:eastAsia="Arial" w:hAnsi="Arial"/>
                <w:sz w:val="12"/>
                <w:szCs w:val="12"/>
                <w:b w:val="1"/>
                <w:bCs w:val="1"/>
                <w:color w:val="auto"/>
                <w:w w:val="89"/>
              </w:rPr>
              <w:t>aggregate offering</w:t>
            </w:r>
          </w:p>
        </w:tc>
        <w:tc>
          <w:tcPr>
            <w:tcW w:w="18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w w:val="93"/>
              </w:rPr>
              <w:t>Amount of</w:t>
            </w:r>
          </w:p>
        </w:tc>
        <w:tc>
          <w:tcPr>
            <w:tcW w:w="0" w:type="dxa"/>
            <w:vAlign w:val="bottom"/>
          </w:tcPr>
          <w:p>
            <w:pPr>
              <w:spacing w:after="0"/>
              <w:rPr>
                <w:sz w:val="1"/>
                <w:szCs w:val="1"/>
                <w:color w:val="auto"/>
              </w:rPr>
            </w:pPr>
          </w:p>
        </w:tc>
      </w:tr>
      <w:tr>
        <w:trPr>
          <w:trHeight w:val="45"/>
        </w:trPr>
        <w:tc>
          <w:tcPr>
            <w:tcW w:w="60" w:type="dxa"/>
            <w:vAlign w:val="bottom"/>
          </w:tcPr>
          <w:p>
            <w:pPr>
              <w:spacing w:after="0"/>
              <w:rPr>
                <w:sz w:val="3"/>
                <w:szCs w:val="3"/>
                <w:color w:val="auto"/>
              </w:rPr>
            </w:pPr>
          </w:p>
        </w:tc>
        <w:tc>
          <w:tcPr>
            <w:tcW w:w="2320" w:type="dxa"/>
            <w:vAlign w:val="bottom"/>
            <w:gridSpan w:val="2"/>
            <w:vMerge w:val="continue"/>
          </w:tcPr>
          <w:p>
            <w:pPr>
              <w:spacing w:after="0"/>
              <w:rPr>
                <w:sz w:val="3"/>
                <w:szCs w:val="3"/>
                <w:color w:val="auto"/>
              </w:rPr>
            </w:pPr>
          </w:p>
        </w:tc>
        <w:tc>
          <w:tcPr>
            <w:tcW w:w="9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4"/>
              </w:rPr>
              <w:t>registered</w:t>
            </w:r>
            <w:r>
              <w:rPr>
                <w:rFonts w:ascii="Arial" w:cs="Arial" w:eastAsia="Arial" w:hAnsi="Arial"/>
                <w:sz w:val="19"/>
                <w:szCs w:val="19"/>
                <w:b w:val="1"/>
                <w:bCs w:val="1"/>
                <w:color w:val="auto"/>
                <w:w w:val="84"/>
                <w:vertAlign w:val="superscript"/>
              </w:rPr>
              <w:t>(1)</w:t>
            </w:r>
          </w:p>
        </w:tc>
        <w:tc>
          <w:tcPr>
            <w:tcW w:w="180" w:type="dxa"/>
            <w:vAlign w:val="bottom"/>
          </w:tcPr>
          <w:p>
            <w:pPr>
              <w:spacing w:after="0"/>
              <w:rPr>
                <w:sz w:val="3"/>
                <w:szCs w:val="3"/>
                <w:color w:val="auto"/>
              </w:rPr>
            </w:pPr>
          </w:p>
        </w:tc>
        <w:tc>
          <w:tcPr>
            <w:tcW w:w="12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4"/>
              </w:rPr>
              <w:t>share</w:t>
            </w:r>
            <w:r>
              <w:rPr>
                <w:rFonts w:ascii="Arial" w:cs="Arial" w:eastAsia="Arial" w:hAnsi="Arial"/>
                <w:sz w:val="19"/>
                <w:szCs w:val="19"/>
                <w:b w:val="1"/>
                <w:bCs w:val="1"/>
                <w:color w:val="auto"/>
                <w:w w:val="84"/>
                <w:vertAlign w:val="superscript"/>
              </w:rPr>
              <w:t>(2)</w:t>
            </w:r>
          </w:p>
        </w:tc>
        <w:tc>
          <w:tcPr>
            <w:tcW w:w="180" w:type="dxa"/>
            <w:vAlign w:val="bottom"/>
            <w:vMerge w:val="restart"/>
          </w:tcPr>
          <w:p>
            <w:pPr>
              <w:spacing w:after="0"/>
              <w:rPr>
                <w:sz w:val="3"/>
                <w:szCs w:val="3"/>
                <w:color w:val="auto"/>
              </w:rPr>
            </w:pPr>
          </w:p>
        </w:tc>
        <w:tc>
          <w:tcPr>
            <w:tcW w:w="1100" w:type="dxa"/>
            <w:vAlign w:val="bottom"/>
            <w:vMerge w:val="restart"/>
          </w:tcPr>
          <w:p>
            <w:pPr>
              <w:jc w:val="center"/>
              <w:spacing w:after="0"/>
              <w:rPr>
                <w:sz w:val="20"/>
                <w:szCs w:val="20"/>
                <w:color w:val="auto"/>
              </w:rPr>
            </w:pPr>
            <w:r>
              <w:rPr>
                <w:rFonts w:ascii="Arial" w:cs="Arial" w:eastAsia="Arial" w:hAnsi="Arial"/>
                <w:sz w:val="23"/>
                <w:szCs w:val="23"/>
                <w:b w:val="1"/>
                <w:bCs w:val="1"/>
                <w:color w:val="auto"/>
                <w:w w:val="81"/>
                <w:vertAlign w:val="subscript"/>
              </w:rPr>
              <w:t>price</w:t>
            </w:r>
            <w:r>
              <w:rPr>
                <w:rFonts w:ascii="Arial" w:cs="Arial" w:eastAsia="Arial" w:hAnsi="Arial"/>
                <w:sz w:val="10"/>
                <w:szCs w:val="10"/>
                <w:b w:val="1"/>
                <w:bCs w:val="1"/>
                <w:color w:val="auto"/>
                <w:w w:val="81"/>
              </w:rPr>
              <w:t>(1)(2)</w:t>
            </w:r>
          </w:p>
        </w:tc>
        <w:tc>
          <w:tcPr>
            <w:tcW w:w="180" w:type="dxa"/>
            <w:vAlign w:val="bottom"/>
          </w:tcPr>
          <w:p>
            <w:pPr>
              <w:spacing w:after="0"/>
              <w:rPr>
                <w:sz w:val="3"/>
                <w:szCs w:val="3"/>
                <w:color w:val="auto"/>
              </w:rPr>
            </w:pPr>
          </w:p>
        </w:tc>
        <w:tc>
          <w:tcPr>
            <w:tcW w:w="10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6"/>
              </w:rPr>
              <w:t>registration fee</w:t>
            </w:r>
            <w:r>
              <w:rPr>
                <w:rFonts w:ascii="Arial" w:cs="Arial" w:eastAsia="Arial" w:hAnsi="Arial"/>
                <w:sz w:val="19"/>
                <w:szCs w:val="19"/>
                <w:b w:val="1"/>
                <w:bCs w:val="1"/>
                <w:color w:val="auto"/>
                <w:w w:val="86"/>
                <w:vertAlign w:val="superscript"/>
              </w:rPr>
              <w:t>(3)</w:t>
            </w:r>
          </w:p>
        </w:tc>
        <w:tc>
          <w:tcPr>
            <w:tcW w:w="0" w:type="dxa"/>
            <w:vAlign w:val="bottom"/>
          </w:tcPr>
          <w:p>
            <w:pPr>
              <w:spacing w:after="0"/>
              <w:rPr>
                <w:sz w:val="1"/>
                <w:szCs w:val="1"/>
                <w:color w:val="auto"/>
              </w:rPr>
            </w:pPr>
          </w:p>
        </w:tc>
      </w:tr>
      <w:tr>
        <w:trPr>
          <w:trHeight w:val="256"/>
        </w:trPr>
        <w:tc>
          <w:tcPr>
            <w:tcW w:w="60" w:type="dxa"/>
            <w:vAlign w:val="bottom"/>
          </w:tcPr>
          <w:p>
            <w:pPr>
              <w:spacing w:after="0"/>
              <w:rPr>
                <w:sz w:val="22"/>
                <w:szCs w:val="22"/>
                <w:color w:val="auto"/>
              </w:rPr>
            </w:pPr>
          </w:p>
        </w:tc>
        <w:tc>
          <w:tcPr>
            <w:tcW w:w="21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registered</w:t>
            </w:r>
          </w:p>
        </w:tc>
        <w:tc>
          <w:tcPr>
            <w:tcW w:w="180" w:type="dxa"/>
            <w:vAlign w:val="bottom"/>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Borders>
              <w:bottom w:val="single" w:sz="8" w:color="auto"/>
            </w:tcBorders>
            <w:vMerge w:val="continue"/>
          </w:tcPr>
          <w:p>
            <w:pPr>
              <w:spacing w:after="0"/>
              <w:rPr>
                <w:sz w:val="22"/>
                <w:szCs w:val="22"/>
                <w:color w:val="auto"/>
              </w:rPr>
            </w:pPr>
          </w:p>
        </w:tc>
        <w:tc>
          <w:tcPr>
            <w:tcW w:w="180" w:type="dxa"/>
            <w:vAlign w:val="bottom"/>
            <w:vMerge w:val="continue"/>
          </w:tcPr>
          <w:p>
            <w:pPr>
              <w:spacing w:after="0"/>
              <w:rPr>
                <w:sz w:val="22"/>
                <w:szCs w:val="22"/>
                <w:color w:val="auto"/>
              </w:rPr>
            </w:pPr>
          </w:p>
        </w:tc>
        <w:tc>
          <w:tcPr>
            <w:tcW w:w="1100" w:type="dxa"/>
            <w:vAlign w:val="bottom"/>
            <w:tcBorders>
              <w:bottom w:val="single" w:sz="8" w:color="auto"/>
            </w:tcBorders>
            <w:vMerge w:val="continue"/>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60" w:type="dxa"/>
            <w:vAlign w:val="bottom"/>
          </w:tcPr>
          <w:p>
            <w:pPr>
              <w:spacing w:after="0"/>
              <w:rPr>
                <w:sz w:val="23"/>
                <w:szCs w:val="23"/>
                <w:color w:val="auto"/>
              </w:rPr>
            </w:pPr>
          </w:p>
        </w:tc>
        <w:tc>
          <w:tcPr>
            <w:tcW w:w="2320" w:type="dxa"/>
            <w:vAlign w:val="bottom"/>
            <w:gridSpan w:val="2"/>
          </w:tcPr>
          <w:p>
            <w:pPr>
              <w:spacing w:after="0"/>
              <w:rPr>
                <w:sz w:val="20"/>
                <w:szCs w:val="20"/>
                <w:color w:val="auto"/>
              </w:rPr>
            </w:pPr>
            <w:r>
              <w:rPr>
                <w:rFonts w:ascii="Arial" w:cs="Arial" w:eastAsia="Arial" w:hAnsi="Arial"/>
                <w:sz w:val="12"/>
                <w:szCs w:val="12"/>
                <w:color w:val="auto"/>
                <w:w w:val="93"/>
              </w:rPr>
              <w:t>Ordinary shares, par value NIS 0.01 per share</w:t>
            </w:r>
          </w:p>
        </w:tc>
        <w:tc>
          <w:tcPr>
            <w:tcW w:w="960" w:type="dxa"/>
            <w:vAlign w:val="bottom"/>
          </w:tcPr>
          <w:p>
            <w:pPr>
              <w:jc w:val="center"/>
              <w:spacing w:after="0"/>
              <w:rPr>
                <w:sz w:val="20"/>
                <w:szCs w:val="20"/>
                <w:color w:val="auto"/>
              </w:rPr>
            </w:pPr>
            <w:r>
              <w:rPr>
                <w:rFonts w:ascii="Arial" w:cs="Arial" w:eastAsia="Arial" w:hAnsi="Arial"/>
                <w:sz w:val="15"/>
                <w:szCs w:val="15"/>
                <w:color w:val="auto"/>
                <w:w w:val="89"/>
              </w:rPr>
              <w:t>8,165,000</w:t>
            </w:r>
          </w:p>
        </w:tc>
        <w:tc>
          <w:tcPr>
            <w:tcW w:w="1400" w:type="dxa"/>
            <w:vAlign w:val="bottom"/>
            <w:gridSpan w:val="2"/>
          </w:tcPr>
          <w:p>
            <w:pPr>
              <w:jc w:val="center"/>
              <w:ind w:left="105"/>
              <w:spacing w:after="0"/>
              <w:rPr>
                <w:sz w:val="20"/>
                <w:szCs w:val="20"/>
                <w:color w:val="auto"/>
              </w:rPr>
            </w:pPr>
            <w:r>
              <w:rPr>
                <w:rFonts w:ascii="Arial" w:cs="Arial" w:eastAsia="Arial" w:hAnsi="Arial"/>
                <w:sz w:val="15"/>
                <w:szCs w:val="15"/>
                <w:color w:val="auto"/>
                <w:w w:val="91"/>
              </w:rPr>
              <w:t>$15.00</w:t>
            </w:r>
          </w:p>
        </w:tc>
        <w:tc>
          <w:tcPr>
            <w:tcW w:w="18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Arial" w:cs="Arial" w:eastAsia="Arial" w:hAnsi="Arial"/>
                <w:sz w:val="12"/>
                <w:szCs w:val="12"/>
                <w:color w:val="auto"/>
                <w:w w:val="89"/>
              </w:rPr>
              <w:t>$122,475,000</w:t>
            </w:r>
          </w:p>
        </w:tc>
        <w:tc>
          <w:tcPr>
            <w:tcW w:w="1200" w:type="dxa"/>
            <w:vAlign w:val="bottom"/>
            <w:gridSpan w:val="2"/>
          </w:tcPr>
          <w:p>
            <w:pPr>
              <w:jc w:val="center"/>
              <w:ind w:left="85"/>
              <w:spacing w:after="0"/>
              <w:rPr>
                <w:sz w:val="20"/>
                <w:szCs w:val="20"/>
                <w:color w:val="auto"/>
              </w:rPr>
            </w:pPr>
            <w:r>
              <w:rPr>
                <w:rFonts w:ascii="Arial" w:cs="Arial" w:eastAsia="Arial" w:hAnsi="Arial"/>
                <w:sz w:val="15"/>
                <w:szCs w:val="15"/>
                <w:color w:val="auto"/>
                <w:w w:val="88"/>
              </w:rPr>
              <w:t>$14,232</w:t>
            </w:r>
          </w:p>
        </w:tc>
        <w:tc>
          <w:tcPr>
            <w:tcW w:w="0" w:type="dxa"/>
            <w:vAlign w:val="bottom"/>
          </w:tcPr>
          <w:p>
            <w:pPr>
              <w:spacing w:after="0"/>
              <w:rPr>
                <w:sz w:val="1"/>
                <w:szCs w:val="1"/>
                <w:color w:val="auto"/>
              </w:rPr>
            </w:pPr>
          </w:p>
        </w:tc>
      </w:tr>
      <w:tr>
        <w:trPr>
          <w:trHeight w:val="228"/>
        </w:trPr>
        <w:tc>
          <w:tcPr>
            <w:tcW w:w="2200" w:type="dxa"/>
            <w:vAlign w:val="bottom"/>
            <w:gridSpan w:val="2"/>
          </w:tcPr>
          <w:p>
            <w:pPr>
              <w:jc w:val="right"/>
              <w:ind w:right="880"/>
              <w:spacing w:after="0"/>
              <w:rPr>
                <w:sz w:val="20"/>
                <w:szCs w:val="20"/>
                <w:color w:val="auto"/>
              </w:rPr>
            </w:pPr>
            <w:r>
              <w:rPr>
                <w:rFonts w:ascii="Arial" w:cs="Arial" w:eastAsia="Arial" w:hAnsi="Arial"/>
                <w:sz w:val="18"/>
                <w:szCs w:val="18"/>
                <w:color w:val="auto"/>
                <w:w w:val="88"/>
              </w:rPr>
              <w:t>______________</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080" w:hanging="210"/>
        <w:spacing w:after="0"/>
        <w:tabs>
          <w:tab w:leader="none" w:pos="1080" w:val="left"/>
        </w:tabs>
        <w:numPr>
          <w:ilvl w:val="0"/>
          <w:numId w:val="1"/>
        </w:numPr>
        <w:rPr>
          <w:rFonts w:ascii="Arial" w:cs="Arial" w:eastAsia="Arial" w:hAnsi="Arial"/>
          <w:sz w:val="12"/>
          <w:szCs w:val="12"/>
          <w:color w:val="auto"/>
        </w:rPr>
      </w:pPr>
      <w:r>
        <w:rPr>
          <w:rFonts w:ascii="Arial" w:cs="Arial" w:eastAsia="Arial" w:hAnsi="Arial"/>
          <w:sz w:val="12"/>
          <w:szCs w:val="12"/>
          <w:color w:val="auto"/>
        </w:rPr>
        <w:t>Includes shares granted pursuant to the underwriters’ option to purchase additional shares.</w:t>
      </w:r>
    </w:p>
    <w:p>
      <w:pPr>
        <w:spacing w:after="0" w:line="20" w:lineRule="exact"/>
        <w:rPr>
          <w:rFonts w:ascii="Arial" w:cs="Arial" w:eastAsia="Arial" w:hAnsi="Arial"/>
          <w:sz w:val="12"/>
          <w:szCs w:val="12"/>
          <w:color w:val="auto"/>
        </w:rPr>
      </w:pPr>
    </w:p>
    <w:p>
      <w:pPr>
        <w:ind w:left="1080" w:hanging="210"/>
        <w:spacing w:after="0"/>
        <w:tabs>
          <w:tab w:leader="none" w:pos="1080" w:val="left"/>
        </w:tabs>
        <w:numPr>
          <w:ilvl w:val="0"/>
          <w:numId w:val="1"/>
        </w:numPr>
        <w:rPr>
          <w:rFonts w:ascii="Arial" w:cs="Arial" w:eastAsia="Arial" w:hAnsi="Arial"/>
          <w:sz w:val="12"/>
          <w:szCs w:val="12"/>
          <w:color w:val="auto"/>
        </w:rPr>
      </w:pPr>
      <w:r>
        <w:rPr>
          <w:rFonts w:ascii="Arial" w:cs="Arial" w:eastAsia="Arial" w:hAnsi="Arial"/>
          <w:sz w:val="12"/>
          <w:szCs w:val="12"/>
          <w:color w:val="auto"/>
        </w:rPr>
        <w:t>Estimated solely for the purpose of calculating the registration fee pursuant to Rule 457(a) under the Securities Act of 1933.</w:t>
      </w:r>
    </w:p>
    <w:p>
      <w:pPr>
        <w:spacing w:after="0" w:line="30" w:lineRule="exact"/>
        <w:rPr>
          <w:rFonts w:ascii="Arial" w:cs="Arial" w:eastAsia="Arial" w:hAnsi="Arial"/>
          <w:sz w:val="12"/>
          <w:szCs w:val="12"/>
          <w:color w:val="auto"/>
        </w:rPr>
      </w:pPr>
    </w:p>
    <w:p>
      <w:pPr>
        <w:ind w:left="1140" w:hanging="270"/>
        <w:spacing w:after="0"/>
        <w:tabs>
          <w:tab w:leader="none" w:pos="1140" w:val="left"/>
        </w:tabs>
        <w:numPr>
          <w:ilvl w:val="0"/>
          <w:numId w:val="1"/>
        </w:numPr>
        <w:rPr>
          <w:rFonts w:ascii="Arial" w:cs="Arial" w:eastAsia="Arial" w:hAnsi="Arial"/>
          <w:sz w:val="12"/>
          <w:szCs w:val="12"/>
          <w:color w:val="auto"/>
        </w:rPr>
      </w:pPr>
      <w:r>
        <w:rPr>
          <w:rFonts w:ascii="Arial" w:cs="Arial" w:eastAsia="Arial" w:hAnsi="Arial"/>
          <w:sz w:val="12"/>
          <w:szCs w:val="12"/>
          <w:color w:val="auto"/>
        </w:rPr>
        <w:t>Previously paid.</w:t>
      </w:r>
    </w:p>
    <w:p>
      <w:pPr>
        <w:spacing w:after="0" w:line="13" w:lineRule="exact"/>
        <w:rPr>
          <w:sz w:val="24"/>
          <w:szCs w:val="24"/>
          <w:color w:val="auto"/>
        </w:rPr>
      </w:pPr>
    </w:p>
    <w:p>
      <w:pPr>
        <w:ind w:left="3700"/>
        <w:spacing w:after="0"/>
        <w:rPr>
          <w:sz w:val="20"/>
          <w:szCs w:val="20"/>
          <w:color w:val="auto"/>
        </w:rPr>
      </w:pPr>
      <w:r>
        <w:rPr>
          <w:rFonts w:ascii="Arial" w:cs="Arial" w:eastAsia="Arial" w:hAnsi="Arial"/>
          <w:sz w:val="15"/>
          <w:szCs w:val="15"/>
          <w:color w:val="auto"/>
        </w:rPr>
        <w:t>______________________</w:t>
      </w:r>
    </w:p>
    <w:p>
      <w:pPr>
        <w:ind w:left="860" w:right="939"/>
        <w:spacing w:after="0" w:line="265" w:lineRule="auto"/>
        <w:rPr>
          <w:sz w:val="20"/>
          <w:szCs w:val="20"/>
          <w:color w:val="auto"/>
        </w:rPr>
      </w:pPr>
      <w:r>
        <w:rPr>
          <w:rFonts w:ascii="Arial" w:cs="Arial" w:eastAsia="Arial" w:hAnsi="Arial"/>
          <w:sz w:val="11"/>
          <w:szCs w:val="11"/>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555625</wp:posOffset>
            </wp:positionH>
            <wp:positionV relativeFrom="paragraph">
              <wp:posOffset>182880</wp:posOffset>
            </wp:positionV>
            <wp:extent cx="462851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628515" cy="6985"/>
                    </a:xfrm>
                    <a:prstGeom prst="rect">
                      <a:avLst/>
                    </a:prstGeom>
                    <a:noFill/>
                  </pic:spPr>
                </pic:pic>
              </a:graphicData>
            </a:graphic>
          </wp:anchor>
        </w:drawing>
      </w:r>
    </w:p>
    <w:p>
      <w:pPr>
        <w:sectPr>
          <w:pgSz w:w="11900" w:h="16838" w:orient="portrait"/>
          <w:cols w:equalWidth="0" w:num="1">
            <w:col w:w="9019"/>
          </w:cols>
          <w:pgMar w:left="1440" w:top="275" w:right="1440"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5"/>
          <w:szCs w:val="15"/>
          <w:b w:val="1"/>
          <w:bCs w:val="1"/>
          <w:color w:val="auto"/>
        </w:rPr>
        <w:t>EXPLANATORY NOTE</w:t>
      </w:r>
    </w:p>
    <w:p>
      <w:pPr>
        <w:spacing w:after="0" w:line="190" w:lineRule="exact"/>
        <w:rPr>
          <w:sz w:val="20"/>
          <w:szCs w:val="20"/>
          <w:color w:val="auto"/>
        </w:rPr>
      </w:pPr>
    </w:p>
    <w:p>
      <w:pPr>
        <w:ind w:left="860" w:right="919" w:firstLine="179"/>
        <w:spacing w:after="0" w:line="351" w:lineRule="auto"/>
        <w:rPr>
          <w:sz w:val="20"/>
          <w:szCs w:val="20"/>
          <w:color w:val="auto"/>
        </w:rPr>
      </w:pPr>
      <w:r>
        <w:rPr>
          <w:rFonts w:ascii="Arial" w:cs="Arial" w:eastAsia="Arial" w:hAnsi="Arial"/>
          <w:sz w:val="13"/>
          <w:szCs w:val="13"/>
          <w:color w:val="auto"/>
        </w:rPr>
        <w:t>This Amendment is filed solely to file the exhibits indicated in Item 8 of Part II. No change is made to the preliminary prospectus constituting Part I of the Registration Statement or Items 6, 7 or 9 of Part II of the Registration Statement.</w:t>
      </w:r>
    </w:p>
    <w:p>
      <w:pPr>
        <w:spacing w:after="0" w:line="97" w:lineRule="exact"/>
        <w:rPr>
          <w:sz w:val="20"/>
          <w:szCs w:val="20"/>
          <w:color w:val="auto"/>
        </w:rPr>
      </w:pPr>
    </w:p>
    <w:p>
      <w:pPr>
        <w:ind w:left="860"/>
        <w:spacing w:after="0"/>
        <w:rPr>
          <w:sz w:val="20"/>
          <w:szCs w:val="20"/>
          <w:color w:val="auto"/>
        </w:rPr>
      </w:pPr>
      <w:r>
        <w:rPr>
          <w:rFonts w:ascii="Arial" w:cs="Arial" w:eastAsia="Arial" w:hAnsi="Arial"/>
          <w:sz w:val="15"/>
          <w:szCs w:val="15"/>
          <w:b w:val="1"/>
          <w:bCs w:val="1"/>
          <w:color w:val="auto"/>
        </w:rPr>
        <w:t>Item 8. Exhibits and Financial Statement Schedules.</w:t>
      </w:r>
    </w:p>
    <w:p>
      <w:pPr>
        <w:spacing w:after="0" w:line="190" w:lineRule="exact"/>
        <w:rPr>
          <w:sz w:val="20"/>
          <w:szCs w:val="20"/>
          <w:color w:val="auto"/>
        </w:rPr>
      </w:pPr>
    </w:p>
    <w:p>
      <w:pPr>
        <w:ind w:left="1280" w:hanging="231"/>
        <w:spacing w:after="0"/>
        <w:tabs>
          <w:tab w:leader="none" w:pos="1280"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Exhibit Index is hereby incorporated herein by reference.</w:t>
      </w:r>
    </w:p>
    <w:p>
      <w:pPr>
        <w:spacing w:after="0" w:line="186" w:lineRule="exact"/>
        <w:rPr>
          <w:rFonts w:ascii="Arial" w:cs="Arial" w:eastAsia="Arial" w:hAnsi="Arial"/>
          <w:sz w:val="15"/>
          <w:szCs w:val="15"/>
          <w:color w:val="auto"/>
        </w:rPr>
      </w:pPr>
    </w:p>
    <w:p>
      <w:pPr>
        <w:ind w:left="1280" w:hanging="231"/>
        <w:spacing w:after="0"/>
        <w:tabs>
          <w:tab w:leader="none" w:pos="1280" w:val="left"/>
        </w:tabs>
        <w:numPr>
          <w:ilvl w:val="0"/>
          <w:numId w:val="2"/>
        </w:numPr>
        <w:rPr>
          <w:rFonts w:ascii="Arial" w:cs="Arial" w:eastAsia="Arial" w:hAnsi="Arial"/>
          <w:sz w:val="15"/>
          <w:szCs w:val="15"/>
          <w:color w:val="auto"/>
        </w:rPr>
      </w:pPr>
      <w:r>
        <w:rPr>
          <w:rFonts w:ascii="Arial" w:cs="Arial" w:eastAsia="Arial" w:hAnsi="Arial"/>
          <w:sz w:val="15"/>
          <w:szCs w:val="15"/>
          <w:color w:val="auto"/>
        </w:rPr>
        <w:t>Financial Statement Schedules.</w:t>
      </w:r>
    </w:p>
    <w:p>
      <w:pPr>
        <w:spacing w:after="0" w:line="186" w:lineRule="exact"/>
        <w:rPr>
          <w:sz w:val="20"/>
          <w:szCs w:val="20"/>
          <w:color w:val="auto"/>
        </w:rPr>
      </w:pPr>
    </w:p>
    <w:p>
      <w:pPr>
        <w:ind w:left="860" w:right="979" w:firstLine="179"/>
        <w:spacing w:after="0" w:line="261" w:lineRule="auto"/>
        <w:rPr>
          <w:sz w:val="20"/>
          <w:szCs w:val="20"/>
          <w:color w:val="auto"/>
        </w:rPr>
      </w:pPr>
      <w:r>
        <w:rPr>
          <w:rFonts w:ascii="Arial" w:cs="Arial" w:eastAsia="Arial" w:hAnsi="Arial"/>
          <w:sz w:val="15"/>
          <w:szCs w:val="15"/>
          <w:color w:val="auto"/>
        </w:rPr>
        <w:t>All Financial Statement Schedules have been omitted because either they are not required, are not applicable or the information required therein is otherwise set forth in the Registrant’s consolidated financial statements and related notes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140970</wp:posOffset>
            </wp:positionV>
            <wp:extent cx="462851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628515" cy="698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5"/>
          <w:szCs w:val="15"/>
          <w:b w:val="1"/>
          <w:bCs w:val="1"/>
          <w:color w:val="auto"/>
        </w:rPr>
        <w:t>SIGNATURES</w:t>
      </w:r>
    </w:p>
    <w:p>
      <w:pPr>
        <w:spacing w:after="0" w:line="190" w:lineRule="exact"/>
        <w:rPr>
          <w:sz w:val="20"/>
          <w:szCs w:val="20"/>
          <w:color w:val="auto"/>
        </w:rPr>
      </w:pPr>
    </w:p>
    <w:p>
      <w:pPr>
        <w:ind w:left="860" w:right="959" w:firstLine="179"/>
        <w:spacing w:after="0" w:line="307" w:lineRule="auto"/>
        <w:rPr>
          <w:sz w:val="20"/>
          <w:szCs w:val="20"/>
          <w:color w:val="auto"/>
        </w:rPr>
      </w:pPr>
      <w:r>
        <w:rPr>
          <w:rFonts w:ascii="Arial" w:cs="Arial" w:eastAsia="Arial" w:hAnsi="Arial"/>
          <w:sz w:val="13"/>
          <w:szCs w:val="13"/>
          <w:color w:val="auto"/>
        </w:rPr>
        <w:t>Pursuant to the requirements of the Securities Act of 1933, the Registrant certifies that it has reasonable grounds to believe that it meets all of the requirements for filing on Form F-1 and has duly caused this registration statement to be</w:t>
      </w:r>
    </w:p>
    <w:p>
      <w:pPr>
        <w:spacing w:after="0" w:line="1" w:lineRule="exact"/>
        <w:rPr>
          <w:sz w:val="20"/>
          <w:szCs w:val="20"/>
          <w:color w:val="auto"/>
        </w:rPr>
      </w:pPr>
    </w:p>
    <w:p>
      <w:pPr>
        <w:ind w:left="860" w:right="1019"/>
        <w:spacing w:after="0" w:line="214" w:lineRule="auto"/>
        <w:rPr>
          <w:sz w:val="20"/>
          <w:szCs w:val="20"/>
          <w:color w:val="auto"/>
        </w:rPr>
      </w:pPr>
      <w:r>
        <w:rPr>
          <w:rFonts w:ascii="Arial" w:cs="Arial" w:eastAsia="Arial" w:hAnsi="Arial"/>
          <w:sz w:val="15"/>
          <w:szCs w:val="15"/>
          <w:color w:val="auto"/>
        </w:rPr>
        <w:t>signed on its behalf by the undersigned, thereunto duly authorized, in Rosh Ha-Ayin, Israel on this 26</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day of March, 2015.</w:t>
      </w:r>
    </w:p>
    <w:p>
      <w:pPr>
        <w:spacing w:after="0" w:line="166" w:lineRule="exact"/>
        <w:rPr>
          <w:sz w:val="20"/>
          <w:szCs w:val="20"/>
          <w:color w:val="auto"/>
        </w:rPr>
      </w:pPr>
    </w:p>
    <w:p>
      <w:pPr>
        <w:ind w:left="4960"/>
        <w:spacing w:after="0"/>
        <w:rPr>
          <w:sz w:val="20"/>
          <w:szCs w:val="20"/>
          <w:color w:val="auto"/>
        </w:rPr>
      </w:pPr>
      <w:r>
        <w:rPr>
          <w:rFonts w:ascii="Arial" w:cs="Arial" w:eastAsia="Arial" w:hAnsi="Arial"/>
          <w:sz w:val="15"/>
          <w:szCs w:val="15"/>
          <w:b w:val="1"/>
          <w:bCs w:val="1"/>
          <w:color w:val="auto"/>
        </w:rPr>
        <w:t>KORNIT DIGITAL LTD.</w:t>
      </w:r>
    </w:p>
    <w:p>
      <w:pPr>
        <w:spacing w:after="0" w:line="190" w:lineRule="exact"/>
        <w:rPr>
          <w:sz w:val="20"/>
          <w:szCs w:val="20"/>
          <w:color w:val="auto"/>
        </w:rPr>
      </w:pPr>
    </w:p>
    <w:p>
      <w:pPr>
        <w:ind w:left="4960"/>
        <w:spacing w:after="0"/>
        <w:tabs>
          <w:tab w:leader="none" w:pos="5340" w:val="left"/>
        </w:tabs>
        <w:rPr>
          <w:sz w:val="20"/>
          <w:szCs w:val="20"/>
          <w:color w:val="auto"/>
        </w:rPr>
      </w:pPr>
      <w:r>
        <w:rPr>
          <w:rFonts w:ascii="Arial" w:cs="Arial" w:eastAsia="Arial" w:hAnsi="Arial"/>
          <w:sz w:val="15"/>
          <w:szCs w:val="15"/>
          <w:color w:val="auto"/>
        </w:rPr>
        <w:t>By:</w:t>
        <w:tab/>
        <w:t>/s/ Gabi Seligsohn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3404235</wp:posOffset>
            </wp:positionH>
            <wp:positionV relativeFrom="paragraph">
              <wp:posOffset>11430</wp:posOffset>
            </wp:positionV>
            <wp:extent cx="177990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79905" cy="6985"/>
                    </a:xfrm>
                    <a:prstGeom prst="rect">
                      <a:avLst/>
                    </a:prstGeom>
                    <a:noFill/>
                  </pic:spPr>
                </pic:pic>
              </a:graphicData>
            </a:graphic>
          </wp:anchor>
        </w:drawing>
      </w:r>
    </w:p>
    <w:p>
      <w:pPr>
        <w:ind w:left="5360"/>
        <w:spacing w:after="0"/>
        <w:rPr>
          <w:sz w:val="20"/>
          <w:szCs w:val="20"/>
          <w:color w:val="auto"/>
        </w:rPr>
      </w:pPr>
      <w:r>
        <w:rPr>
          <w:rFonts w:ascii="Arial" w:cs="Arial" w:eastAsia="Arial" w:hAnsi="Arial"/>
          <w:sz w:val="15"/>
          <w:szCs w:val="15"/>
          <w:color w:val="auto"/>
        </w:rPr>
        <w:t>Name: Gabi Seligsohn</w:t>
      </w:r>
    </w:p>
    <w:p>
      <w:pPr>
        <w:spacing w:after="0" w:line="17" w:lineRule="exact"/>
        <w:rPr>
          <w:sz w:val="20"/>
          <w:szCs w:val="20"/>
          <w:color w:val="auto"/>
        </w:rPr>
      </w:pPr>
    </w:p>
    <w:p>
      <w:pPr>
        <w:ind w:left="5360"/>
        <w:spacing w:after="0"/>
        <w:rPr>
          <w:sz w:val="20"/>
          <w:szCs w:val="20"/>
          <w:color w:val="auto"/>
        </w:rPr>
      </w:pPr>
      <w:r>
        <w:rPr>
          <w:rFonts w:ascii="Arial" w:cs="Arial" w:eastAsia="Arial" w:hAnsi="Arial"/>
          <w:sz w:val="14"/>
          <w:szCs w:val="14"/>
          <w:color w:val="auto"/>
        </w:rPr>
        <w:t>Title: Chief Executive Officer and Director</w:t>
      </w:r>
    </w:p>
    <w:p>
      <w:pPr>
        <w:spacing w:after="0" w:line="154" w:lineRule="exact"/>
        <w:rPr>
          <w:sz w:val="20"/>
          <w:szCs w:val="20"/>
          <w:color w:val="auto"/>
        </w:rPr>
      </w:pPr>
    </w:p>
    <w:p>
      <w:pPr>
        <w:ind w:left="860" w:right="1039" w:firstLine="179"/>
        <w:spacing w:after="0" w:line="272" w:lineRule="auto"/>
        <w:rPr>
          <w:sz w:val="20"/>
          <w:szCs w:val="20"/>
          <w:color w:val="auto"/>
        </w:rPr>
      </w:pPr>
      <w:r>
        <w:rPr>
          <w:rFonts w:ascii="Arial" w:cs="Arial" w:eastAsia="Arial" w:hAnsi="Arial"/>
          <w:sz w:val="15"/>
          <w:szCs w:val="15"/>
          <w:color w:val="auto"/>
        </w:rPr>
        <w:t>Pursuant to the requirements of the Securities Act of 1933, as amended, this Registration Statement has been signed by the following persons on March 26, 2015 in the capacities indicated:</w:t>
      </w:r>
    </w:p>
    <w:p>
      <w:pPr>
        <w:sectPr>
          <w:pgSz w:w="11900" w:h="16838" w:orient="portrait"/>
          <w:cols w:equalWidth="0" w:num="1">
            <w:col w:w="9019"/>
          </w:cols>
          <w:pgMar w:left="1440" w:top="125" w:right="1440" w:bottom="1440" w:gutter="0" w:footer="0" w:header="0"/>
        </w:sectPr>
      </w:pPr>
    </w:p>
    <w:p>
      <w:pPr>
        <w:spacing w:after="0" w:line="147" w:lineRule="exact"/>
        <w:rPr>
          <w:sz w:val="20"/>
          <w:szCs w:val="20"/>
          <w:color w:val="auto"/>
        </w:rPr>
      </w:pPr>
    </w:p>
    <w:p>
      <w:pPr>
        <w:jc w:val="center"/>
        <w:ind w:left="1280"/>
        <w:spacing w:after="0"/>
        <w:rPr>
          <w:sz w:val="20"/>
          <w:szCs w:val="20"/>
          <w:color w:val="auto"/>
        </w:rPr>
      </w:pPr>
      <w:r>
        <w:rPr>
          <w:rFonts w:ascii="Arial" w:cs="Arial" w:eastAsia="Arial" w:hAnsi="Arial"/>
          <w:sz w:val="12"/>
          <w:szCs w:val="12"/>
          <w:b w:val="1"/>
          <w:bCs w:val="1"/>
          <w:color w:val="auto"/>
        </w:rPr>
        <w:t>Signature and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669925</wp:posOffset>
            </wp:positionH>
            <wp:positionV relativeFrom="paragraph">
              <wp:posOffset>33020</wp:posOffset>
            </wp:positionV>
            <wp:extent cx="103949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9495" cy="6985"/>
                    </a:xfrm>
                    <a:prstGeom prst="rect">
                      <a:avLst/>
                    </a:prstGeom>
                    <a:noFill/>
                  </pic:spPr>
                </pic:pic>
              </a:graphicData>
            </a:graphic>
          </wp:anchor>
        </w:drawing>
      </w:r>
    </w:p>
    <w:p>
      <w:pPr>
        <w:spacing w:after="0" w:line="203" w:lineRule="exact"/>
        <w:rPr>
          <w:sz w:val="20"/>
          <w:szCs w:val="20"/>
          <w:color w:val="auto"/>
        </w:rPr>
      </w:pPr>
    </w:p>
    <w:p>
      <w:pPr>
        <w:jc w:val="center"/>
        <w:ind w:left="1280"/>
        <w:spacing w:after="0"/>
        <w:rPr>
          <w:sz w:val="20"/>
          <w:szCs w:val="20"/>
          <w:color w:val="auto"/>
        </w:rPr>
      </w:pPr>
      <w:r>
        <w:rPr>
          <w:rFonts w:ascii="Arial" w:cs="Arial" w:eastAsia="Arial" w:hAnsi="Arial"/>
          <w:sz w:val="13"/>
          <w:szCs w:val="13"/>
          <w:color w:val="auto"/>
        </w:rPr>
        <w:t>/s/ Gabi Seligsohn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669925</wp:posOffset>
            </wp:positionH>
            <wp:positionV relativeFrom="paragraph">
              <wp:posOffset>17145</wp:posOffset>
            </wp:positionV>
            <wp:extent cx="103949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9495" cy="6985"/>
                    </a:xfrm>
                    <a:prstGeom prst="rect">
                      <a:avLst/>
                    </a:prstGeom>
                    <a:noFill/>
                  </pic:spPr>
                </pic:pic>
              </a:graphicData>
            </a:graphic>
          </wp:anchor>
        </w:drawing>
      </w:r>
    </w:p>
    <w:p>
      <w:pPr>
        <w:spacing w:after="0" w:line="10" w:lineRule="exact"/>
        <w:rPr>
          <w:sz w:val="20"/>
          <w:szCs w:val="20"/>
          <w:color w:val="auto"/>
        </w:rPr>
      </w:pPr>
    </w:p>
    <w:p>
      <w:pPr>
        <w:ind w:left="1460"/>
        <w:spacing w:after="0"/>
        <w:rPr>
          <w:sz w:val="20"/>
          <w:szCs w:val="20"/>
          <w:color w:val="auto"/>
        </w:rPr>
      </w:pPr>
      <w:r>
        <w:rPr>
          <w:rFonts w:ascii="Arial" w:cs="Arial" w:eastAsia="Arial" w:hAnsi="Arial"/>
          <w:sz w:val="13"/>
          <w:szCs w:val="13"/>
          <w:color w:val="auto"/>
        </w:rPr>
        <w:t>Gabi Seligsohn</w:t>
      </w:r>
    </w:p>
    <w:p>
      <w:pPr>
        <w:spacing w:after="0" w:line="22" w:lineRule="exact"/>
        <w:rPr>
          <w:sz w:val="20"/>
          <w:szCs w:val="20"/>
          <w:color w:val="auto"/>
        </w:rPr>
      </w:pPr>
    </w:p>
    <w:p>
      <w:pPr>
        <w:ind w:left="1460"/>
        <w:spacing w:after="0"/>
        <w:rPr>
          <w:sz w:val="20"/>
          <w:szCs w:val="20"/>
          <w:color w:val="auto"/>
        </w:rPr>
      </w:pPr>
      <w:r>
        <w:rPr>
          <w:rFonts w:ascii="Arial" w:cs="Arial" w:eastAsia="Arial" w:hAnsi="Arial"/>
          <w:sz w:val="13"/>
          <w:szCs w:val="13"/>
          <w:color w:val="auto"/>
        </w:rPr>
        <w:t>/s/ 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669925</wp:posOffset>
            </wp:positionH>
            <wp:positionV relativeFrom="paragraph">
              <wp:posOffset>15240</wp:posOffset>
            </wp:positionV>
            <wp:extent cx="103949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39495" cy="6985"/>
                    </a:xfrm>
                    <a:prstGeom prst="rect">
                      <a:avLst/>
                    </a:prstGeom>
                    <a:noFill/>
                  </pic:spPr>
                </pic:pic>
              </a:graphicData>
            </a:graphic>
          </wp:anchor>
        </w:drawing>
      </w:r>
    </w:p>
    <w:p>
      <w:pPr>
        <w:spacing w:after="0" w:line="6" w:lineRule="exact"/>
        <w:rPr>
          <w:sz w:val="20"/>
          <w:szCs w:val="20"/>
          <w:color w:val="auto"/>
        </w:rPr>
      </w:pPr>
    </w:p>
    <w:p>
      <w:pPr>
        <w:jc w:val="center"/>
        <w:ind w:left="1280"/>
        <w:spacing w:after="0"/>
        <w:rPr>
          <w:sz w:val="20"/>
          <w:szCs w:val="20"/>
          <w:color w:val="auto"/>
        </w:rPr>
      </w:pPr>
      <w:r>
        <w:rPr>
          <w:rFonts w:ascii="Arial" w:cs="Arial" w:eastAsia="Arial" w:hAnsi="Arial"/>
          <w:sz w:val="13"/>
          <w:szCs w:val="13"/>
          <w:color w:val="auto"/>
        </w:rPr>
        <w:t>Guy Avidan</w:t>
      </w:r>
    </w:p>
    <w:p>
      <w:pPr>
        <w:spacing w:after="0" w:line="176" w:lineRule="exact"/>
        <w:rPr>
          <w:sz w:val="20"/>
          <w:szCs w:val="20"/>
          <w:color w:val="auto"/>
        </w:rPr>
      </w:pPr>
    </w:p>
    <w:p>
      <w:pPr>
        <w:ind w:left="1840"/>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669925</wp:posOffset>
            </wp:positionH>
            <wp:positionV relativeFrom="paragraph">
              <wp:posOffset>17145</wp:posOffset>
            </wp:positionV>
            <wp:extent cx="103949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39495" cy="6985"/>
                    </a:xfrm>
                    <a:prstGeom prst="rect">
                      <a:avLst/>
                    </a:prstGeom>
                    <a:noFill/>
                  </pic:spPr>
                </pic:pic>
              </a:graphicData>
            </a:graphic>
          </wp:anchor>
        </w:drawing>
      </w:r>
    </w:p>
    <w:p>
      <w:pPr>
        <w:spacing w:after="0" w:line="10" w:lineRule="exact"/>
        <w:rPr>
          <w:sz w:val="20"/>
          <w:szCs w:val="20"/>
          <w:color w:val="auto"/>
        </w:rPr>
      </w:pPr>
    </w:p>
    <w:p>
      <w:pPr>
        <w:ind w:left="1520"/>
        <w:spacing w:after="0"/>
        <w:rPr>
          <w:sz w:val="20"/>
          <w:szCs w:val="20"/>
          <w:color w:val="auto"/>
        </w:rPr>
      </w:pPr>
      <w:r>
        <w:rPr>
          <w:rFonts w:ascii="Arial" w:cs="Arial" w:eastAsia="Arial" w:hAnsi="Arial"/>
          <w:sz w:val="13"/>
          <w:szCs w:val="13"/>
          <w:color w:val="auto"/>
        </w:rPr>
        <w:t>Yuval Cohen</w:t>
      </w:r>
    </w:p>
    <w:p>
      <w:pPr>
        <w:spacing w:after="0" w:line="22" w:lineRule="exact"/>
        <w:rPr>
          <w:sz w:val="20"/>
          <w:szCs w:val="20"/>
          <w:color w:val="auto"/>
        </w:rPr>
      </w:pPr>
    </w:p>
    <w:p>
      <w:pPr>
        <w:ind w:left="1840"/>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669925</wp:posOffset>
            </wp:positionH>
            <wp:positionV relativeFrom="paragraph">
              <wp:posOffset>15240</wp:posOffset>
            </wp:positionV>
            <wp:extent cx="103949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39495" cy="6985"/>
                    </a:xfrm>
                    <a:prstGeom prst="rect">
                      <a:avLst/>
                    </a:prstGeom>
                    <a:noFill/>
                  </pic:spPr>
                </pic:pic>
              </a:graphicData>
            </a:graphic>
          </wp:anchor>
        </w:drawing>
      </w:r>
    </w:p>
    <w:p>
      <w:pPr>
        <w:spacing w:after="0" w:line="6" w:lineRule="exact"/>
        <w:rPr>
          <w:sz w:val="20"/>
          <w:szCs w:val="20"/>
          <w:color w:val="auto"/>
        </w:rPr>
      </w:pPr>
    </w:p>
    <w:p>
      <w:pPr>
        <w:ind w:left="1500"/>
        <w:spacing w:after="0"/>
        <w:rPr>
          <w:sz w:val="20"/>
          <w:szCs w:val="20"/>
          <w:color w:val="auto"/>
        </w:rPr>
      </w:pPr>
      <w:r>
        <w:rPr>
          <w:rFonts w:ascii="Arial" w:cs="Arial" w:eastAsia="Arial" w:hAnsi="Arial"/>
          <w:sz w:val="13"/>
          <w:szCs w:val="13"/>
          <w:color w:val="auto"/>
        </w:rPr>
        <w:t>Ofer Ben-Zur</w:t>
      </w:r>
    </w:p>
    <w:p>
      <w:pPr>
        <w:spacing w:after="0" w:line="22" w:lineRule="exact"/>
        <w:rPr>
          <w:sz w:val="20"/>
          <w:szCs w:val="20"/>
          <w:color w:val="auto"/>
        </w:rPr>
      </w:pPr>
    </w:p>
    <w:p>
      <w:pPr>
        <w:ind w:left="1840"/>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669925</wp:posOffset>
            </wp:positionH>
            <wp:positionV relativeFrom="paragraph">
              <wp:posOffset>15240</wp:posOffset>
            </wp:positionV>
            <wp:extent cx="103949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39495" cy="6985"/>
                    </a:xfrm>
                    <a:prstGeom prst="rect">
                      <a:avLst/>
                    </a:prstGeom>
                    <a:noFill/>
                  </pic:spPr>
                </pic:pic>
              </a:graphicData>
            </a:graphic>
          </wp:anchor>
        </w:drawing>
      </w:r>
    </w:p>
    <w:p>
      <w:pPr>
        <w:spacing w:after="0" w:line="6" w:lineRule="exact"/>
        <w:rPr>
          <w:sz w:val="20"/>
          <w:szCs w:val="20"/>
          <w:color w:val="auto"/>
        </w:rPr>
      </w:pPr>
    </w:p>
    <w:p>
      <w:pPr>
        <w:ind w:left="1640"/>
        <w:spacing w:after="0"/>
        <w:rPr>
          <w:sz w:val="20"/>
          <w:szCs w:val="20"/>
          <w:color w:val="auto"/>
        </w:rPr>
      </w:pPr>
      <w:r>
        <w:rPr>
          <w:rFonts w:ascii="Arial" w:cs="Arial" w:eastAsia="Arial" w:hAnsi="Arial"/>
          <w:sz w:val="13"/>
          <w:szCs w:val="13"/>
          <w:color w:val="auto"/>
        </w:rPr>
        <w:t>Eli Blatt</w:t>
      </w:r>
    </w:p>
    <w:p>
      <w:pPr>
        <w:spacing w:after="0" w:line="22" w:lineRule="exact"/>
        <w:rPr>
          <w:sz w:val="20"/>
          <w:szCs w:val="20"/>
          <w:color w:val="auto"/>
        </w:rPr>
      </w:pPr>
    </w:p>
    <w:p>
      <w:pPr>
        <w:ind w:left="1840"/>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669925</wp:posOffset>
            </wp:positionH>
            <wp:positionV relativeFrom="paragraph">
              <wp:posOffset>15240</wp:posOffset>
            </wp:positionV>
            <wp:extent cx="103949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39495" cy="6985"/>
                    </a:xfrm>
                    <a:prstGeom prst="rect">
                      <a:avLst/>
                    </a:prstGeom>
                    <a:noFill/>
                  </pic:spPr>
                </pic:pic>
              </a:graphicData>
            </a:graphic>
          </wp:anchor>
        </w:drawing>
      </w:r>
    </w:p>
    <w:p>
      <w:pPr>
        <w:spacing w:after="0" w:line="6"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Lauri Hanover</w:t>
      </w:r>
    </w:p>
    <w:p>
      <w:pPr>
        <w:spacing w:after="0" w:line="22" w:lineRule="exact"/>
        <w:rPr>
          <w:sz w:val="20"/>
          <w:szCs w:val="20"/>
          <w:color w:val="auto"/>
        </w:rPr>
      </w:pPr>
    </w:p>
    <w:p>
      <w:pPr>
        <w:ind w:left="1840"/>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669925</wp:posOffset>
            </wp:positionH>
            <wp:positionV relativeFrom="paragraph">
              <wp:posOffset>15240</wp:posOffset>
            </wp:positionV>
            <wp:extent cx="1039495"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39495" cy="6985"/>
                    </a:xfrm>
                    <a:prstGeom prst="rect">
                      <a:avLst/>
                    </a:prstGeom>
                    <a:noFill/>
                  </pic:spPr>
                </pic:pic>
              </a:graphicData>
            </a:graphic>
          </wp:anchor>
        </w:drawing>
      </w:r>
    </w:p>
    <w:p>
      <w:pPr>
        <w:spacing w:after="0" w:line="6" w:lineRule="exact"/>
        <w:rPr>
          <w:sz w:val="20"/>
          <w:szCs w:val="20"/>
          <w:color w:val="auto"/>
        </w:rPr>
      </w:pPr>
    </w:p>
    <w:p>
      <w:pPr>
        <w:ind w:left="1500"/>
        <w:spacing w:after="0"/>
        <w:rPr>
          <w:sz w:val="20"/>
          <w:szCs w:val="20"/>
          <w:color w:val="auto"/>
        </w:rPr>
      </w:pPr>
      <w:r>
        <w:rPr>
          <w:rFonts w:ascii="Arial" w:cs="Arial" w:eastAsia="Arial" w:hAnsi="Arial"/>
          <w:sz w:val="13"/>
          <w:szCs w:val="13"/>
          <w:color w:val="auto"/>
        </w:rPr>
        <w:t>Marc Lesnick</w:t>
      </w:r>
    </w:p>
    <w:p>
      <w:pPr>
        <w:spacing w:after="0" w:line="22" w:lineRule="exact"/>
        <w:rPr>
          <w:sz w:val="20"/>
          <w:szCs w:val="20"/>
          <w:color w:val="auto"/>
        </w:rPr>
      </w:pPr>
    </w:p>
    <w:p>
      <w:pPr>
        <w:ind w:left="1840"/>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669925</wp:posOffset>
            </wp:positionH>
            <wp:positionV relativeFrom="paragraph">
              <wp:posOffset>15240</wp:posOffset>
            </wp:positionV>
            <wp:extent cx="1039495"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39495" cy="6985"/>
                    </a:xfrm>
                    <a:prstGeom prst="rect">
                      <a:avLst/>
                    </a:prstGeom>
                    <a:noFill/>
                  </pic:spPr>
                </pic:pic>
              </a:graphicData>
            </a:graphic>
          </wp:anchor>
        </w:drawing>
      </w:r>
    </w:p>
    <w:p>
      <w:pPr>
        <w:spacing w:after="0" w:line="6"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Alon Lumbroso</w:t>
      </w:r>
    </w:p>
    <w:p>
      <w:pPr>
        <w:spacing w:after="0" w:line="22" w:lineRule="exact"/>
        <w:rPr>
          <w:sz w:val="20"/>
          <w:szCs w:val="20"/>
          <w:color w:val="auto"/>
        </w:rPr>
      </w:pPr>
    </w:p>
    <w:p>
      <w:pPr>
        <w:ind w:left="1840"/>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669925</wp:posOffset>
            </wp:positionH>
            <wp:positionV relativeFrom="paragraph">
              <wp:posOffset>15240</wp:posOffset>
            </wp:positionV>
            <wp:extent cx="1039495"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39495" cy="6985"/>
                    </a:xfrm>
                    <a:prstGeom prst="rect">
                      <a:avLst/>
                    </a:prstGeom>
                    <a:noFill/>
                  </pic:spPr>
                </pic:pic>
              </a:graphicData>
            </a:graphic>
          </wp:anchor>
        </w:drawing>
      </w:r>
    </w:p>
    <w:p>
      <w:pPr>
        <w:spacing w:after="0" w:line="6" w:lineRule="exact"/>
        <w:rPr>
          <w:sz w:val="20"/>
          <w:szCs w:val="20"/>
          <w:color w:val="auto"/>
        </w:rPr>
      </w:pPr>
    </w:p>
    <w:p>
      <w:pPr>
        <w:ind w:left="1520"/>
        <w:spacing w:after="0"/>
        <w:rPr>
          <w:sz w:val="20"/>
          <w:szCs w:val="20"/>
          <w:color w:val="auto"/>
        </w:rPr>
      </w:pPr>
      <w:r>
        <w:rPr>
          <w:rFonts w:ascii="Arial" w:cs="Arial" w:eastAsia="Arial" w:hAnsi="Arial"/>
          <w:sz w:val="13"/>
          <w:szCs w:val="13"/>
          <w:color w:val="auto"/>
        </w:rPr>
        <w:t>Jerry Mandel</w:t>
      </w:r>
    </w:p>
    <w:p>
      <w:pPr>
        <w:spacing w:after="0" w:line="22" w:lineRule="exact"/>
        <w:rPr>
          <w:sz w:val="20"/>
          <w:szCs w:val="20"/>
          <w:color w:val="auto"/>
        </w:rPr>
      </w:pPr>
    </w:p>
    <w:p>
      <w:pPr>
        <w:jc w:val="center"/>
        <w:ind w:left="1280"/>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669925</wp:posOffset>
            </wp:positionH>
            <wp:positionV relativeFrom="paragraph">
              <wp:posOffset>15240</wp:posOffset>
            </wp:positionV>
            <wp:extent cx="103949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39495" cy="6985"/>
                    </a:xfrm>
                    <a:prstGeom prst="rect">
                      <a:avLst/>
                    </a:prstGeom>
                    <a:noFill/>
                  </pic:spPr>
                </pic:pic>
              </a:graphicData>
            </a:graphic>
          </wp:anchor>
        </w:drawing>
      </w:r>
    </w:p>
    <w:p>
      <w:pPr>
        <w:spacing w:after="0" w:line="6" w:lineRule="exact"/>
        <w:rPr>
          <w:sz w:val="20"/>
          <w:szCs w:val="20"/>
          <w:color w:val="auto"/>
        </w:rPr>
      </w:pPr>
    </w:p>
    <w:p>
      <w:pPr>
        <w:jc w:val="center"/>
        <w:ind w:left="1280"/>
        <w:spacing w:after="0"/>
        <w:rPr>
          <w:sz w:val="20"/>
          <w:szCs w:val="20"/>
          <w:color w:val="auto"/>
        </w:rPr>
      </w:pPr>
      <w:r>
        <w:rPr>
          <w:rFonts w:ascii="Arial" w:cs="Arial" w:eastAsia="Arial" w:hAnsi="Arial"/>
          <w:sz w:val="13"/>
          <w:szCs w:val="13"/>
          <w:color w:val="auto"/>
        </w:rPr>
        <w:t>Dov Ofer</w:t>
      </w:r>
    </w:p>
    <w:p>
      <w:pPr>
        <w:spacing w:after="0" w:line="187" w:lineRule="exact"/>
        <w:rPr>
          <w:sz w:val="20"/>
          <w:szCs w:val="20"/>
          <w:color w:val="auto"/>
        </w:rPr>
      </w:pPr>
    </w:p>
    <w:p>
      <w:pPr>
        <w:jc w:val="center"/>
        <w:ind w:left="1280"/>
        <w:spacing w:after="0"/>
        <w:rPr>
          <w:sz w:val="20"/>
          <w:szCs w:val="20"/>
          <w:color w:val="auto"/>
        </w:rPr>
      </w:pPr>
      <w:r>
        <w:rPr>
          <w:rFonts w:ascii="Arial" w:cs="Arial" w:eastAsia="Arial" w:hAnsi="Arial"/>
          <w:sz w:val="13"/>
          <w:szCs w:val="13"/>
          <w:color w:val="auto"/>
        </w:rPr>
        <w:t>*/s/ Gabi Seligsohn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669925</wp:posOffset>
            </wp:positionH>
            <wp:positionV relativeFrom="paragraph">
              <wp:posOffset>17145</wp:posOffset>
            </wp:positionV>
            <wp:extent cx="1039495"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39495" cy="6985"/>
                    </a:xfrm>
                    <a:prstGeom prst="rect">
                      <a:avLst/>
                    </a:prstGeom>
                    <a:noFill/>
                  </pic:spPr>
                </pic:pic>
              </a:graphicData>
            </a:graphic>
          </wp:anchor>
        </w:drawing>
      </w:r>
    </w:p>
    <w:p>
      <w:pPr>
        <w:spacing w:after="0" w:line="10" w:lineRule="exact"/>
        <w:rPr>
          <w:sz w:val="20"/>
          <w:szCs w:val="20"/>
          <w:color w:val="auto"/>
        </w:rPr>
      </w:pPr>
    </w:p>
    <w:p>
      <w:pPr>
        <w:ind w:left="1460"/>
        <w:spacing w:after="0"/>
        <w:rPr>
          <w:sz w:val="20"/>
          <w:szCs w:val="20"/>
          <w:color w:val="auto"/>
        </w:rPr>
      </w:pPr>
      <w:r>
        <w:rPr>
          <w:rFonts w:ascii="Arial" w:cs="Arial" w:eastAsia="Arial" w:hAnsi="Arial"/>
          <w:sz w:val="13"/>
          <w:szCs w:val="13"/>
          <w:color w:val="auto"/>
        </w:rPr>
        <w:t>Gabi Seligsohn</w:t>
      </w:r>
    </w:p>
    <w:p>
      <w:pPr>
        <w:spacing w:after="0" w:line="22"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Attorney-in-fact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4280" w:type="dxa"/>
            <w:vAlign w:val="bottom"/>
            <w:tcBorders>
              <w:bottom w:val="single" w:sz="8" w:color="auto"/>
            </w:tcBorders>
          </w:tcPr>
          <w:p>
            <w:pPr>
              <w:ind w:left="2000"/>
              <w:spacing w:after="0"/>
              <w:rPr>
                <w:sz w:val="20"/>
                <w:szCs w:val="20"/>
                <w:color w:val="auto"/>
              </w:rPr>
            </w:pPr>
            <w:r>
              <w:rPr>
                <w:rFonts w:ascii="Arial" w:cs="Arial" w:eastAsia="Arial" w:hAnsi="Arial"/>
                <w:sz w:val="13"/>
                <w:szCs w:val="13"/>
                <w:b w:val="1"/>
                <w:bCs w:val="1"/>
                <w:color w:val="auto"/>
              </w:rPr>
              <w:t>Title</w:t>
            </w:r>
          </w:p>
        </w:tc>
        <w:tc>
          <w:tcPr>
            <w:tcW w:w="14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0" w:type="dxa"/>
            <w:vAlign w:val="bottom"/>
          </w:tcPr>
          <w:p>
            <w:pPr>
              <w:spacing w:after="0"/>
              <w:rPr>
                <w:sz w:val="1"/>
                <w:szCs w:val="1"/>
                <w:color w:val="auto"/>
              </w:rPr>
            </w:pPr>
          </w:p>
        </w:tc>
      </w:tr>
      <w:tr>
        <w:trPr>
          <w:trHeight w:val="499"/>
        </w:trPr>
        <w:tc>
          <w:tcPr>
            <w:tcW w:w="4280" w:type="dxa"/>
            <w:vAlign w:val="bottom"/>
          </w:tcPr>
          <w:p>
            <w:pPr>
              <w:spacing w:after="0"/>
              <w:rPr>
                <w:sz w:val="20"/>
                <w:szCs w:val="20"/>
                <w:color w:val="auto"/>
              </w:rPr>
            </w:pPr>
            <w:r>
              <w:rPr>
                <w:rFonts w:ascii="Arial" w:cs="Arial" w:eastAsia="Arial" w:hAnsi="Arial"/>
                <w:sz w:val="13"/>
                <w:szCs w:val="13"/>
                <w:color w:val="auto"/>
              </w:rPr>
              <w:t>Chief Executive Officer and Director (principal executive officer)</w:t>
            </w:r>
          </w:p>
        </w:tc>
        <w:tc>
          <w:tcPr>
            <w:tcW w:w="1000" w:type="dxa"/>
            <w:vAlign w:val="bottom"/>
            <w:gridSpan w:val="2"/>
          </w:tcPr>
          <w:p>
            <w:pPr>
              <w:jc w:val="center"/>
              <w:ind w:left="73"/>
              <w:spacing w:after="0"/>
              <w:rPr>
                <w:sz w:val="20"/>
                <w:szCs w:val="20"/>
                <w:color w:val="auto"/>
              </w:rPr>
            </w:pPr>
            <w:r>
              <w:rPr>
                <w:rFonts w:ascii="Arial" w:cs="Arial" w:eastAsia="Arial" w:hAnsi="Arial"/>
                <w:sz w:val="13"/>
                <w:szCs w:val="13"/>
                <w:color w:val="auto"/>
                <w:w w:val="95"/>
              </w:rPr>
              <w:t>March 26, 2015</w:t>
            </w:r>
          </w:p>
        </w:tc>
        <w:tc>
          <w:tcPr>
            <w:tcW w:w="0" w:type="dxa"/>
            <w:vAlign w:val="bottom"/>
          </w:tcPr>
          <w:p>
            <w:pPr>
              <w:spacing w:after="0"/>
              <w:rPr>
                <w:sz w:val="1"/>
                <w:szCs w:val="1"/>
                <w:color w:val="auto"/>
              </w:rPr>
            </w:pPr>
          </w:p>
        </w:tc>
      </w:tr>
      <w:tr>
        <w:trPr>
          <w:trHeight w:val="344"/>
        </w:trPr>
        <w:tc>
          <w:tcPr>
            <w:tcW w:w="4280" w:type="dxa"/>
            <w:vAlign w:val="bottom"/>
          </w:tcPr>
          <w:p>
            <w:pPr>
              <w:spacing w:after="0"/>
              <w:rPr>
                <w:sz w:val="20"/>
                <w:szCs w:val="20"/>
                <w:color w:val="auto"/>
              </w:rPr>
            </w:pPr>
            <w:r>
              <w:rPr>
                <w:rFonts w:ascii="Arial" w:cs="Arial" w:eastAsia="Arial" w:hAnsi="Arial"/>
                <w:sz w:val="13"/>
                <w:szCs w:val="13"/>
                <w:color w:val="auto"/>
              </w:rPr>
              <w:t>Chief Financial Officer (principal financial officer and principal accounting</w:t>
            </w:r>
          </w:p>
        </w:tc>
        <w:tc>
          <w:tcPr>
            <w:tcW w:w="1000" w:type="dxa"/>
            <w:vAlign w:val="bottom"/>
            <w:gridSpan w:val="2"/>
            <w:vMerge w:val="restart"/>
          </w:tcPr>
          <w:p>
            <w:pPr>
              <w:jc w:val="center"/>
              <w:ind w:left="73"/>
              <w:spacing w:after="0"/>
              <w:rPr>
                <w:sz w:val="20"/>
                <w:szCs w:val="20"/>
                <w:color w:val="auto"/>
              </w:rPr>
            </w:pPr>
            <w:r>
              <w:rPr>
                <w:rFonts w:ascii="Arial" w:cs="Arial" w:eastAsia="Arial" w:hAnsi="Arial"/>
                <w:sz w:val="13"/>
                <w:szCs w:val="13"/>
                <w:color w:val="auto"/>
                <w:w w:val="95"/>
              </w:rPr>
              <w:t>March 26, 2015</w:t>
            </w:r>
          </w:p>
        </w:tc>
        <w:tc>
          <w:tcPr>
            <w:tcW w:w="0" w:type="dxa"/>
            <w:vAlign w:val="bottom"/>
          </w:tcPr>
          <w:p>
            <w:pPr>
              <w:spacing w:after="0"/>
              <w:rPr>
                <w:sz w:val="1"/>
                <w:szCs w:val="1"/>
                <w:color w:val="auto"/>
              </w:rPr>
            </w:pPr>
          </w:p>
        </w:tc>
      </w:tr>
      <w:tr>
        <w:trPr>
          <w:trHeight w:val="82"/>
        </w:trPr>
        <w:tc>
          <w:tcPr>
            <w:tcW w:w="4280" w:type="dxa"/>
            <w:vAlign w:val="bottom"/>
            <w:vMerge w:val="restart"/>
          </w:tcPr>
          <w:p>
            <w:pPr>
              <w:spacing w:after="0"/>
              <w:rPr>
                <w:sz w:val="20"/>
                <w:szCs w:val="20"/>
                <w:color w:val="auto"/>
              </w:rPr>
            </w:pPr>
            <w:r>
              <w:rPr>
                <w:rFonts w:ascii="Arial" w:cs="Arial" w:eastAsia="Arial" w:hAnsi="Arial"/>
                <w:sz w:val="13"/>
                <w:szCs w:val="13"/>
                <w:color w:val="auto"/>
              </w:rPr>
              <w:t>officer)</w:t>
            </w:r>
          </w:p>
        </w:tc>
        <w:tc>
          <w:tcPr>
            <w:tcW w:w="10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42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6"/>
        </w:trPr>
        <w:tc>
          <w:tcPr>
            <w:tcW w:w="4280" w:type="dxa"/>
            <w:vAlign w:val="bottom"/>
          </w:tcPr>
          <w:p>
            <w:pPr>
              <w:spacing w:after="0"/>
              <w:rPr>
                <w:sz w:val="20"/>
                <w:szCs w:val="20"/>
                <w:color w:val="auto"/>
              </w:rPr>
            </w:pPr>
            <w:r>
              <w:rPr>
                <w:rFonts w:ascii="Arial" w:cs="Arial" w:eastAsia="Arial" w:hAnsi="Arial"/>
                <w:sz w:val="13"/>
                <w:szCs w:val="13"/>
                <w:color w:val="auto"/>
              </w:rPr>
              <w:t>Chairman of the Board of Directors</w:t>
            </w:r>
          </w:p>
        </w:tc>
        <w:tc>
          <w:tcPr>
            <w:tcW w:w="1000" w:type="dxa"/>
            <w:vAlign w:val="bottom"/>
            <w:gridSpan w:val="2"/>
          </w:tcPr>
          <w:p>
            <w:pPr>
              <w:jc w:val="center"/>
              <w:ind w:left="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48"/>
        </w:trPr>
        <w:tc>
          <w:tcPr>
            <w:tcW w:w="4280" w:type="dxa"/>
            <w:vAlign w:val="bottom"/>
          </w:tcPr>
          <w:p>
            <w:pPr>
              <w:spacing w:after="0"/>
              <w:rPr>
                <w:sz w:val="20"/>
                <w:szCs w:val="20"/>
                <w:color w:val="auto"/>
              </w:rPr>
            </w:pPr>
            <w:r>
              <w:rPr>
                <w:rFonts w:ascii="Arial" w:cs="Arial" w:eastAsia="Arial" w:hAnsi="Arial"/>
                <w:sz w:val="13"/>
                <w:szCs w:val="13"/>
                <w:color w:val="auto"/>
              </w:rPr>
              <w:t>Director</w:t>
            </w:r>
          </w:p>
        </w:tc>
        <w:tc>
          <w:tcPr>
            <w:tcW w:w="1000" w:type="dxa"/>
            <w:vAlign w:val="bottom"/>
            <w:gridSpan w:val="2"/>
          </w:tcPr>
          <w:p>
            <w:pPr>
              <w:jc w:val="center"/>
              <w:ind w:left="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48"/>
        </w:trPr>
        <w:tc>
          <w:tcPr>
            <w:tcW w:w="4280" w:type="dxa"/>
            <w:vAlign w:val="bottom"/>
          </w:tcPr>
          <w:p>
            <w:pPr>
              <w:spacing w:after="0"/>
              <w:rPr>
                <w:sz w:val="20"/>
                <w:szCs w:val="20"/>
                <w:color w:val="auto"/>
              </w:rPr>
            </w:pPr>
            <w:r>
              <w:rPr>
                <w:rFonts w:ascii="Arial" w:cs="Arial" w:eastAsia="Arial" w:hAnsi="Arial"/>
                <w:sz w:val="13"/>
                <w:szCs w:val="13"/>
                <w:color w:val="auto"/>
              </w:rPr>
              <w:t>Director</w:t>
            </w:r>
          </w:p>
        </w:tc>
        <w:tc>
          <w:tcPr>
            <w:tcW w:w="1000" w:type="dxa"/>
            <w:vAlign w:val="bottom"/>
            <w:gridSpan w:val="2"/>
          </w:tcPr>
          <w:p>
            <w:pPr>
              <w:jc w:val="center"/>
              <w:ind w:left="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48"/>
        </w:trPr>
        <w:tc>
          <w:tcPr>
            <w:tcW w:w="4280" w:type="dxa"/>
            <w:vAlign w:val="bottom"/>
          </w:tcPr>
          <w:p>
            <w:pPr>
              <w:spacing w:after="0"/>
              <w:rPr>
                <w:sz w:val="20"/>
                <w:szCs w:val="20"/>
                <w:color w:val="auto"/>
              </w:rPr>
            </w:pPr>
            <w:r>
              <w:rPr>
                <w:rFonts w:ascii="Arial" w:cs="Arial" w:eastAsia="Arial" w:hAnsi="Arial"/>
                <w:sz w:val="13"/>
                <w:szCs w:val="13"/>
                <w:color w:val="auto"/>
              </w:rPr>
              <w:t>Director</w:t>
            </w:r>
          </w:p>
        </w:tc>
        <w:tc>
          <w:tcPr>
            <w:tcW w:w="1000" w:type="dxa"/>
            <w:vAlign w:val="bottom"/>
            <w:gridSpan w:val="2"/>
          </w:tcPr>
          <w:p>
            <w:pPr>
              <w:jc w:val="center"/>
              <w:ind w:left="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48"/>
        </w:trPr>
        <w:tc>
          <w:tcPr>
            <w:tcW w:w="4280" w:type="dxa"/>
            <w:vAlign w:val="bottom"/>
          </w:tcPr>
          <w:p>
            <w:pPr>
              <w:spacing w:after="0"/>
              <w:rPr>
                <w:sz w:val="20"/>
                <w:szCs w:val="20"/>
                <w:color w:val="auto"/>
              </w:rPr>
            </w:pPr>
            <w:r>
              <w:rPr>
                <w:rFonts w:ascii="Arial" w:cs="Arial" w:eastAsia="Arial" w:hAnsi="Arial"/>
                <w:sz w:val="13"/>
                <w:szCs w:val="13"/>
                <w:color w:val="auto"/>
              </w:rPr>
              <w:t>Director</w:t>
            </w:r>
          </w:p>
        </w:tc>
        <w:tc>
          <w:tcPr>
            <w:tcW w:w="1000" w:type="dxa"/>
            <w:vAlign w:val="bottom"/>
            <w:gridSpan w:val="2"/>
          </w:tcPr>
          <w:p>
            <w:pPr>
              <w:jc w:val="center"/>
              <w:ind w:left="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48"/>
        </w:trPr>
        <w:tc>
          <w:tcPr>
            <w:tcW w:w="4280" w:type="dxa"/>
            <w:vAlign w:val="bottom"/>
          </w:tcPr>
          <w:p>
            <w:pPr>
              <w:spacing w:after="0"/>
              <w:rPr>
                <w:sz w:val="20"/>
                <w:szCs w:val="20"/>
                <w:color w:val="auto"/>
              </w:rPr>
            </w:pPr>
            <w:r>
              <w:rPr>
                <w:rFonts w:ascii="Arial" w:cs="Arial" w:eastAsia="Arial" w:hAnsi="Arial"/>
                <w:sz w:val="13"/>
                <w:szCs w:val="13"/>
                <w:color w:val="auto"/>
              </w:rPr>
              <w:t>Director</w:t>
            </w:r>
          </w:p>
        </w:tc>
        <w:tc>
          <w:tcPr>
            <w:tcW w:w="1000" w:type="dxa"/>
            <w:vAlign w:val="bottom"/>
            <w:gridSpan w:val="2"/>
          </w:tcPr>
          <w:p>
            <w:pPr>
              <w:jc w:val="center"/>
              <w:ind w:left="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48"/>
        </w:trPr>
        <w:tc>
          <w:tcPr>
            <w:tcW w:w="4280" w:type="dxa"/>
            <w:vAlign w:val="bottom"/>
          </w:tcPr>
          <w:p>
            <w:pPr>
              <w:spacing w:after="0"/>
              <w:rPr>
                <w:sz w:val="20"/>
                <w:szCs w:val="20"/>
                <w:color w:val="auto"/>
              </w:rPr>
            </w:pPr>
            <w:r>
              <w:rPr>
                <w:rFonts w:ascii="Arial" w:cs="Arial" w:eastAsia="Arial" w:hAnsi="Arial"/>
                <w:sz w:val="13"/>
                <w:szCs w:val="13"/>
                <w:color w:val="auto"/>
              </w:rPr>
              <w:t>Director</w:t>
            </w:r>
          </w:p>
        </w:tc>
        <w:tc>
          <w:tcPr>
            <w:tcW w:w="1000" w:type="dxa"/>
            <w:vAlign w:val="bottom"/>
            <w:gridSpan w:val="2"/>
          </w:tcPr>
          <w:p>
            <w:pPr>
              <w:jc w:val="center"/>
              <w:ind w:left="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48"/>
        </w:trPr>
        <w:tc>
          <w:tcPr>
            <w:tcW w:w="4280" w:type="dxa"/>
            <w:vAlign w:val="bottom"/>
          </w:tcPr>
          <w:p>
            <w:pPr>
              <w:spacing w:after="0"/>
              <w:rPr>
                <w:sz w:val="20"/>
                <w:szCs w:val="20"/>
                <w:color w:val="auto"/>
              </w:rPr>
            </w:pPr>
            <w:r>
              <w:rPr>
                <w:rFonts w:ascii="Arial" w:cs="Arial" w:eastAsia="Arial" w:hAnsi="Arial"/>
                <w:sz w:val="13"/>
                <w:szCs w:val="13"/>
                <w:color w:val="auto"/>
              </w:rPr>
              <w:t>Director</w:t>
            </w:r>
          </w:p>
        </w:tc>
        <w:tc>
          <w:tcPr>
            <w:tcW w:w="1000" w:type="dxa"/>
            <w:vAlign w:val="bottom"/>
            <w:gridSpan w:val="2"/>
          </w:tcPr>
          <w:p>
            <w:pPr>
              <w:jc w:val="center"/>
              <w:ind w:left="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48"/>
        </w:trPr>
        <w:tc>
          <w:tcPr>
            <w:tcW w:w="4280" w:type="dxa"/>
            <w:vAlign w:val="bottom"/>
          </w:tcPr>
          <w:p>
            <w:pPr>
              <w:spacing w:after="0"/>
              <w:rPr>
                <w:sz w:val="24"/>
                <w:szCs w:val="24"/>
                <w:color w:val="auto"/>
              </w:rPr>
            </w:pPr>
          </w:p>
        </w:tc>
        <w:tc>
          <w:tcPr>
            <w:tcW w:w="1000" w:type="dxa"/>
            <w:vAlign w:val="bottom"/>
            <w:gridSpan w:val="2"/>
          </w:tcPr>
          <w:p>
            <w:pPr>
              <w:jc w:val="center"/>
              <w:ind w:left="73"/>
              <w:spacing w:after="0"/>
              <w:rPr>
                <w:sz w:val="20"/>
                <w:szCs w:val="20"/>
                <w:color w:val="auto"/>
              </w:rPr>
            </w:pPr>
            <w:r>
              <w:rPr>
                <w:rFonts w:ascii="Arial" w:cs="Arial" w:eastAsia="Arial" w:hAnsi="Arial"/>
                <w:sz w:val="13"/>
                <w:szCs w:val="13"/>
                <w:color w:val="auto"/>
                <w:w w:val="95"/>
              </w:rPr>
              <w:t>March 26, 2015</w:t>
            </w:r>
          </w:p>
        </w:tc>
        <w:tc>
          <w:tcPr>
            <w:tcW w:w="0" w:type="dxa"/>
            <w:vAlign w:val="bottom"/>
          </w:tcPr>
          <w:p>
            <w:pPr>
              <w:spacing w:after="0"/>
              <w:rPr>
                <w:sz w:val="1"/>
                <w:szCs w:val="1"/>
                <w:color w:val="auto"/>
              </w:rPr>
            </w:pPr>
          </w:p>
        </w:tc>
      </w:tr>
    </w:tbl>
    <w:p>
      <w:pPr>
        <w:spacing w:after="0" w:line="528" w:lineRule="exact"/>
        <w:rPr>
          <w:sz w:val="20"/>
          <w:szCs w:val="20"/>
          <w:color w:val="auto"/>
        </w:rPr>
      </w:pPr>
    </w:p>
    <w:p>
      <w:pPr>
        <w:sectPr>
          <w:pgSz w:w="11900" w:h="16838" w:orient="portrait"/>
          <w:cols w:equalWidth="0" w:num="2">
            <w:col w:w="2460" w:space="420"/>
            <w:col w:w="6139"/>
          </w:cols>
          <w:pgMar w:left="1440" w:top="125" w:right="1440" w:bottom="1440" w:gutter="0" w:footer="0" w:header="0"/>
          <w:type w:val="continuous"/>
        </w:sectPr>
      </w:pPr>
    </w:p>
    <w:p>
      <w:pPr>
        <w:spacing w:after="0" w:line="15" w:lineRule="exact"/>
        <w:rPr>
          <w:sz w:val="20"/>
          <w:szCs w:val="20"/>
          <w:color w:val="auto"/>
        </w:rPr>
      </w:pPr>
    </w:p>
    <w:p>
      <w:pPr>
        <w:ind w:left="860"/>
        <w:spacing w:after="0"/>
        <w:rPr>
          <w:sz w:val="20"/>
          <w:szCs w:val="20"/>
          <w:color w:val="auto"/>
        </w:rPr>
      </w:pPr>
      <w:r>
        <w:rPr>
          <w:rFonts w:ascii="Arial" w:cs="Arial" w:eastAsia="Arial" w:hAnsi="Arial"/>
          <w:sz w:val="15"/>
          <w:szCs w:val="15"/>
          <w:i w:val="1"/>
          <w:iCs w:val="1"/>
          <w:color w:val="auto"/>
        </w:rPr>
        <w:t>KORNIT DIGITAL NORTH AMERICA INC.</w:t>
      </w:r>
    </w:p>
    <w:p>
      <w:pPr>
        <w:spacing w:after="0" w:line="17" w:lineRule="exact"/>
        <w:rPr>
          <w:sz w:val="20"/>
          <w:szCs w:val="20"/>
          <w:color w:val="auto"/>
        </w:rPr>
      </w:pPr>
    </w:p>
    <w:p>
      <w:pPr>
        <w:ind w:left="860"/>
        <w:spacing w:after="0"/>
        <w:rPr>
          <w:sz w:val="20"/>
          <w:szCs w:val="20"/>
          <w:color w:val="auto"/>
        </w:rPr>
      </w:pPr>
      <w:r>
        <w:rPr>
          <w:rFonts w:ascii="Arial" w:cs="Arial" w:eastAsia="Arial" w:hAnsi="Arial"/>
          <w:sz w:val="15"/>
          <w:szCs w:val="15"/>
          <w:color w:val="auto"/>
        </w:rPr>
        <w:t>Authorized Representative in the United States</w:t>
      </w:r>
    </w:p>
    <w:p>
      <w:pPr>
        <w:spacing w:after="0" w:line="199" w:lineRule="exact"/>
        <w:rPr>
          <w:sz w:val="20"/>
          <w:szCs w:val="20"/>
          <w:color w:val="auto"/>
        </w:rPr>
      </w:pPr>
    </w:p>
    <w:p>
      <w:pPr>
        <w:ind w:left="860"/>
        <w:spacing w:after="0"/>
        <w:tabs>
          <w:tab w:leader="none" w:pos="7240" w:val="left"/>
        </w:tabs>
        <w:rPr>
          <w:sz w:val="20"/>
          <w:szCs w:val="20"/>
          <w:color w:val="auto"/>
        </w:rPr>
      </w:pPr>
      <w:r>
        <w:rPr>
          <w:rFonts w:ascii="Arial" w:cs="Arial" w:eastAsia="Arial" w:hAnsi="Arial"/>
          <w:sz w:val="15"/>
          <w:szCs w:val="15"/>
          <w:color w:val="auto"/>
        </w:rPr>
        <w:t>By:/s/ Paul Borucki</w:t>
      </w:r>
      <w:r>
        <w:rPr>
          <w:sz w:val="20"/>
          <w:szCs w:val="20"/>
          <w:color w:val="auto"/>
        </w:rPr>
        <w:tab/>
      </w:r>
      <w:r>
        <w:rPr>
          <w:rFonts w:ascii="Arial" w:cs="Arial" w:eastAsia="Arial" w:hAnsi="Arial"/>
          <w:sz w:val="12"/>
          <w:szCs w:val="12"/>
          <w:color w:val="auto"/>
        </w:rPr>
        <w:t>March 26,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698500</wp:posOffset>
            </wp:positionH>
            <wp:positionV relativeFrom="paragraph">
              <wp:posOffset>25400</wp:posOffset>
            </wp:positionV>
            <wp:extent cx="996950"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96950" cy="6985"/>
                    </a:xfrm>
                    <a:prstGeom prst="rect">
                      <a:avLst/>
                    </a:prstGeom>
                    <a:noFill/>
                  </pic:spPr>
                </pic:pic>
              </a:graphicData>
            </a:graphic>
          </wp:anchor>
        </w:drawing>
      </w:r>
    </w:p>
    <w:p>
      <w:pPr>
        <w:spacing w:after="0" w:line="21"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Name: Paul Borucki</w:t>
      </w:r>
    </w:p>
    <w:p>
      <w:pPr>
        <w:spacing w:after="0" w:line="18"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174625</wp:posOffset>
            </wp:positionV>
            <wp:extent cx="4628515"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628515" cy="698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3" w:name="page4"/>
    <w:bookmarkEnd w:id="3"/>
    <w:tbl>
      <w:tblPr>
        <w:tblLayout w:type="fixed"/>
        <w:tblInd w:w="86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60" w:type="dxa"/>
            <w:vAlign w:val="bottom"/>
          </w:tcPr>
          <w:p>
            <w:pPr>
              <w:ind w:left="2040"/>
              <w:spacing w:after="0"/>
              <w:rPr>
                <w:sz w:val="20"/>
                <w:szCs w:val="20"/>
                <w:color w:val="auto"/>
              </w:rPr>
            </w:pPr>
            <w:r>
              <w:rPr>
                <w:rFonts w:ascii="Arial" w:cs="Arial" w:eastAsia="Arial" w:hAnsi="Arial"/>
                <w:sz w:val="15"/>
                <w:szCs w:val="15"/>
                <w:b w:val="1"/>
                <w:bCs w:val="1"/>
                <w:color w:val="auto"/>
              </w:rPr>
              <w:t>EXHIBIT INDEX</w:t>
            </w:r>
          </w:p>
        </w:tc>
      </w:tr>
      <w:tr>
        <w:trPr>
          <w:trHeight w:val="346"/>
        </w:trPr>
        <w:tc>
          <w:tcPr>
            <w:tcW w:w="1040" w:type="dxa"/>
            <w:vAlign w:val="bottom"/>
            <w:gridSpan w:val="3"/>
          </w:tcPr>
          <w:p>
            <w:pPr>
              <w:spacing w:after="0"/>
              <w:rPr>
                <w:sz w:val="20"/>
                <w:szCs w:val="20"/>
                <w:color w:val="auto"/>
              </w:rPr>
            </w:pPr>
            <w:r>
              <w:rPr>
                <w:rFonts w:ascii="Arial" w:cs="Arial" w:eastAsia="Arial" w:hAnsi="Arial"/>
                <w:sz w:val="13"/>
                <w:szCs w:val="13"/>
                <w:b w:val="1"/>
                <w:bCs w:val="1"/>
                <w:color w:val="auto"/>
              </w:rPr>
              <w:t>Exhibit No.</w:t>
            </w:r>
          </w:p>
        </w:tc>
        <w:tc>
          <w:tcPr>
            <w:tcW w:w="6260" w:type="dxa"/>
            <w:vAlign w:val="bottom"/>
          </w:tcPr>
          <w:p>
            <w:pPr>
              <w:spacing w:after="0"/>
              <w:rPr>
                <w:sz w:val="20"/>
                <w:szCs w:val="20"/>
                <w:color w:val="auto"/>
              </w:rPr>
            </w:pPr>
            <w:r>
              <w:rPr>
                <w:rFonts w:ascii="Arial" w:cs="Arial" w:eastAsia="Arial" w:hAnsi="Arial"/>
                <w:sz w:val="13"/>
                <w:szCs w:val="13"/>
                <w:b w:val="1"/>
                <w:bCs w:val="1"/>
                <w:color w:val="auto"/>
              </w:rPr>
              <w:t>Description</w:t>
            </w:r>
          </w:p>
        </w:tc>
      </w:tr>
      <w:tr>
        <w:trPr>
          <w:trHeight w:val="162"/>
        </w:trPr>
        <w:tc>
          <w:tcPr>
            <w:tcW w:w="20" w:type="dxa"/>
            <w:vAlign w:val="bottom"/>
          </w:tcPr>
          <w:p>
            <w:pPr>
              <w:spacing w:after="0"/>
              <w:rPr>
                <w:sz w:val="14"/>
                <w:szCs w:val="14"/>
                <w:color w:val="auto"/>
              </w:rPr>
            </w:pPr>
          </w:p>
        </w:tc>
        <w:tc>
          <w:tcPr>
            <w:tcW w:w="860" w:type="dxa"/>
            <w:vAlign w:val="bottom"/>
            <w:tcBorders>
              <w:top w:val="single" w:sz="8" w:color="auto"/>
            </w:tcBorders>
          </w:tcPr>
          <w:p>
            <w:pPr>
              <w:spacing w:after="0" w:line="163" w:lineRule="exact"/>
              <w:rPr>
                <w:sz w:val="20"/>
                <w:szCs w:val="20"/>
                <w:color w:val="auto"/>
              </w:rPr>
            </w:pPr>
            <w:r>
              <w:rPr>
                <w:rFonts w:ascii="Arial" w:cs="Arial" w:eastAsia="Arial" w:hAnsi="Arial"/>
                <w:sz w:val="15"/>
                <w:szCs w:val="15"/>
                <w:color w:val="auto"/>
              </w:rPr>
              <w:t>1.1</w:t>
            </w:r>
          </w:p>
        </w:tc>
        <w:tc>
          <w:tcPr>
            <w:tcW w:w="160" w:type="dxa"/>
            <w:vAlign w:val="bottom"/>
          </w:tcPr>
          <w:p>
            <w:pPr>
              <w:spacing w:after="0"/>
              <w:rPr>
                <w:sz w:val="14"/>
                <w:szCs w:val="14"/>
                <w:color w:val="auto"/>
              </w:rPr>
            </w:pPr>
          </w:p>
        </w:tc>
        <w:tc>
          <w:tcPr>
            <w:tcW w:w="6260" w:type="dxa"/>
            <w:vAlign w:val="bottom"/>
            <w:tcBorders>
              <w:top w:val="single" w:sz="8" w:color="auto"/>
            </w:tcBorders>
          </w:tcPr>
          <w:p>
            <w:pPr>
              <w:spacing w:after="0" w:line="163" w:lineRule="exact"/>
              <w:rPr>
                <w:sz w:val="20"/>
                <w:szCs w:val="20"/>
                <w:color w:val="auto"/>
              </w:rPr>
            </w:pPr>
            <w:r>
              <w:rPr>
                <w:rFonts w:ascii="Arial" w:cs="Arial" w:eastAsia="Arial" w:hAnsi="Arial"/>
                <w:sz w:val="15"/>
                <w:szCs w:val="15"/>
                <w:color w:val="auto"/>
                <w:w w:val="99"/>
              </w:rPr>
              <w:t>Form of Underwriting Agreement by and among Kornit Digital Ltd. and the underwriters named</w:t>
            </w:r>
          </w:p>
        </w:tc>
      </w:tr>
      <w:tr>
        <w:trPr>
          <w:trHeight w:val="179"/>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60" w:type="dxa"/>
            <w:vAlign w:val="bottom"/>
          </w:tcPr>
          <w:p>
            <w:pPr>
              <w:spacing w:after="0"/>
              <w:rPr>
                <w:sz w:val="20"/>
                <w:szCs w:val="20"/>
                <w:color w:val="auto"/>
              </w:rPr>
            </w:pPr>
            <w:r>
              <w:rPr>
                <w:rFonts w:ascii="Arial" w:cs="Arial" w:eastAsia="Arial" w:hAnsi="Arial"/>
                <w:sz w:val="15"/>
                <w:szCs w:val="15"/>
                <w:color w:val="auto"/>
              </w:rPr>
              <w:t>therein**</w:t>
            </w:r>
          </w:p>
        </w:tc>
      </w:tr>
      <w:tr>
        <w:trPr>
          <w:trHeight w:val="179"/>
        </w:trPr>
        <w:tc>
          <w:tcPr>
            <w:tcW w:w="880" w:type="dxa"/>
            <w:vAlign w:val="bottom"/>
            <w:gridSpan w:val="2"/>
          </w:tcPr>
          <w:p>
            <w:pPr>
              <w:spacing w:after="0"/>
              <w:rPr>
                <w:sz w:val="20"/>
                <w:szCs w:val="20"/>
                <w:color w:val="auto"/>
              </w:rPr>
            </w:pPr>
            <w:r>
              <w:rPr>
                <w:rFonts w:ascii="Arial" w:cs="Arial" w:eastAsia="Arial" w:hAnsi="Arial"/>
                <w:sz w:val="15"/>
                <w:szCs w:val="15"/>
                <w:color w:val="auto"/>
              </w:rPr>
              <w:t>3.1</w:t>
            </w:r>
          </w:p>
        </w:tc>
        <w:tc>
          <w:tcPr>
            <w:tcW w:w="160" w:type="dxa"/>
            <w:vAlign w:val="bottom"/>
          </w:tcPr>
          <w:p>
            <w:pPr>
              <w:spacing w:after="0"/>
              <w:rPr>
                <w:sz w:val="15"/>
                <w:szCs w:val="15"/>
                <w:color w:val="auto"/>
              </w:rPr>
            </w:pPr>
          </w:p>
        </w:tc>
        <w:tc>
          <w:tcPr>
            <w:tcW w:w="6260" w:type="dxa"/>
            <w:vAlign w:val="bottom"/>
          </w:tcPr>
          <w:p>
            <w:pPr>
              <w:spacing w:after="0"/>
              <w:rPr>
                <w:sz w:val="20"/>
                <w:szCs w:val="20"/>
                <w:color w:val="auto"/>
              </w:rPr>
            </w:pPr>
            <w:r>
              <w:rPr>
                <w:rFonts w:ascii="Arial" w:cs="Arial" w:eastAsia="Arial" w:hAnsi="Arial"/>
                <w:sz w:val="15"/>
                <w:szCs w:val="15"/>
                <w:color w:val="auto"/>
              </w:rPr>
              <w:t>Articles of Association of the Registrant**</w:t>
            </w:r>
          </w:p>
        </w:tc>
      </w:tr>
      <w:tr>
        <w:trPr>
          <w:trHeight w:val="179"/>
        </w:trPr>
        <w:tc>
          <w:tcPr>
            <w:tcW w:w="880" w:type="dxa"/>
            <w:vAlign w:val="bottom"/>
            <w:gridSpan w:val="2"/>
          </w:tcPr>
          <w:p>
            <w:pPr>
              <w:spacing w:after="0"/>
              <w:rPr>
                <w:sz w:val="20"/>
                <w:szCs w:val="20"/>
                <w:color w:val="auto"/>
              </w:rPr>
            </w:pPr>
            <w:r>
              <w:rPr>
                <w:rFonts w:ascii="Arial" w:cs="Arial" w:eastAsia="Arial" w:hAnsi="Arial"/>
                <w:sz w:val="15"/>
                <w:szCs w:val="15"/>
                <w:color w:val="auto"/>
              </w:rPr>
              <w:t>3.2</w:t>
            </w:r>
          </w:p>
        </w:tc>
        <w:tc>
          <w:tcPr>
            <w:tcW w:w="160" w:type="dxa"/>
            <w:vAlign w:val="bottom"/>
          </w:tcPr>
          <w:p>
            <w:pPr>
              <w:spacing w:after="0"/>
              <w:rPr>
                <w:sz w:val="15"/>
                <w:szCs w:val="15"/>
                <w:color w:val="auto"/>
              </w:rPr>
            </w:pPr>
          </w:p>
        </w:tc>
        <w:tc>
          <w:tcPr>
            <w:tcW w:w="6260" w:type="dxa"/>
            <w:vAlign w:val="bottom"/>
          </w:tcPr>
          <w:p>
            <w:pPr>
              <w:spacing w:after="0"/>
              <w:rPr>
                <w:sz w:val="20"/>
                <w:szCs w:val="20"/>
                <w:color w:val="auto"/>
              </w:rPr>
            </w:pPr>
            <w:r>
              <w:rPr>
                <w:rFonts w:ascii="Arial" w:cs="Arial" w:eastAsia="Arial" w:hAnsi="Arial"/>
                <w:sz w:val="15"/>
                <w:szCs w:val="15"/>
                <w:color w:val="auto"/>
                <w:w w:val="91"/>
              </w:rPr>
              <w:t>Form of Amended and Restated Articles of Association of the Registrant, to be effective upon closing of</w:t>
            </w:r>
          </w:p>
        </w:tc>
      </w:tr>
      <w:tr>
        <w:trPr>
          <w:trHeight w:val="179"/>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60" w:type="dxa"/>
            <w:vAlign w:val="bottom"/>
          </w:tcPr>
          <w:p>
            <w:pPr>
              <w:spacing w:after="0"/>
              <w:rPr>
                <w:sz w:val="20"/>
                <w:szCs w:val="20"/>
                <w:color w:val="auto"/>
              </w:rPr>
            </w:pPr>
            <w:r>
              <w:rPr>
                <w:rFonts w:ascii="Arial" w:cs="Arial" w:eastAsia="Arial" w:hAnsi="Arial"/>
                <w:sz w:val="15"/>
                <w:szCs w:val="15"/>
                <w:color w:val="auto"/>
              </w:rPr>
              <w:t>this offering**</w:t>
            </w:r>
          </w:p>
        </w:tc>
      </w:tr>
      <w:tr>
        <w:trPr>
          <w:trHeight w:val="179"/>
        </w:trPr>
        <w:tc>
          <w:tcPr>
            <w:tcW w:w="880" w:type="dxa"/>
            <w:vAlign w:val="bottom"/>
            <w:gridSpan w:val="2"/>
          </w:tcPr>
          <w:p>
            <w:pPr>
              <w:spacing w:after="0"/>
              <w:rPr>
                <w:sz w:val="20"/>
                <w:szCs w:val="20"/>
                <w:color w:val="auto"/>
              </w:rPr>
            </w:pPr>
            <w:r>
              <w:rPr>
                <w:rFonts w:ascii="Arial" w:cs="Arial" w:eastAsia="Arial" w:hAnsi="Arial"/>
                <w:sz w:val="15"/>
                <w:szCs w:val="15"/>
                <w:color w:val="auto"/>
              </w:rPr>
              <w:t>4.1</w:t>
            </w:r>
          </w:p>
        </w:tc>
        <w:tc>
          <w:tcPr>
            <w:tcW w:w="160" w:type="dxa"/>
            <w:vAlign w:val="bottom"/>
          </w:tcPr>
          <w:p>
            <w:pPr>
              <w:spacing w:after="0"/>
              <w:rPr>
                <w:sz w:val="15"/>
                <w:szCs w:val="15"/>
                <w:color w:val="auto"/>
              </w:rPr>
            </w:pPr>
          </w:p>
        </w:tc>
        <w:tc>
          <w:tcPr>
            <w:tcW w:w="6260" w:type="dxa"/>
            <w:vAlign w:val="bottom"/>
          </w:tcPr>
          <w:p>
            <w:pPr>
              <w:spacing w:after="0"/>
              <w:rPr>
                <w:sz w:val="20"/>
                <w:szCs w:val="20"/>
                <w:color w:val="auto"/>
              </w:rPr>
            </w:pPr>
            <w:r>
              <w:rPr>
                <w:rFonts w:ascii="Arial" w:cs="Arial" w:eastAsia="Arial" w:hAnsi="Arial"/>
                <w:sz w:val="15"/>
                <w:szCs w:val="15"/>
                <w:color w:val="auto"/>
              </w:rPr>
              <w:t>Specimen Share Certificate**</w:t>
            </w:r>
          </w:p>
        </w:tc>
      </w:tr>
      <w:tr>
        <w:trPr>
          <w:trHeight w:val="179"/>
        </w:trPr>
        <w:tc>
          <w:tcPr>
            <w:tcW w:w="880" w:type="dxa"/>
            <w:vAlign w:val="bottom"/>
            <w:gridSpan w:val="2"/>
          </w:tcPr>
          <w:p>
            <w:pPr>
              <w:spacing w:after="0"/>
              <w:rPr>
                <w:sz w:val="20"/>
                <w:szCs w:val="20"/>
                <w:color w:val="auto"/>
              </w:rPr>
            </w:pPr>
            <w:r>
              <w:rPr>
                <w:rFonts w:ascii="Arial" w:cs="Arial" w:eastAsia="Arial" w:hAnsi="Arial"/>
                <w:sz w:val="15"/>
                <w:szCs w:val="15"/>
                <w:color w:val="auto"/>
              </w:rPr>
              <w:t>5.1</w:t>
            </w:r>
          </w:p>
        </w:tc>
        <w:tc>
          <w:tcPr>
            <w:tcW w:w="160" w:type="dxa"/>
            <w:vAlign w:val="bottom"/>
          </w:tcPr>
          <w:p>
            <w:pPr>
              <w:spacing w:after="0"/>
              <w:rPr>
                <w:sz w:val="15"/>
                <w:szCs w:val="15"/>
                <w:color w:val="auto"/>
              </w:rPr>
            </w:pPr>
          </w:p>
        </w:tc>
        <w:tc>
          <w:tcPr>
            <w:tcW w:w="6260" w:type="dxa"/>
            <w:vAlign w:val="bottom"/>
          </w:tcPr>
          <w:p>
            <w:pPr>
              <w:spacing w:after="0"/>
              <w:rPr>
                <w:sz w:val="20"/>
                <w:szCs w:val="20"/>
                <w:color w:val="auto"/>
              </w:rPr>
            </w:pPr>
            <w:r>
              <w:rPr>
                <w:rFonts w:ascii="Arial" w:cs="Arial" w:eastAsia="Arial" w:hAnsi="Arial"/>
                <w:sz w:val="15"/>
                <w:szCs w:val="15"/>
                <w:color w:val="auto"/>
                <w:w w:val="92"/>
              </w:rPr>
              <w:t>Opinion of Meitar Liquornik Geva Leshem Tal, Israeli counsel to the Registrant, as to the validity of the</w:t>
            </w:r>
          </w:p>
        </w:tc>
      </w:tr>
      <w:tr>
        <w:trPr>
          <w:trHeight w:val="179"/>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60" w:type="dxa"/>
            <w:vAlign w:val="bottom"/>
          </w:tcPr>
          <w:p>
            <w:pPr>
              <w:spacing w:after="0"/>
              <w:rPr>
                <w:sz w:val="20"/>
                <w:szCs w:val="20"/>
                <w:color w:val="auto"/>
              </w:rPr>
            </w:pPr>
            <w:r>
              <w:rPr>
                <w:rFonts w:ascii="Arial" w:cs="Arial" w:eastAsia="Arial" w:hAnsi="Arial"/>
                <w:sz w:val="15"/>
                <w:szCs w:val="15"/>
                <w:color w:val="auto"/>
              </w:rPr>
              <w:t>ordinary shares (including consent)**</w:t>
            </w:r>
          </w:p>
        </w:tc>
      </w:tr>
      <w:tr>
        <w:trPr>
          <w:trHeight w:val="179"/>
        </w:trPr>
        <w:tc>
          <w:tcPr>
            <w:tcW w:w="880" w:type="dxa"/>
            <w:vAlign w:val="bottom"/>
            <w:gridSpan w:val="2"/>
          </w:tcPr>
          <w:p>
            <w:pPr>
              <w:spacing w:after="0"/>
              <w:rPr>
                <w:sz w:val="20"/>
                <w:szCs w:val="20"/>
                <w:color w:val="auto"/>
              </w:rPr>
            </w:pPr>
            <w:r>
              <w:rPr>
                <w:rFonts w:ascii="Arial" w:cs="Arial" w:eastAsia="Arial" w:hAnsi="Arial"/>
                <w:sz w:val="15"/>
                <w:szCs w:val="15"/>
                <w:color w:val="auto"/>
              </w:rPr>
              <w:t>10.1</w:t>
            </w:r>
          </w:p>
        </w:tc>
        <w:tc>
          <w:tcPr>
            <w:tcW w:w="160" w:type="dxa"/>
            <w:vAlign w:val="bottom"/>
          </w:tcPr>
          <w:p>
            <w:pPr>
              <w:spacing w:after="0"/>
              <w:rPr>
                <w:sz w:val="15"/>
                <w:szCs w:val="15"/>
                <w:color w:val="auto"/>
              </w:rPr>
            </w:pPr>
          </w:p>
        </w:tc>
        <w:tc>
          <w:tcPr>
            <w:tcW w:w="6260" w:type="dxa"/>
            <w:vAlign w:val="bottom"/>
          </w:tcPr>
          <w:p>
            <w:pPr>
              <w:spacing w:after="0"/>
              <w:rPr>
                <w:sz w:val="20"/>
                <w:szCs w:val="20"/>
                <w:color w:val="auto"/>
              </w:rPr>
            </w:pPr>
            <w:r>
              <w:rPr>
                <w:rFonts w:ascii="Arial" w:cs="Arial" w:eastAsia="Arial" w:hAnsi="Arial"/>
                <w:sz w:val="15"/>
                <w:szCs w:val="15"/>
                <w:color w:val="auto"/>
              </w:rPr>
              <w:t>2004 Share Option Plan**</w:t>
            </w:r>
          </w:p>
        </w:tc>
      </w:tr>
      <w:tr>
        <w:trPr>
          <w:trHeight w:val="179"/>
        </w:trPr>
        <w:tc>
          <w:tcPr>
            <w:tcW w:w="880" w:type="dxa"/>
            <w:vAlign w:val="bottom"/>
            <w:gridSpan w:val="2"/>
          </w:tcPr>
          <w:p>
            <w:pPr>
              <w:spacing w:after="0"/>
              <w:rPr>
                <w:sz w:val="20"/>
                <w:szCs w:val="20"/>
                <w:color w:val="auto"/>
              </w:rPr>
            </w:pPr>
            <w:r>
              <w:rPr>
                <w:rFonts w:ascii="Arial" w:cs="Arial" w:eastAsia="Arial" w:hAnsi="Arial"/>
                <w:sz w:val="15"/>
                <w:szCs w:val="15"/>
                <w:color w:val="auto"/>
              </w:rPr>
              <w:t>10.2</w:t>
            </w:r>
          </w:p>
        </w:tc>
        <w:tc>
          <w:tcPr>
            <w:tcW w:w="160" w:type="dxa"/>
            <w:vAlign w:val="bottom"/>
          </w:tcPr>
          <w:p>
            <w:pPr>
              <w:spacing w:after="0"/>
              <w:rPr>
                <w:sz w:val="15"/>
                <w:szCs w:val="15"/>
                <w:color w:val="auto"/>
              </w:rPr>
            </w:pPr>
          </w:p>
        </w:tc>
        <w:tc>
          <w:tcPr>
            <w:tcW w:w="6260" w:type="dxa"/>
            <w:vAlign w:val="bottom"/>
          </w:tcPr>
          <w:p>
            <w:pPr>
              <w:spacing w:after="0"/>
              <w:rPr>
                <w:sz w:val="20"/>
                <w:szCs w:val="20"/>
                <w:color w:val="auto"/>
              </w:rPr>
            </w:pPr>
            <w:r>
              <w:rPr>
                <w:rFonts w:ascii="Arial" w:cs="Arial" w:eastAsia="Arial" w:hAnsi="Arial"/>
                <w:sz w:val="15"/>
                <w:szCs w:val="15"/>
                <w:color w:val="auto"/>
              </w:rPr>
              <w:t>2012 Share Incentive Plan**</w:t>
            </w:r>
          </w:p>
        </w:tc>
      </w:tr>
      <w:tr>
        <w:trPr>
          <w:trHeight w:val="179"/>
        </w:trPr>
        <w:tc>
          <w:tcPr>
            <w:tcW w:w="880" w:type="dxa"/>
            <w:vAlign w:val="bottom"/>
            <w:gridSpan w:val="2"/>
          </w:tcPr>
          <w:p>
            <w:pPr>
              <w:spacing w:after="0"/>
              <w:rPr>
                <w:sz w:val="20"/>
                <w:szCs w:val="20"/>
                <w:color w:val="auto"/>
              </w:rPr>
            </w:pPr>
            <w:r>
              <w:rPr>
                <w:rFonts w:ascii="Arial" w:cs="Arial" w:eastAsia="Arial" w:hAnsi="Arial"/>
                <w:sz w:val="15"/>
                <w:szCs w:val="15"/>
                <w:color w:val="auto"/>
              </w:rPr>
              <w:t>10.3</w:t>
            </w:r>
          </w:p>
        </w:tc>
        <w:tc>
          <w:tcPr>
            <w:tcW w:w="160" w:type="dxa"/>
            <w:vAlign w:val="bottom"/>
          </w:tcPr>
          <w:p>
            <w:pPr>
              <w:spacing w:after="0"/>
              <w:rPr>
                <w:sz w:val="15"/>
                <w:szCs w:val="15"/>
                <w:color w:val="auto"/>
              </w:rPr>
            </w:pPr>
          </w:p>
        </w:tc>
        <w:tc>
          <w:tcPr>
            <w:tcW w:w="6260" w:type="dxa"/>
            <w:vAlign w:val="bottom"/>
          </w:tcPr>
          <w:p>
            <w:pPr>
              <w:spacing w:after="0"/>
              <w:rPr>
                <w:sz w:val="20"/>
                <w:szCs w:val="20"/>
                <w:color w:val="auto"/>
              </w:rPr>
            </w:pPr>
            <w:r>
              <w:rPr>
                <w:rFonts w:ascii="Arial" w:cs="Arial" w:eastAsia="Arial" w:hAnsi="Arial"/>
                <w:sz w:val="15"/>
                <w:szCs w:val="15"/>
                <w:color w:val="auto"/>
                <w:w w:val="95"/>
              </w:rPr>
              <w:t>Form of indemnification agreement by and between Kornit Digital Ltd. and each of its directors and</w:t>
            </w:r>
          </w:p>
        </w:tc>
      </w:tr>
      <w:tr>
        <w:trPr>
          <w:trHeight w:val="179"/>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60" w:type="dxa"/>
            <w:vAlign w:val="bottom"/>
          </w:tcPr>
          <w:p>
            <w:pPr>
              <w:spacing w:after="0"/>
              <w:rPr>
                <w:sz w:val="20"/>
                <w:szCs w:val="20"/>
                <w:color w:val="auto"/>
              </w:rPr>
            </w:pPr>
            <w:r>
              <w:rPr>
                <w:rFonts w:ascii="Arial" w:cs="Arial" w:eastAsia="Arial" w:hAnsi="Arial"/>
                <w:sz w:val="15"/>
                <w:szCs w:val="15"/>
                <w:color w:val="auto"/>
              </w:rPr>
              <w:t>executive officers**</w:t>
            </w:r>
          </w:p>
        </w:tc>
      </w:tr>
      <w:tr>
        <w:trPr>
          <w:trHeight w:val="179"/>
        </w:trPr>
        <w:tc>
          <w:tcPr>
            <w:tcW w:w="880" w:type="dxa"/>
            <w:vAlign w:val="bottom"/>
            <w:gridSpan w:val="2"/>
          </w:tcPr>
          <w:p>
            <w:pPr>
              <w:spacing w:after="0"/>
              <w:rPr>
                <w:sz w:val="20"/>
                <w:szCs w:val="20"/>
                <w:color w:val="auto"/>
              </w:rPr>
            </w:pPr>
            <w:r>
              <w:rPr>
                <w:rFonts w:ascii="Arial" w:cs="Arial" w:eastAsia="Arial" w:hAnsi="Arial"/>
                <w:sz w:val="15"/>
                <w:szCs w:val="15"/>
                <w:color w:val="auto"/>
              </w:rPr>
              <w:t>10.4</w:t>
            </w:r>
          </w:p>
        </w:tc>
        <w:tc>
          <w:tcPr>
            <w:tcW w:w="160" w:type="dxa"/>
            <w:vAlign w:val="bottom"/>
          </w:tcPr>
          <w:p>
            <w:pPr>
              <w:spacing w:after="0"/>
              <w:rPr>
                <w:sz w:val="15"/>
                <w:szCs w:val="15"/>
                <w:color w:val="auto"/>
              </w:rPr>
            </w:pPr>
          </w:p>
        </w:tc>
        <w:tc>
          <w:tcPr>
            <w:tcW w:w="6260" w:type="dxa"/>
            <w:vAlign w:val="bottom"/>
          </w:tcPr>
          <w:p>
            <w:pPr>
              <w:spacing w:after="0"/>
              <w:rPr>
                <w:sz w:val="20"/>
                <w:szCs w:val="20"/>
                <w:color w:val="auto"/>
              </w:rPr>
            </w:pPr>
            <w:r>
              <w:rPr>
                <w:rFonts w:ascii="Arial" w:cs="Arial" w:eastAsia="Arial" w:hAnsi="Arial"/>
                <w:sz w:val="15"/>
                <w:szCs w:val="15"/>
                <w:color w:val="auto"/>
                <w:w w:val="91"/>
              </w:rPr>
              <w:t>Sales Representative Agreement, dated April 1, 2014, between the Registrant and Hirsch International</w:t>
            </w:r>
          </w:p>
        </w:tc>
      </w:tr>
      <w:tr>
        <w:trPr>
          <w:trHeight w:val="179"/>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60" w:type="dxa"/>
            <w:vAlign w:val="bottom"/>
          </w:tcPr>
          <w:p>
            <w:pPr>
              <w:spacing w:after="0"/>
              <w:rPr>
                <w:sz w:val="20"/>
                <w:szCs w:val="20"/>
                <w:color w:val="auto"/>
              </w:rPr>
            </w:pPr>
            <w:r>
              <w:rPr>
                <w:rFonts w:ascii="Arial" w:cs="Arial" w:eastAsia="Arial" w:hAnsi="Arial"/>
                <w:sz w:val="15"/>
                <w:szCs w:val="15"/>
                <w:color w:val="auto"/>
              </w:rPr>
              <w:t>Corporation†**</w:t>
            </w:r>
          </w:p>
        </w:tc>
      </w:tr>
      <w:tr>
        <w:trPr>
          <w:trHeight w:val="179"/>
        </w:trPr>
        <w:tc>
          <w:tcPr>
            <w:tcW w:w="880" w:type="dxa"/>
            <w:vAlign w:val="bottom"/>
            <w:gridSpan w:val="2"/>
          </w:tcPr>
          <w:p>
            <w:pPr>
              <w:spacing w:after="0"/>
              <w:rPr>
                <w:sz w:val="20"/>
                <w:szCs w:val="20"/>
                <w:color w:val="auto"/>
              </w:rPr>
            </w:pPr>
            <w:r>
              <w:rPr>
                <w:rFonts w:ascii="Arial" w:cs="Arial" w:eastAsia="Arial" w:hAnsi="Arial"/>
                <w:sz w:val="15"/>
                <w:szCs w:val="15"/>
                <w:color w:val="auto"/>
              </w:rPr>
              <w:t>10.5</w:t>
            </w:r>
          </w:p>
        </w:tc>
        <w:tc>
          <w:tcPr>
            <w:tcW w:w="160" w:type="dxa"/>
            <w:vAlign w:val="bottom"/>
          </w:tcPr>
          <w:p>
            <w:pPr>
              <w:spacing w:after="0"/>
              <w:rPr>
                <w:sz w:val="15"/>
                <w:szCs w:val="15"/>
                <w:color w:val="auto"/>
              </w:rPr>
            </w:pPr>
          </w:p>
        </w:tc>
        <w:tc>
          <w:tcPr>
            <w:tcW w:w="6260" w:type="dxa"/>
            <w:vAlign w:val="bottom"/>
          </w:tcPr>
          <w:p>
            <w:pPr>
              <w:spacing w:after="0"/>
              <w:rPr>
                <w:sz w:val="20"/>
                <w:szCs w:val="20"/>
                <w:color w:val="auto"/>
              </w:rPr>
            </w:pPr>
            <w:r>
              <w:rPr>
                <w:rFonts w:ascii="Arial" w:cs="Arial" w:eastAsia="Arial" w:hAnsi="Arial"/>
                <w:sz w:val="15"/>
                <w:szCs w:val="15"/>
                <w:color w:val="auto"/>
                <w:w w:val="93"/>
              </w:rPr>
              <w:t>Original Equipment Manufacturer Supply Agreement, dated January 6, 2006, between the Registrant</w:t>
            </w:r>
          </w:p>
        </w:tc>
      </w:tr>
      <w:tr>
        <w:trPr>
          <w:trHeight w:val="179"/>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60" w:type="dxa"/>
            <w:vAlign w:val="bottom"/>
          </w:tcPr>
          <w:p>
            <w:pPr>
              <w:spacing w:after="0"/>
              <w:rPr>
                <w:sz w:val="20"/>
                <w:szCs w:val="20"/>
                <w:color w:val="auto"/>
              </w:rPr>
            </w:pPr>
            <w:r>
              <w:rPr>
                <w:rFonts w:ascii="Arial" w:cs="Arial" w:eastAsia="Arial" w:hAnsi="Arial"/>
                <w:sz w:val="15"/>
                <w:szCs w:val="15"/>
                <w:color w:val="auto"/>
              </w:rPr>
              <w:t>and Spectra Printing, a division of Dimatix, Inc.†**</w:t>
            </w:r>
          </w:p>
        </w:tc>
      </w:tr>
      <w:tr>
        <w:trPr>
          <w:trHeight w:val="179"/>
        </w:trPr>
        <w:tc>
          <w:tcPr>
            <w:tcW w:w="880" w:type="dxa"/>
            <w:vAlign w:val="bottom"/>
            <w:gridSpan w:val="2"/>
          </w:tcPr>
          <w:p>
            <w:pPr>
              <w:spacing w:after="0"/>
              <w:rPr>
                <w:sz w:val="20"/>
                <w:szCs w:val="20"/>
                <w:color w:val="auto"/>
              </w:rPr>
            </w:pPr>
            <w:r>
              <w:rPr>
                <w:rFonts w:ascii="Arial" w:cs="Arial" w:eastAsia="Arial" w:hAnsi="Arial"/>
                <w:sz w:val="15"/>
                <w:szCs w:val="15"/>
                <w:color w:val="auto"/>
              </w:rPr>
              <w:t>10.6</w:t>
            </w:r>
          </w:p>
        </w:tc>
        <w:tc>
          <w:tcPr>
            <w:tcW w:w="160" w:type="dxa"/>
            <w:vAlign w:val="bottom"/>
          </w:tcPr>
          <w:p>
            <w:pPr>
              <w:spacing w:after="0"/>
              <w:rPr>
                <w:sz w:val="15"/>
                <w:szCs w:val="15"/>
                <w:color w:val="auto"/>
              </w:rPr>
            </w:pPr>
          </w:p>
        </w:tc>
        <w:tc>
          <w:tcPr>
            <w:tcW w:w="6260" w:type="dxa"/>
            <w:vAlign w:val="bottom"/>
          </w:tcPr>
          <w:p>
            <w:pPr>
              <w:spacing w:after="0"/>
              <w:rPr>
                <w:sz w:val="20"/>
                <w:szCs w:val="20"/>
                <w:color w:val="auto"/>
              </w:rPr>
            </w:pPr>
            <w:r>
              <w:rPr>
                <w:rFonts w:ascii="Arial" w:cs="Arial" w:eastAsia="Arial" w:hAnsi="Arial"/>
                <w:sz w:val="15"/>
                <w:szCs w:val="15"/>
                <w:color w:val="auto"/>
                <w:w w:val="91"/>
              </w:rPr>
              <w:t>Amendment No. 1 to Original Equipment Manufacturer Supply Agreement, dated September 20, 2006,</w:t>
            </w:r>
          </w:p>
        </w:tc>
      </w:tr>
      <w:tr>
        <w:trPr>
          <w:trHeight w:val="179"/>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60" w:type="dxa"/>
            <w:vAlign w:val="bottom"/>
          </w:tcPr>
          <w:p>
            <w:pPr>
              <w:spacing w:after="0"/>
              <w:rPr>
                <w:sz w:val="20"/>
                <w:szCs w:val="20"/>
                <w:color w:val="auto"/>
              </w:rPr>
            </w:pPr>
            <w:r>
              <w:rPr>
                <w:rFonts w:ascii="Arial" w:cs="Arial" w:eastAsia="Arial" w:hAnsi="Arial"/>
                <w:sz w:val="15"/>
                <w:szCs w:val="15"/>
                <w:color w:val="auto"/>
                <w:w w:val="97"/>
              </w:rPr>
              <w:t>between the Registrant and Fujifilm Dimatix, Inc., formerly Spectra Printing, a division of Dimatix,</w:t>
            </w:r>
          </w:p>
        </w:tc>
      </w:tr>
      <w:tr>
        <w:trPr>
          <w:trHeight w:val="179"/>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60" w:type="dxa"/>
            <w:vAlign w:val="bottom"/>
          </w:tcPr>
          <w:p>
            <w:pPr>
              <w:spacing w:after="0"/>
              <w:rPr>
                <w:sz w:val="20"/>
                <w:szCs w:val="20"/>
                <w:color w:val="auto"/>
              </w:rPr>
            </w:pPr>
            <w:r>
              <w:rPr>
                <w:rFonts w:ascii="Arial" w:cs="Arial" w:eastAsia="Arial" w:hAnsi="Arial"/>
                <w:sz w:val="15"/>
                <w:szCs w:val="15"/>
                <w:color w:val="auto"/>
              </w:rPr>
              <w:t>Inc.†**</w:t>
            </w:r>
          </w:p>
        </w:tc>
      </w:tr>
      <w:tr>
        <w:trPr>
          <w:trHeight w:val="179"/>
        </w:trPr>
        <w:tc>
          <w:tcPr>
            <w:tcW w:w="880" w:type="dxa"/>
            <w:vAlign w:val="bottom"/>
            <w:gridSpan w:val="2"/>
          </w:tcPr>
          <w:p>
            <w:pPr>
              <w:spacing w:after="0"/>
              <w:rPr>
                <w:sz w:val="20"/>
                <w:szCs w:val="20"/>
                <w:color w:val="auto"/>
              </w:rPr>
            </w:pPr>
            <w:r>
              <w:rPr>
                <w:rFonts w:ascii="Arial" w:cs="Arial" w:eastAsia="Arial" w:hAnsi="Arial"/>
                <w:sz w:val="15"/>
                <w:szCs w:val="15"/>
                <w:color w:val="auto"/>
              </w:rPr>
              <w:t>10.7</w:t>
            </w:r>
          </w:p>
        </w:tc>
        <w:tc>
          <w:tcPr>
            <w:tcW w:w="160" w:type="dxa"/>
            <w:vAlign w:val="bottom"/>
          </w:tcPr>
          <w:p>
            <w:pPr>
              <w:spacing w:after="0"/>
              <w:rPr>
                <w:sz w:val="15"/>
                <w:szCs w:val="15"/>
                <w:color w:val="auto"/>
              </w:rPr>
            </w:pPr>
          </w:p>
        </w:tc>
        <w:tc>
          <w:tcPr>
            <w:tcW w:w="6260" w:type="dxa"/>
            <w:vAlign w:val="bottom"/>
          </w:tcPr>
          <w:p>
            <w:pPr>
              <w:spacing w:after="0"/>
              <w:rPr>
                <w:sz w:val="20"/>
                <w:szCs w:val="20"/>
                <w:color w:val="auto"/>
              </w:rPr>
            </w:pPr>
            <w:r>
              <w:rPr>
                <w:rFonts w:ascii="Arial" w:cs="Arial" w:eastAsia="Arial" w:hAnsi="Arial"/>
                <w:sz w:val="15"/>
                <w:szCs w:val="15"/>
                <w:color w:val="auto"/>
                <w:w w:val="92"/>
              </w:rPr>
              <w:t>Amendment No. 2 to Original Equipment Manufacturer Supply Agreement, dated September 1, 2007,</w:t>
            </w:r>
          </w:p>
        </w:tc>
      </w:tr>
      <w:tr>
        <w:trPr>
          <w:trHeight w:val="179"/>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60" w:type="dxa"/>
            <w:vAlign w:val="bottom"/>
          </w:tcPr>
          <w:p>
            <w:pPr>
              <w:spacing w:after="0"/>
              <w:rPr>
                <w:sz w:val="20"/>
                <w:szCs w:val="20"/>
                <w:color w:val="auto"/>
              </w:rPr>
            </w:pPr>
            <w:r>
              <w:rPr>
                <w:rFonts w:ascii="Arial" w:cs="Arial" w:eastAsia="Arial" w:hAnsi="Arial"/>
                <w:sz w:val="15"/>
                <w:szCs w:val="15"/>
                <w:color w:val="auto"/>
                <w:w w:val="97"/>
              </w:rPr>
              <w:t>between the Registrant and Fujifilm Dimatix, Inc., formerly Spectra Printing, a division of Dimatix,</w:t>
            </w:r>
          </w:p>
        </w:tc>
      </w:tr>
      <w:tr>
        <w:trPr>
          <w:trHeight w:val="179"/>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60" w:type="dxa"/>
            <w:vAlign w:val="bottom"/>
          </w:tcPr>
          <w:p>
            <w:pPr>
              <w:spacing w:after="0"/>
              <w:rPr>
                <w:sz w:val="20"/>
                <w:szCs w:val="20"/>
                <w:color w:val="auto"/>
              </w:rPr>
            </w:pPr>
            <w:r>
              <w:rPr>
                <w:rFonts w:ascii="Arial" w:cs="Arial" w:eastAsia="Arial" w:hAnsi="Arial"/>
                <w:sz w:val="15"/>
                <w:szCs w:val="15"/>
                <w:color w:val="auto"/>
              </w:rPr>
              <w:t>Inc.†**</w:t>
            </w:r>
          </w:p>
        </w:tc>
      </w:tr>
      <w:tr>
        <w:trPr>
          <w:trHeight w:val="179"/>
        </w:trPr>
        <w:tc>
          <w:tcPr>
            <w:tcW w:w="880" w:type="dxa"/>
            <w:vAlign w:val="bottom"/>
            <w:gridSpan w:val="2"/>
          </w:tcPr>
          <w:p>
            <w:pPr>
              <w:spacing w:after="0"/>
              <w:rPr>
                <w:sz w:val="20"/>
                <w:szCs w:val="20"/>
                <w:color w:val="auto"/>
              </w:rPr>
            </w:pPr>
            <w:r>
              <w:rPr>
                <w:rFonts w:ascii="Arial" w:cs="Arial" w:eastAsia="Arial" w:hAnsi="Arial"/>
                <w:sz w:val="15"/>
                <w:szCs w:val="15"/>
                <w:color w:val="auto"/>
              </w:rPr>
              <w:t>10.8</w:t>
            </w:r>
          </w:p>
        </w:tc>
        <w:tc>
          <w:tcPr>
            <w:tcW w:w="160" w:type="dxa"/>
            <w:vAlign w:val="bottom"/>
          </w:tcPr>
          <w:p>
            <w:pPr>
              <w:spacing w:after="0"/>
              <w:rPr>
                <w:sz w:val="15"/>
                <w:szCs w:val="15"/>
                <w:color w:val="auto"/>
              </w:rPr>
            </w:pPr>
          </w:p>
        </w:tc>
        <w:tc>
          <w:tcPr>
            <w:tcW w:w="6260" w:type="dxa"/>
            <w:vAlign w:val="bottom"/>
          </w:tcPr>
          <w:p>
            <w:pPr>
              <w:spacing w:after="0"/>
              <w:rPr>
                <w:sz w:val="20"/>
                <w:szCs w:val="20"/>
                <w:color w:val="auto"/>
              </w:rPr>
            </w:pPr>
            <w:r>
              <w:rPr>
                <w:rFonts w:ascii="Arial" w:cs="Arial" w:eastAsia="Arial" w:hAnsi="Arial"/>
                <w:sz w:val="15"/>
                <w:szCs w:val="15"/>
                <w:color w:val="auto"/>
                <w:w w:val="96"/>
              </w:rPr>
              <w:t>Amendment No. 3 to Original Equipment Manufacturer Supply Agreement, dated March 17, 2008,</w:t>
            </w:r>
          </w:p>
        </w:tc>
      </w:tr>
      <w:tr>
        <w:trPr>
          <w:trHeight w:val="179"/>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60" w:type="dxa"/>
            <w:vAlign w:val="bottom"/>
          </w:tcPr>
          <w:p>
            <w:pPr>
              <w:spacing w:after="0"/>
              <w:rPr>
                <w:sz w:val="20"/>
                <w:szCs w:val="20"/>
                <w:color w:val="auto"/>
              </w:rPr>
            </w:pPr>
            <w:r>
              <w:rPr>
                <w:rFonts w:ascii="Arial" w:cs="Arial" w:eastAsia="Arial" w:hAnsi="Arial"/>
                <w:sz w:val="15"/>
                <w:szCs w:val="15"/>
                <w:color w:val="auto"/>
                <w:w w:val="97"/>
              </w:rPr>
              <w:t>between the Registrant and Fujifilm Dimatix, Inc., formerly Spectra Printing, a division of Dimatix,</w:t>
            </w:r>
          </w:p>
        </w:tc>
      </w:tr>
      <w:tr>
        <w:trPr>
          <w:trHeight w:val="179"/>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60" w:type="dxa"/>
            <w:vAlign w:val="bottom"/>
          </w:tcPr>
          <w:p>
            <w:pPr>
              <w:spacing w:after="0"/>
              <w:rPr>
                <w:sz w:val="20"/>
                <w:szCs w:val="20"/>
                <w:color w:val="auto"/>
              </w:rPr>
            </w:pPr>
            <w:r>
              <w:rPr>
                <w:rFonts w:ascii="Arial" w:cs="Arial" w:eastAsia="Arial" w:hAnsi="Arial"/>
                <w:sz w:val="15"/>
                <w:szCs w:val="15"/>
                <w:color w:val="auto"/>
              </w:rPr>
              <w:t>Inc.†**</w:t>
            </w:r>
          </w:p>
        </w:tc>
      </w:tr>
      <w:tr>
        <w:trPr>
          <w:trHeight w:val="179"/>
        </w:trPr>
        <w:tc>
          <w:tcPr>
            <w:tcW w:w="880" w:type="dxa"/>
            <w:vAlign w:val="bottom"/>
            <w:gridSpan w:val="2"/>
          </w:tcPr>
          <w:p>
            <w:pPr>
              <w:spacing w:after="0"/>
              <w:rPr>
                <w:sz w:val="20"/>
                <w:szCs w:val="20"/>
                <w:color w:val="auto"/>
              </w:rPr>
            </w:pPr>
            <w:r>
              <w:rPr>
                <w:rFonts w:ascii="Arial" w:cs="Arial" w:eastAsia="Arial" w:hAnsi="Arial"/>
                <w:sz w:val="15"/>
                <w:szCs w:val="15"/>
                <w:color w:val="auto"/>
              </w:rPr>
              <w:t>10.9</w:t>
            </w:r>
          </w:p>
        </w:tc>
        <w:tc>
          <w:tcPr>
            <w:tcW w:w="160" w:type="dxa"/>
            <w:vAlign w:val="bottom"/>
          </w:tcPr>
          <w:p>
            <w:pPr>
              <w:spacing w:after="0"/>
              <w:rPr>
                <w:sz w:val="15"/>
                <w:szCs w:val="15"/>
                <w:color w:val="auto"/>
              </w:rPr>
            </w:pPr>
          </w:p>
        </w:tc>
        <w:tc>
          <w:tcPr>
            <w:tcW w:w="6260" w:type="dxa"/>
            <w:vAlign w:val="bottom"/>
          </w:tcPr>
          <w:p>
            <w:pPr>
              <w:spacing w:after="0"/>
              <w:rPr>
                <w:sz w:val="20"/>
                <w:szCs w:val="20"/>
                <w:color w:val="auto"/>
              </w:rPr>
            </w:pPr>
            <w:r>
              <w:rPr>
                <w:rFonts w:ascii="Arial" w:cs="Arial" w:eastAsia="Arial" w:hAnsi="Arial"/>
                <w:sz w:val="15"/>
                <w:szCs w:val="15"/>
                <w:color w:val="auto"/>
                <w:w w:val="91"/>
              </w:rPr>
              <w:t>Amendment No. 4 to Original Equipment Manufacturer Supply Agreement, dated July 1, 2010, between</w:t>
            </w:r>
          </w:p>
        </w:tc>
      </w:tr>
      <w:tr>
        <w:trPr>
          <w:trHeight w:val="179"/>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60" w:type="dxa"/>
            <w:vAlign w:val="bottom"/>
          </w:tcPr>
          <w:p>
            <w:pPr>
              <w:spacing w:after="0"/>
              <w:rPr>
                <w:sz w:val="20"/>
                <w:szCs w:val="20"/>
                <w:color w:val="auto"/>
              </w:rPr>
            </w:pPr>
            <w:r>
              <w:rPr>
                <w:rFonts w:ascii="Arial" w:cs="Arial" w:eastAsia="Arial" w:hAnsi="Arial"/>
                <w:sz w:val="15"/>
                <w:szCs w:val="15"/>
                <w:color w:val="auto"/>
                <w:w w:val="99"/>
              </w:rPr>
              <w:t>the Registrant and Fujifilm Dimatix, Inc., formerly Spectra Printing, a division of Dimatix, Inc.†**</w:t>
            </w:r>
          </w:p>
        </w:tc>
      </w:tr>
      <w:tr>
        <w:trPr>
          <w:trHeight w:val="179"/>
        </w:trPr>
        <w:tc>
          <w:tcPr>
            <w:tcW w:w="880" w:type="dxa"/>
            <w:vAlign w:val="bottom"/>
            <w:gridSpan w:val="2"/>
          </w:tcPr>
          <w:p>
            <w:pPr>
              <w:spacing w:after="0"/>
              <w:rPr>
                <w:sz w:val="20"/>
                <w:szCs w:val="20"/>
                <w:color w:val="auto"/>
              </w:rPr>
            </w:pPr>
            <w:r>
              <w:rPr>
                <w:rFonts w:ascii="Arial" w:cs="Arial" w:eastAsia="Arial" w:hAnsi="Arial"/>
                <w:sz w:val="15"/>
                <w:szCs w:val="15"/>
                <w:color w:val="auto"/>
              </w:rPr>
              <w:t>10.10</w:t>
            </w:r>
          </w:p>
        </w:tc>
        <w:tc>
          <w:tcPr>
            <w:tcW w:w="160" w:type="dxa"/>
            <w:vAlign w:val="bottom"/>
          </w:tcPr>
          <w:p>
            <w:pPr>
              <w:spacing w:after="0"/>
              <w:rPr>
                <w:sz w:val="15"/>
                <w:szCs w:val="15"/>
                <w:color w:val="auto"/>
              </w:rPr>
            </w:pPr>
          </w:p>
        </w:tc>
        <w:tc>
          <w:tcPr>
            <w:tcW w:w="6260" w:type="dxa"/>
            <w:vAlign w:val="bottom"/>
          </w:tcPr>
          <w:p>
            <w:pPr>
              <w:spacing w:after="0"/>
              <w:rPr>
                <w:sz w:val="20"/>
                <w:szCs w:val="20"/>
                <w:color w:val="auto"/>
              </w:rPr>
            </w:pPr>
            <w:r>
              <w:rPr>
                <w:rFonts w:ascii="Arial" w:cs="Arial" w:eastAsia="Arial" w:hAnsi="Arial"/>
                <w:sz w:val="15"/>
                <w:szCs w:val="15"/>
                <w:color w:val="auto"/>
                <w:w w:val="95"/>
              </w:rPr>
              <w:t>Amendment No. 5 to Original Equipment Manufacturer Supply Agreement, dated October 4, 2011,</w:t>
            </w:r>
          </w:p>
        </w:tc>
      </w:tr>
      <w:tr>
        <w:trPr>
          <w:trHeight w:val="179"/>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60" w:type="dxa"/>
            <w:vAlign w:val="bottom"/>
          </w:tcPr>
          <w:p>
            <w:pPr>
              <w:spacing w:after="0"/>
              <w:rPr>
                <w:sz w:val="20"/>
                <w:szCs w:val="20"/>
                <w:color w:val="auto"/>
              </w:rPr>
            </w:pPr>
            <w:r>
              <w:rPr>
                <w:rFonts w:ascii="Arial" w:cs="Arial" w:eastAsia="Arial" w:hAnsi="Arial"/>
                <w:sz w:val="15"/>
                <w:szCs w:val="15"/>
                <w:color w:val="auto"/>
                <w:w w:val="97"/>
              </w:rPr>
              <w:t>between the Registrant and Fujifilm Dimatix, Inc., formerly Spectra Printing, a division of Dimatix,</w:t>
            </w:r>
          </w:p>
        </w:tc>
      </w:tr>
      <w:tr>
        <w:trPr>
          <w:trHeight w:val="179"/>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60" w:type="dxa"/>
            <w:vAlign w:val="bottom"/>
          </w:tcPr>
          <w:p>
            <w:pPr>
              <w:spacing w:after="0"/>
              <w:rPr>
                <w:sz w:val="20"/>
                <w:szCs w:val="20"/>
                <w:color w:val="auto"/>
              </w:rPr>
            </w:pPr>
            <w:r>
              <w:rPr>
                <w:rFonts w:ascii="Arial" w:cs="Arial" w:eastAsia="Arial" w:hAnsi="Arial"/>
                <w:sz w:val="15"/>
                <w:szCs w:val="15"/>
                <w:color w:val="auto"/>
              </w:rPr>
              <w:t>Inc.†**</w:t>
            </w:r>
          </w:p>
        </w:tc>
      </w:tr>
      <w:tr>
        <w:trPr>
          <w:trHeight w:val="179"/>
        </w:trPr>
        <w:tc>
          <w:tcPr>
            <w:tcW w:w="880" w:type="dxa"/>
            <w:vAlign w:val="bottom"/>
            <w:gridSpan w:val="2"/>
          </w:tcPr>
          <w:p>
            <w:pPr>
              <w:spacing w:after="0"/>
              <w:rPr>
                <w:sz w:val="20"/>
                <w:szCs w:val="20"/>
                <w:color w:val="auto"/>
              </w:rPr>
            </w:pPr>
            <w:r>
              <w:rPr>
                <w:rFonts w:ascii="Arial" w:cs="Arial" w:eastAsia="Arial" w:hAnsi="Arial"/>
                <w:sz w:val="15"/>
                <w:szCs w:val="15"/>
                <w:color w:val="auto"/>
              </w:rPr>
              <w:t>10.11</w:t>
            </w:r>
          </w:p>
        </w:tc>
        <w:tc>
          <w:tcPr>
            <w:tcW w:w="160" w:type="dxa"/>
            <w:vAlign w:val="bottom"/>
          </w:tcPr>
          <w:p>
            <w:pPr>
              <w:spacing w:after="0"/>
              <w:rPr>
                <w:sz w:val="15"/>
                <w:szCs w:val="15"/>
                <w:color w:val="auto"/>
              </w:rPr>
            </w:pPr>
          </w:p>
        </w:tc>
        <w:tc>
          <w:tcPr>
            <w:tcW w:w="6260" w:type="dxa"/>
            <w:vAlign w:val="bottom"/>
          </w:tcPr>
          <w:p>
            <w:pPr>
              <w:spacing w:after="0"/>
              <w:rPr>
                <w:sz w:val="20"/>
                <w:szCs w:val="20"/>
                <w:color w:val="auto"/>
              </w:rPr>
            </w:pPr>
            <w:r>
              <w:rPr>
                <w:rFonts w:ascii="Arial" w:cs="Arial" w:eastAsia="Arial" w:hAnsi="Arial"/>
                <w:sz w:val="15"/>
                <w:szCs w:val="15"/>
                <w:color w:val="auto"/>
                <w:w w:val="93"/>
              </w:rPr>
              <w:t>Amendment No. 6 to Original Equipment Manufacturer Supply Agreement, dated December 6, 2012,</w:t>
            </w:r>
          </w:p>
        </w:tc>
      </w:tr>
      <w:tr>
        <w:trPr>
          <w:trHeight w:val="179"/>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60" w:type="dxa"/>
            <w:vAlign w:val="bottom"/>
          </w:tcPr>
          <w:p>
            <w:pPr>
              <w:spacing w:after="0"/>
              <w:rPr>
                <w:sz w:val="20"/>
                <w:szCs w:val="20"/>
                <w:color w:val="auto"/>
              </w:rPr>
            </w:pPr>
            <w:r>
              <w:rPr>
                <w:rFonts w:ascii="Arial" w:cs="Arial" w:eastAsia="Arial" w:hAnsi="Arial"/>
                <w:sz w:val="15"/>
                <w:szCs w:val="15"/>
                <w:color w:val="auto"/>
                <w:w w:val="97"/>
              </w:rPr>
              <w:t>between the Registrant and Fujifilm Dimatix, Inc., formerly Spectra Printing, a division of Dimatix,</w:t>
            </w:r>
          </w:p>
        </w:tc>
      </w:tr>
      <w:tr>
        <w:trPr>
          <w:trHeight w:val="179"/>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60" w:type="dxa"/>
            <w:vAlign w:val="bottom"/>
          </w:tcPr>
          <w:p>
            <w:pPr>
              <w:spacing w:after="0"/>
              <w:rPr>
                <w:sz w:val="20"/>
                <w:szCs w:val="20"/>
                <w:color w:val="auto"/>
              </w:rPr>
            </w:pPr>
            <w:r>
              <w:rPr>
                <w:rFonts w:ascii="Arial" w:cs="Arial" w:eastAsia="Arial" w:hAnsi="Arial"/>
                <w:sz w:val="15"/>
                <w:szCs w:val="15"/>
                <w:color w:val="auto"/>
              </w:rPr>
              <w:t>Inc.†**</w:t>
            </w:r>
          </w:p>
        </w:tc>
      </w:tr>
      <w:tr>
        <w:trPr>
          <w:trHeight w:val="179"/>
        </w:trPr>
        <w:tc>
          <w:tcPr>
            <w:tcW w:w="880" w:type="dxa"/>
            <w:vAlign w:val="bottom"/>
            <w:gridSpan w:val="2"/>
          </w:tcPr>
          <w:p>
            <w:pPr>
              <w:spacing w:after="0"/>
              <w:rPr>
                <w:sz w:val="20"/>
                <w:szCs w:val="20"/>
                <w:color w:val="auto"/>
              </w:rPr>
            </w:pPr>
            <w:r>
              <w:rPr>
                <w:rFonts w:ascii="Arial" w:cs="Arial" w:eastAsia="Arial" w:hAnsi="Arial"/>
                <w:sz w:val="15"/>
                <w:szCs w:val="15"/>
                <w:color w:val="auto"/>
              </w:rPr>
              <w:t>10.12</w:t>
            </w:r>
          </w:p>
        </w:tc>
        <w:tc>
          <w:tcPr>
            <w:tcW w:w="160" w:type="dxa"/>
            <w:vAlign w:val="bottom"/>
          </w:tcPr>
          <w:p>
            <w:pPr>
              <w:spacing w:after="0"/>
              <w:rPr>
                <w:sz w:val="15"/>
                <w:szCs w:val="15"/>
                <w:color w:val="auto"/>
              </w:rPr>
            </w:pPr>
          </w:p>
        </w:tc>
        <w:tc>
          <w:tcPr>
            <w:tcW w:w="6260" w:type="dxa"/>
            <w:vAlign w:val="bottom"/>
          </w:tcPr>
          <w:p>
            <w:pPr>
              <w:spacing w:after="0"/>
              <w:rPr>
                <w:sz w:val="20"/>
                <w:szCs w:val="20"/>
                <w:color w:val="auto"/>
              </w:rPr>
            </w:pPr>
            <w:r>
              <w:rPr>
                <w:rFonts w:ascii="Arial" w:cs="Arial" w:eastAsia="Arial" w:hAnsi="Arial"/>
                <w:sz w:val="15"/>
                <w:szCs w:val="15"/>
                <w:color w:val="auto"/>
                <w:w w:val="94"/>
              </w:rPr>
              <w:t>Amendment No. 7 to Original Equipment Manufacturer Supply Agreement, dated February 1, 2013,</w:t>
            </w:r>
          </w:p>
        </w:tc>
      </w:tr>
      <w:tr>
        <w:trPr>
          <w:trHeight w:val="179"/>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60" w:type="dxa"/>
            <w:vAlign w:val="bottom"/>
          </w:tcPr>
          <w:p>
            <w:pPr>
              <w:spacing w:after="0"/>
              <w:rPr>
                <w:sz w:val="20"/>
                <w:szCs w:val="20"/>
                <w:color w:val="auto"/>
              </w:rPr>
            </w:pPr>
            <w:r>
              <w:rPr>
                <w:rFonts w:ascii="Arial" w:cs="Arial" w:eastAsia="Arial" w:hAnsi="Arial"/>
                <w:sz w:val="15"/>
                <w:szCs w:val="15"/>
                <w:color w:val="auto"/>
                <w:w w:val="97"/>
              </w:rPr>
              <w:t>between the Registrant and Fujifilm Dimatix, Inc., formerly Spectra Printing, a division of Dimatix,</w:t>
            </w:r>
          </w:p>
        </w:tc>
      </w:tr>
      <w:tr>
        <w:trPr>
          <w:trHeight w:val="179"/>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60" w:type="dxa"/>
            <w:vAlign w:val="bottom"/>
          </w:tcPr>
          <w:p>
            <w:pPr>
              <w:spacing w:after="0"/>
              <w:rPr>
                <w:sz w:val="20"/>
                <w:szCs w:val="20"/>
                <w:color w:val="auto"/>
              </w:rPr>
            </w:pPr>
            <w:r>
              <w:rPr>
                <w:rFonts w:ascii="Arial" w:cs="Arial" w:eastAsia="Arial" w:hAnsi="Arial"/>
                <w:sz w:val="15"/>
                <w:szCs w:val="15"/>
                <w:color w:val="auto"/>
              </w:rPr>
              <w:t>Inc.†**</w:t>
            </w:r>
          </w:p>
        </w:tc>
      </w:tr>
      <w:tr>
        <w:trPr>
          <w:trHeight w:val="179"/>
        </w:trPr>
        <w:tc>
          <w:tcPr>
            <w:tcW w:w="880" w:type="dxa"/>
            <w:vAlign w:val="bottom"/>
            <w:gridSpan w:val="2"/>
          </w:tcPr>
          <w:p>
            <w:pPr>
              <w:spacing w:after="0"/>
              <w:rPr>
                <w:sz w:val="20"/>
                <w:szCs w:val="20"/>
                <w:color w:val="auto"/>
              </w:rPr>
            </w:pPr>
            <w:r>
              <w:rPr>
                <w:rFonts w:ascii="Arial" w:cs="Arial" w:eastAsia="Arial" w:hAnsi="Arial"/>
                <w:sz w:val="15"/>
                <w:szCs w:val="15"/>
                <w:color w:val="auto"/>
              </w:rPr>
              <w:t>10.13</w:t>
            </w:r>
          </w:p>
        </w:tc>
        <w:tc>
          <w:tcPr>
            <w:tcW w:w="160" w:type="dxa"/>
            <w:vAlign w:val="bottom"/>
          </w:tcPr>
          <w:p>
            <w:pPr>
              <w:spacing w:after="0"/>
              <w:rPr>
                <w:sz w:val="15"/>
                <w:szCs w:val="15"/>
                <w:color w:val="auto"/>
              </w:rPr>
            </w:pPr>
          </w:p>
        </w:tc>
        <w:tc>
          <w:tcPr>
            <w:tcW w:w="6260" w:type="dxa"/>
            <w:vAlign w:val="bottom"/>
          </w:tcPr>
          <w:p>
            <w:pPr>
              <w:spacing w:after="0"/>
              <w:rPr>
                <w:sz w:val="20"/>
                <w:szCs w:val="20"/>
                <w:color w:val="auto"/>
              </w:rPr>
            </w:pPr>
            <w:r>
              <w:rPr>
                <w:rFonts w:ascii="Arial" w:cs="Arial" w:eastAsia="Arial" w:hAnsi="Arial"/>
                <w:sz w:val="15"/>
                <w:szCs w:val="15"/>
                <w:color w:val="auto"/>
                <w:w w:val="95"/>
              </w:rPr>
              <w:t>Amendment No. 8 to Original Equipment Manufacturer Supply Agreement, dated January 1, 2014,</w:t>
            </w:r>
          </w:p>
        </w:tc>
      </w:tr>
      <w:tr>
        <w:trPr>
          <w:trHeight w:val="179"/>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60" w:type="dxa"/>
            <w:vAlign w:val="bottom"/>
          </w:tcPr>
          <w:p>
            <w:pPr>
              <w:spacing w:after="0"/>
              <w:rPr>
                <w:sz w:val="20"/>
                <w:szCs w:val="20"/>
                <w:color w:val="auto"/>
              </w:rPr>
            </w:pPr>
            <w:r>
              <w:rPr>
                <w:rFonts w:ascii="Arial" w:cs="Arial" w:eastAsia="Arial" w:hAnsi="Arial"/>
                <w:sz w:val="15"/>
                <w:szCs w:val="15"/>
                <w:color w:val="auto"/>
                <w:w w:val="97"/>
              </w:rPr>
              <w:t>between the Registrant and Fujifilm Dimatix, Inc., formerly Spectra Printing, a division of Dimatix,</w:t>
            </w:r>
          </w:p>
        </w:tc>
      </w:tr>
      <w:tr>
        <w:trPr>
          <w:trHeight w:val="179"/>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60" w:type="dxa"/>
            <w:vAlign w:val="bottom"/>
          </w:tcPr>
          <w:p>
            <w:pPr>
              <w:spacing w:after="0"/>
              <w:rPr>
                <w:sz w:val="20"/>
                <w:szCs w:val="20"/>
                <w:color w:val="auto"/>
              </w:rPr>
            </w:pPr>
            <w:r>
              <w:rPr>
                <w:rFonts w:ascii="Arial" w:cs="Arial" w:eastAsia="Arial" w:hAnsi="Arial"/>
                <w:sz w:val="15"/>
                <w:szCs w:val="15"/>
                <w:color w:val="auto"/>
              </w:rPr>
              <w:t>Inc.†**</w:t>
            </w:r>
          </w:p>
        </w:tc>
      </w:tr>
      <w:tr>
        <w:trPr>
          <w:trHeight w:val="179"/>
        </w:trPr>
        <w:tc>
          <w:tcPr>
            <w:tcW w:w="880" w:type="dxa"/>
            <w:vAlign w:val="bottom"/>
            <w:gridSpan w:val="2"/>
          </w:tcPr>
          <w:p>
            <w:pPr>
              <w:spacing w:after="0"/>
              <w:rPr>
                <w:sz w:val="20"/>
                <w:szCs w:val="20"/>
                <w:color w:val="auto"/>
              </w:rPr>
            </w:pPr>
            <w:r>
              <w:rPr>
                <w:rFonts w:ascii="Arial" w:cs="Arial" w:eastAsia="Arial" w:hAnsi="Arial"/>
                <w:sz w:val="15"/>
                <w:szCs w:val="15"/>
                <w:color w:val="auto"/>
              </w:rPr>
              <w:t>10.14</w:t>
            </w:r>
          </w:p>
        </w:tc>
        <w:tc>
          <w:tcPr>
            <w:tcW w:w="160" w:type="dxa"/>
            <w:vAlign w:val="bottom"/>
          </w:tcPr>
          <w:p>
            <w:pPr>
              <w:spacing w:after="0"/>
              <w:rPr>
                <w:sz w:val="15"/>
                <w:szCs w:val="15"/>
                <w:color w:val="auto"/>
              </w:rPr>
            </w:pPr>
          </w:p>
        </w:tc>
        <w:tc>
          <w:tcPr>
            <w:tcW w:w="6260" w:type="dxa"/>
            <w:vAlign w:val="bottom"/>
          </w:tcPr>
          <w:p>
            <w:pPr>
              <w:spacing w:after="0"/>
              <w:rPr>
                <w:sz w:val="20"/>
                <w:szCs w:val="20"/>
                <w:color w:val="auto"/>
              </w:rPr>
            </w:pPr>
            <w:r>
              <w:rPr>
                <w:rFonts w:ascii="Arial" w:cs="Arial" w:eastAsia="Arial" w:hAnsi="Arial"/>
                <w:sz w:val="15"/>
                <w:szCs w:val="15"/>
                <w:color w:val="auto"/>
                <w:w w:val="95"/>
              </w:rPr>
              <w:t>Amendment No. 9 to Original Equipment Manufacturer Supply Agreement, dated August 22, 2014,</w:t>
            </w:r>
          </w:p>
        </w:tc>
      </w:tr>
      <w:tr>
        <w:trPr>
          <w:trHeight w:val="179"/>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60" w:type="dxa"/>
            <w:vAlign w:val="bottom"/>
          </w:tcPr>
          <w:p>
            <w:pPr>
              <w:spacing w:after="0"/>
              <w:rPr>
                <w:sz w:val="20"/>
                <w:szCs w:val="20"/>
                <w:color w:val="auto"/>
              </w:rPr>
            </w:pPr>
            <w:r>
              <w:rPr>
                <w:rFonts w:ascii="Arial" w:cs="Arial" w:eastAsia="Arial" w:hAnsi="Arial"/>
                <w:sz w:val="15"/>
                <w:szCs w:val="15"/>
                <w:color w:val="auto"/>
                <w:w w:val="97"/>
              </w:rPr>
              <w:t>between the Registrant and Fujifilm Dimatix, Inc., formerly Spectra Printing, a division of Dimatix,</w:t>
            </w:r>
          </w:p>
        </w:tc>
      </w:tr>
      <w:tr>
        <w:trPr>
          <w:trHeight w:val="179"/>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60" w:type="dxa"/>
            <w:vAlign w:val="bottom"/>
          </w:tcPr>
          <w:p>
            <w:pPr>
              <w:spacing w:after="0"/>
              <w:rPr>
                <w:sz w:val="20"/>
                <w:szCs w:val="20"/>
                <w:color w:val="auto"/>
              </w:rPr>
            </w:pPr>
            <w:r>
              <w:rPr>
                <w:rFonts w:ascii="Arial" w:cs="Arial" w:eastAsia="Arial" w:hAnsi="Arial"/>
                <w:sz w:val="15"/>
                <w:szCs w:val="15"/>
                <w:color w:val="auto"/>
              </w:rPr>
              <w:t>Inc.†**</w:t>
            </w:r>
          </w:p>
        </w:tc>
      </w:tr>
      <w:tr>
        <w:trPr>
          <w:trHeight w:val="179"/>
        </w:trPr>
        <w:tc>
          <w:tcPr>
            <w:tcW w:w="880" w:type="dxa"/>
            <w:vAlign w:val="bottom"/>
            <w:gridSpan w:val="2"/>
          </w:tcPr>
          <w:p>
            <w:pPr>
              <w:spacing w:after="0"/>
              <w:rPr>
                <w:sz w:val="20"/>
                <w:szCs w:val="20"/>
                <w:color w:val="auto"/>
              </w:rPr>
            </w:pPr>
            <w:r>
              <w:rPr>
                <w:rFonts w:ascii="Arial" w:cs="Arial" w:eastAsia="Arial" w:hAnsi="Arial"/>
                <w:sz w:val="15"/>
                <w:szCs w:val="15"/>
                <w:color w:val="auto"/>
              </w:rPr>
              <w:t>10.15</w:t>
            </w:r>
          </w:p>
        </w:tc>
        <w:tc>
          <w:tcPr>
            <w:tcW w:w="160" w:type="dxa"/>
            <w:vAlign w:val="bottom"/>
          </w:tcPr>
          <w:p>
            <w:pPr>
              <w:spacing w:after="0"/>
              <w:rPr>
                <w:sz w:val="15"/>
                <w:szCs w:val="15"/>
                <w:color w:val="auto"/>
              </w:rPr>
            </w:pPr>
          </w:p>
        </w:tc>
        <w:tc>
          <w:tcPr>
            <w:tcW w:w="6260" w:type="dxa"/>
            <w:vAlign w:val="bottom"/>
          </w:tcPr>
          <w:p>
            <w:pPr>
              <w:spacing w:after="0"/>
              <w:rPr>
                <w:sz w:val="20"/>
                <w:szCs w:val="20"/>
                <w:color w:val="auto"/>
              </w:rPr>
            </w:pPr>
            <w:r>
              <w:rPr>
                <w:rFonts w:ascii="Arial" w:cs="Arial" w:eastAsia="Arial" w:hAnsi="Arial"/>
                <w:sz w:val="15"/>
                <w:szCs w:val="15"/>
                <w:color w:val="auto"/>
                <w:w w:val="92"/>
              </w:rPr>
              <w:t>Amended and Restated Supplier Agreement, dated March 9, 2015, between the Registrant and I.T.S.</w:t>
            </w:r>
          </w:p>
        </w:tc>
      </w:tr>
      <w:tr>
        <w:trPr>
          <w:trHeight w:val="179"/>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60" w:type="dxa"/>
            <w:vAlign w:val="bottom"/>
          </w:tcPr>
          <w:p>
            <w:pPr>
              <w:spacing w:after="0"/>
              <w:rPr>
                <w:sz w:val="20"/>
                <w:szCs w:val="20"/>
                <w:color w:val="auto"/>
              </w:rPr>
            </w:pPr>
            <w:r>
              <w:rPr>
                <w:rFonts w:ascii="Arial" w:cs="Arial" w:eastAsia="Arial" w:hAnsi="Arial"/>
                <w:sz w:val="15"/>
                <w:szCs w:val="15"/>
                <w:color w:val="auto"/>
              </w:rPr>
              <w:t>Industrial Technologic Solutions, Ltd.†∞</w:t>
            </w:r>
          </w:p>
        </w:tc>
      </w:tr>
      <w:tr>
        <w:trPr>
          <w:trHeight w:val="179"/>
        </w:trPr>
        <w:tc>
          <w:tcPr>
            <w:tcW w:w="880" w:type="dxa"/>
            <w:vAlign w:val="bottom"/>
            <w:gridSpan w:val="2"/>
          </w:tcPr>
          <w:p>
            <w:pPr>
              <w:spacing w:after="0"/>
              <w:rPr>
                <w:sz w:val="20"/>
                <w:szCs w:val="20"/>
                <w:color w:val="auto"/>
              </w:rPr>
            </w:pPr>
            <w:r>
              <w:rPr>
                <w:rFonts w:ascii="Arial" w:cs="Arial" w:eastAsia="Arial" w:hAnsi="Arial"/>
                <w:sz w:val="15"/>
                <w:szCs w:val="15"/>
                <w:color w:val="auto"/>
              </w:rPr>
              <w:t>10.16</w:t>
            </w:r>
          </w:p>
        </w:tc>
        <w:tc>
          <w:tcPr>
            <w:tcW w:w="160" w:type="dxa"/>
            <w:vAlign w:val="bottom"/>
          </w:tcPr>
          <w:p>
            <w:pPr>
              <w:spacing w:after="0"/>
              <w:rPr>
                <w:sz w:val="15"/>
                <w:szCs w:val="15"/>
                <w:color w:val="auto"/>
              </w:rPr>
            </w:pPr>
          </w:p>
        </w:tc>
        <w:tc>
          <w:tcPr>
            <w:tcW w:w="6260" w:type="dxa"/>
            <w:vAlign w:val="bottom"/>
          </w:tcPr>
          <w:p>
            <w:pPr>
              <w:spacing w:after="0"/>
              <w:rPr>
                <w:sz w:val="20"/>
                <w:szCs w:val="20"/>
                <w:color w:val="auto"/>
              </w:rPr>
            </w:pPr>
            <w:r>
              <w:rPr>
                <w:rFonts w:ascii="Arial" w:cs="Arial" w:eastAsia="Arial" w:hAnsi="Arial"/>
                <w:sz w:val="15"/>
                <w:szCs w:val="15"/>
                <w:color w:val="auto"/>
                <w:w w:val="98"/>
              </w:rPr>
              <w:t>Amended and Restated Investors’ Rights Agreement, dated March 18, 2015, by and among the</w:t>
            </w:r>
          </w:p>
        </w:tc>
      </w:tr>
      <w:tr>
        <w:trPr>
          <w:trHeight w:val="179"/>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60" w:type="dxa"/>
            <w:vAlign w:val="bottom"/>
          </w:tcPr>
          <w:p>
            <w:pPr>
              <w:spacing w:after="0"/>
              <w:rPr>
                <w:sz w:val="20"/>
                <w:szCs w:val="20"/>
                <w:color w:val="auto"/>
              </w:rPr>
            </w:pPr>
            <w:r>
              <w:rPr>
                <w:rFonts w:ascii="Arial" w:cs="Arial" w:eastAsia="Arial" w:hAnsi="Arial"/>
                <w:sz w:val="15"/>
                <w:szCs w:val="15"/>
                <w:color w:val="auto"/>
              </w:rPr>
              <w:t>Registrant and the other parties thereto**</w:t>
            </w:r>
          </w:p>
        </w:tc>
      </w:tr>
      <w:tr>
        <w:trPr>
          <w:trHeight w:val="179"/>
        </w:trPr>
        <w:tc>
          <w:tcPr>
            <w:tcW w:w="880" w:type="dxa"/>
            <w:vAlign w:val="bottom"/>
            <w:gridSpan w:val="2"/>
          </w:tcPr>
          <w:p>
            <w:pPr>
              <w:spacing w:after="0"/>
              <w:rPr>
                <w:sz w:val="20"/>
                <w:szCs w:val="20"/>
                <w:color w:val="auto"/>
              </w:rPr>
            </w:pPr>
            <w:r>
              <w:rPr>
                <w:rFonts w:ascii="Arial" w:cs="Arial" w:eastAsia="Arial" w:hAnsi="Arial"/>
                <w:sz w:val="15"/>
                <w:szCs w:val="15"/>
                <w:color w:val="auto"/>
              </w:rPr>
              <w:t>10.17</w:t>
            </w:r>
          </w:p>
        </w:tc>
        <w:tc>
          <w:tcPr>
            <w:tcW w:w="160" w:type="dxa"/>
            <w:vAlign w:val="bottom"/>
          </w:tcPr>
          <w:p>
            <w:pPr>
              <w:spacing w:after="0"/>
              <w:rPr>
                <w:sz w:val="15"/>
                <w:szCs w:val="15"/>
                <w:color w:val="auto"/>
              </w:rPr>
            </w:pPr>
          </w:p>
        </w:tc>
        <w:tc>
          <w:tcPr>
            <w:tcW w:w="6260" w:type="dxa"/>
            <w:vAlign w:val="bottom"/>
          </w:tcPr>
          <w:p>
            <w:pPr>
              <w:spacing w:after="0"/>
              <w:rPr>
                <w:sz w:val="20"/>
                <w:szCs w:val="20"/>
                <w:color w:val="auto"/>
              </w:rPr>
            </w:pPr>
            <w:r>
              <w:rPr>
                <w:rFonts w:ascii="Arial" w:cs="Arial" w:eastAsia="Arial" w:hAnsi="Arial"/>
                <w:sz w:val="15"/>
                <w:szCs w:val="15"/>
                <w:color w:val="auto"/>
                <w:w w:val="89"/>
              </w:rPr>
              <w:t>Management Services Agreement, dated August 11, 2011, by and between the Registrant and Fortissimo</w:t>
            </w:r>
          </w:p>
        </w:tc>
      </w:tr>
      <w:tr>
        <w:trPr>
          <w:trHeight w:val="179"/>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60" w:type="dxa"/>
            <w:vAlign w:val="bottom"/>
          </w:tcPr>
          <w:p>
            <w:pPr>
              <w:spacing w:after="0"/>
              <w:rPr>
                <w:sz w:val="20"/>
                <w:szCs w:val="20"/>
                <w:color w:val="auto"/>
              </w:rPr>
            </w:pPr>
            <w:r>
              <w:rPr>
                <w:rFonts w:ascii="Arial" w:cs="Arial" w:eastAsia="Arial" w:hAnsi="Arial"/>
                <w:sz w:val="15"/>
                <w:szCs w:val="15"/>
                <w:color w:val="auto"/>
              </w:rPr>
              <w:t>Capital Fund II (Israel) L.P.**</w:t>
            </w:r>
          </w:p>
        </w:tc>
      </w:tr>
      <w:tr>
        <w:trPr>
          <w:trHeight w:val="179"/>
        </w:trPr>
        <w:tc>
          <w:tcPr>
            <w:tcW w:w="880" w:type="dxa"/>
            <w:vAlign w:val="bottom"/>
            <w:gridSpan w:val="2"/>
          </w:tcPr>
          <w:p>
            <w:pPr>
              <w:spacing w:after="0"/>
              <w:rPr>
                <w:sz w:val="20"/>
                <w:szCs w:val="20"/>
                <w:color w:val="auto"/>
              </w:rPr>
            </w:pPr>
            <w:r>
              <w:rPr>
                <w:rFonts w:ascii="Arial" w:cs="Arial" w:eastAsia="Arial" w:hAnsi="Arial"/>
                <w:sz w:val="15"/>
                <w:szCs w:val="15"/>
                <w:color w:val="auto"/>
              </w:rPr>
              <w:t>10.18</w:t>
            </w:r>
          </w:p>
        </w:tc>
        <w:tc>
          <w:tcPr>
            <w:tcW w:w="160" w:type="dxa"/>
            <w:vAlign w:val="bottom"/>
          </w:tcPr>
          <w:p>
            <w:pPr>
              <w:spacing w:after="0"/>
              <w:rPr>
                <w:sz w:val="15"/>
                <w:szCs w:val="15"/>
                <w:color w:val="auto"/>
              </w:rPr>
            </w:pPr>
          </w:p>
        </w:tc>
        <w:tc>
          <w:tcPr>
            <w:tcW w:w="6260" w:type="dxa"/>
            <w:vAlign w:val="bottom"/>
          </w:tcPr>
          <w:p>
            <w:pPr>
              <w:spacing w:after="0"/>
              <w:rPr>
                <w:sz w:val="20"/>
                <w:szCs w:val="20"/>
                <w:color w:val="auto"/>
              </w:rPr>
            </w:pPr>
            <w:r>
              <w:rPr>
                <w:rFonts w:ascii="Arial" w:cs="Arial" w:eastAsia="Arial" w:hAnsi="Arial"/>
                <w:sz w:val="15"/>
                <w:szCs w:val="15"/>
                <w:color w:val="auto"/>
                <w:w w:val="89"/>
              </w:rPr>
              <w:t>Termination Agreement, dated March 18, 2015, terminating the Management Services Agreement, dated</w:t>
            </w:r>
          </w:p>
        </w:tc>
      </w:tr>
      <w:tr>
        <w:trPr>
          <w:trHeight w:val="179"/>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60" w:type="dxa"/>
            <w:vAlign w:val="bottom"/>
          </w:tcPr>
          <w:p>
            <w:pPr>
              <w:spacing w:after="0"/>
              <w:rPr>
                <w:sz w:val="20"/>
                <w:szCs w:val="20"/>
                <w:color w:val="auto"/>
              </w:rPr>
            </w:pPr>
            <w:r>
              <w:rPr>
                <w:rFonts w:ascii="Arial" w:cs="Arial" w:eastAsia="Arial" w:hAnsi="Arial"/>
                <w:sz w:val="15"/>
                <w:szCs w:val="15"/>
                <w:color w:val="auto"/>
              </w:rPr>
              <w:t>August 11, 2011, by and between the Registrant and Fortissimo Capital Fund II (Israel) L.P.**</w:t>
            </w:r>
          </w:p>
        </w:tc>
      </w:tr>
      <w:tr>
        <w:trPr>
          <w:trHeight w:val="179"/>
        </w:trPr>
        <w:tc>
          <w:tcPr>
            <w:tcW w:w="880" w:type="dxa"/>
            <w:vAlign w:val="bottom"/>
            <w:gridSpan w:val="2"/>
          </w:tcPr>
          <w:p>
            <w:pPr>
              <w:spacing w:after="0"/>
              <w:rPr>
                <w:sz w:val="20"/>
                <w:szCs w:val="20"/>
                <w:color w:val="auto"/>
              </w:rPr>
            </w:pPr>
            <w:r>
              <w:rPr>
                <w:rFonts w:ascii="Arial" w:cs="Arial" w:eastAsia="Arial" w:hAnsi="Arial"/>
                <w:sz w:val="15"/>
                <w:szCs w:val="15"/>
                <w:color w:val="auto"/>
              </w:rPr>
              <w:t>10.19</w:t>
            </w:r>
          </w:p>
        </w:tc>
        <w:tc>
          <w:tcPr>
            <w:tcW w:w="160" w:type="dxa"/>
            <w:vAlign w:val="bottom"/>
          </w:tcPr>
          <w:p>
            <w:pPr>
              <w:spacing w:after="0"/>
              <w:rPr>
                <w:sz w:val="15"/>
                <w:szCs w:val="15"/>
                <w:color w:val="auto"/>
              </w:rPr>
            </w:pPr>
          </w:p>
        </w:tc>
        <w:tc>
          <w:tcPr>
            <w:tcW w:w="6260" w:type="dxa"/>
            <w:vAlign w:val="bottom"/>
          </w:tcPr>
          <w:p>
            <w:pPr>
              <w:spacing w:after="0"/>
              <w:rPr>
                <w:sz w:val="20"/>
                <w:szCs w:val="20"/>
                <w:color w:val="auto"/>
              </w:rPr>
            </w:pPr>
            <w:r>
              <w:rPr>
                <w:rFonts w:ascii="Arial" w:cs="Arial" w:eastAsia="Arial" w:hAnsi="Arial"/>
                <w:sz w:val="15"/>
                <w:szCs w:val="15"/>
                <w:color w:val="auto"/>
                <w:w w:val="89"/>
              </w:rPr>
              <w:t>Lease Agreement, dated March 25, 2010, by and between the Registrant and Benvenisti Engineering Ltd.</w:t>
            </w:r>
          </w:p>
        </w:tc>
      </w:tr>
      <w:tr>
        <w:trPr>
          <w:trHeight w:val="179"/>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60" w:type="dxa"/>
            <w:vAlign w:val="bottom"/>
          </w:tcPr>
          <w:p>
            <w:pPr>
              <w:spacing w:after="0"/>
              <w:rPr>
                <w:sz w:val="20"/>
                <w:szCs w:val="20"/>
                <w:color w:val="auto"/>
              </w:rPr>
            </w:pPr>
            <w:r>
              <w:rPr>
                <w:rFonts w:ascii="Arial" w:cs="Arial" w:eastAsia="Arial" w:hAnsi="Arial"/>
                <w:sz w:val="15"/>
                <w:szCs w:val="15"/>
                <w:color w:val="auto"/>
                <w:w w:val="92"/>
              </w:rPr>
              <w:t>as amended by Addendum to Lease Agreement, dated November 21, 2011, and Addendum to Lease</w:t>
            </w:r>
          </w:p>
        </w:tc>
      </w:tr>
      <w:tr>
        <w:trPr>
          <w:trHeight w:val="189"/>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60" w:type="dxa"/>
            <w:vAlign w:val="bottom"/>
          </w:tcPr>
          <w:p>
            <w:pPr>
              <w:spacing w:after="0"/>
              <w:rPr>
                <w:sz w:val="20"/>
                <w:szCs w:val="20"/>
                <w:color w:val="auto"/>
              </w:rPr>
            </w:pPr>
            <w:r>
              <w:rPr>
                <w:rFonts w:ascii="Arial" w:cs="Arial" w:eastAsia="Arial" w:hAnsi="Arial"/>
                <w:sz w:val="15"/>
                <w:szCs w:val="15"/>
                <w:color w:val="auto"/>
              </w:rPr>
              <w:t>Agreement, dated September 16, 2014∞**</w:t>
            </w:r>
          </w:p>
        </w:tc>
      </w:tr>
      <w:tr>
        <w:trPr>
          <w:trHeight w:val="236"/>
        </w:trPr>
        <w:tc>
          <w:tcPr>
            <w:tcW w:w="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60" w:type="dxa"/>
            <w:vAlign w:val="bottom"/>
            <w:tcBorders>
              <w:bottom w:val="single" w:sz="8" w:color="auto"/>
            </w:tcBorders>
          </w:tcPr>
          <w:p>
            <w:pPr>
              <w:spacing w:after="0"/>
              <w:rPr>
                <w:sz w:val="20"/>
                <w:szCs w:val="20"/>
                <w:color w:val="auto"/>
              </w:rPr>
            </w:pPr>
          </w:p>
        </w:tc>
      </w:tr>
    </w:tbl>
    <w:p>
      <w:pPr>
        <w:sectPr>
          <w:pgSz w:w="11900" w:h="16838" w:orient="portrait"/>
          <w:cols w:equalWidth="0" w:num="1">
            <w:col w:w="9019"/>
          </w:cols>
          <w:pgMar w:left="1440" w:top="271" w:right="1440" w:bottom="1440" w:gutter="0" w:footer="0" w:header="0"/>
        </w:sectPr>
      </w:pPr>
    </w:p>
    <w:bookmarkStart w:id="4" w:name="page5"/>
    <w:bookmarkEnd w:id="4"/>
    <w:p>
      <w:pPr>
        <w:spacing w:after="0" w:line="1" w:lineRule="exact"/>
        <w:rPr>
          <w:sz w:val="20"/>
          <w:szCs w:val="20"/>
          <w:color w:val="auto"/>
        </w:rPr>
      </w:pPr>
    </w:p>
    <w:tbl>
      <w:tblPr>
        <w:tblLayout w:type="fixed"/>
        <w:tblInd w:w="86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60" w:type="dxa"/>
            <w:vAlign w:val="bottom"/>
          </w:tcPr>
          <w:p>
            <w:pPr>
              <w:ind w:left="2040"/>
              <w:spacing w:after="0"/>
              <w:rPr>
                <w:sz w:val="20"/>
                <w:szCs w:val="20"/>
                <w:color w:val="auto"/>
              </w:rPr>
            </w:pPr>
            <w:r>
              <w:rPr>
                <w:rFonts w:ascii="Arial" w:cs="Arial" w:eastAsia="Arial" w:hAnsi="Arial"/>
                <w:sz w:val="15"/>
                <w:szCs w:val="15"/>
                <w:b w:val="1"/>
                <w:bCs w:val="1"/>
                <w:color w:val="auto"/>
              </w:rPr>
              <w:t>EXHIBIT INDEX</w:t>
            </w:r>
          </w:p>
        </w:tc>
      </w:tr>
      <w:tr>
        <w:trPr>
          <w:trHeight w:val="335"/>
        </w:trPr>
        <w:tc>
          <w:tcPr>
            <w:tcW w:w="1040" w:type="dxa"/>
            <w:vAlign w:val="bottom"/>
            <w:gridSpan w:val="3"/>
          </w:tcPr>
          <w:p>
            <w:pPr>
              <w:spacing w:after="0"/>
              <w:rPr>
                <w:sz w:val="20"/>
                <w:szCs w:val="20"/>
                <w:color w:val="auto"/>
              </w:rPr>
            </w:pPr>
            <w:r>
              <w:rPr>
                <w:rFonts w:ascii="Arial" w:cs="Arial" w:eastAsia="Arial" w:hAnsi="Arial"/>
                <w:sz w:val="13"/>
                <w:szCs w:val="13"/>
                <w:b w:val="1"/>
                <w:bCs w:val="1"/>
                <w:color w:val="auto"/>
              </w:rPr>
              <w:t>Exhibit No.</w:t>
            </w:r>
          </w:p>
        </w:tc>
        <w:tc>
          <w:tcPr>
            <w:tcW w:w="6260" w:type="dxa"/>
            <w:vAlign w:val="bottom"/>
          </w:tcPr>
          <w:p>
            <w:pPr>
              <w:spacing w:after="0"/>
              <w:rPr>
                <w:sz w:val="20"/>
                <w:szCs w:val="20"/>
                <w:color w:val="auto"/>
              </w:rPr>
            </w:pPr>
            <w:r>
              <w:rPr>
                <w:rFonts w:ascii="Arial" w:cs="Arial" w:eastAsia="Arial" w:hAnsi="Arial"/>
                <w:sz w:val="13"/>
                <w:szCs w:val="13"/>
                <w:b w:val="1"/>
                <w:bCs w:val="1"/>
                <w:color w:val="auto"/>
              </w:rPr>
              <w:t>Description</w:t>
            </w:r>
          </w:p>
        </w:tc>
      </w:tr>
      <w:tr>
        <w:trPr>
          <w:trHeight w:val="162"/>
        </w:trPr>
        <w:tc>
          <w:tcPr>
            <w:tcW w:w="20" w:type="dxa"/>
            <w:vAlign w:val="bottom"/>
          </w:tcPr>
          <w:p>
            <w:pPr>
              <w:spacing w:after="0"/>
              <w:rPr>
                <w:sz w:val="14"/>
                <w:szCs w:val="14"/>
                <w:color w:val="auto"/>
              </w:rPr>
            </w:pPr>
          </w:p>
        </w:tc>
        <w:tc>
          <w:tcPr>
            <w:tcW w:w="860" w:type="dxa"/>
            <w:vAlign w:val="bottom"/>
            <w:tcBorders>
              <w:top w:val="single" w:sz="8" w:color="auto"/>
            </w:tcBorders>
          </w:tcPr>
          <w:p>
            <w:pPr>
              <w:spacing w:after="0" w:line="163" w:lineRule="exact"/>
              <w:rPr>
                <w:sz w:val="20"/>
                <w:szCs w:val="20"/>
                <w:color w:val="auto"/>
              </w:rPr>
            </w:pPr>
            <w:r>
              <w:rPr>
                <w:rFonts w:ascii="Arial" w:cs="Arial" w:eastAsia="Arial" w:hAnsi="Arial"/>
                <w:sz w:val="15"/>
                <w:szCs w:val="15"/>
                <w:color w:val="auto"/>
              </w:rPr>
              <w:t>10.20</w:t>
            </w:r>
          </w:p>
        </w:tc>
        <w:tc>
          <w:tcPr>
            <w:tcW w:w="160" w:type="dxa"/>
            <w:vAlign w:val="bottom"/>
          </w:tcPr>
          <w:p>
            <w:pPr>
              <w:spacing w:after="0"/>
              <w:rPr>
                <w:sz w:val="14"/>
                <w:szCs w:val="14"/>
                <w:color w:val="auto"/>
              </w:rPr>
            </w:pPr>
          </w:p>
        </w:tc>
        <w:tc>
          <w:tcPr>
            <w:tcW w:w="6260" w:type="dxa"/>
            <w:vAlign w:val="bottom"/>
            <w:tcBorders>
              <w:top w:val="single" w:sz="8" w:color="auto"/>
            </w:tcBorders>
          </w:tcPr>
          <w:p>
            <w:pPr>
              <w:spacing w:after="0" w:line="163" w:lineRule="exact"/>
              <w:rPr>
                <w:sz w:val="20"/>
                <w:szCs w:val="20"/>
                <w:color w:val="auto"/>
              </w:rPr>
            </w:pPr>
            <w:r>
              <w:rPr>
                <w:rFonts w:ascii="Arial" w:cs="Arial" w:eastAsia="Arial" w:hAnsi="Arial"/>
                <w:sz w:val="15"/>
                <w:szCs w:val="15"/>
                <w:color w:val="auto"/>
                <w:w w:val="89"/>
              </w:rPr>
              <w:t>English Summary of the Office and Parking Space Lease Agreement dated as of December 17, 2007, by</w:t>
            </w:r>
          </w:p>
        </w:tc>
      </w:tr>
      <w:tr>
        <w:trPr>
          <w:trHeight w:val="179"/>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60" w:type="dxa"/>
            <w:vAlign w:val="bottom"/>
          </w:tcPr>
          <w:p>
            <w:pPr>
              <w:spacing w:after="0"/>
              <w:rPr>
                <w:sz w:val="20"/>
                <w:szCs w:val="20"/>
                <w:color w:val="auto"/>
              </w:rPr>
            </w:pPr>
            <w:r>
              <w:rPr>
                <w:rFonts w:ascii="Arial" w:cs="Arial" w:eastAsia="Arial" w:hAnsi="Arial"/>
                <w:sz w:val="15"/>
                <w:szCs w:val="15"/>
                <w:color w:val="auto"/>
                <w:w w:val="92"/>
              </w:rPr>
              <w:t>and between the Registrant and Industrial Building Corporation Ltd. as amended by Addendum, dated</w:t>
            </w:r>
          </w:p>
        </w:tc>
      </w:tr>
      <w:tr>
        <w:trPr>
          <w:trHeight w:val="179"/>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60" w:type="dxa"/>
            <w:vAlign w:val="bottom"/>
          </w:tcPr>
          <w:p>
            <w:pPr>
              <w:spacing w:after="0"/>
              <w:rPr>
                <w:sz w:val="20"/>
                <w:szCs w:val="20"/>
                <w:color w:val="auto"/>
              </w:rPr>
            </w:pPr>
            <w:r>
              <w:rPr>
                <w:rFonts w:ascii="Arial" w:cs="Arial" w:eastAsia="Arial" w:hAnsi="Arial"/>
                <w:sz w:val="15"/>
                <w:szCs w:val="15"/>
                <w:color w:val="auto"/>
                <w:w w:val="93"/>
              </w:rPr>
              <w:t>2007, Addendum to Lease Agreement, dated 2007, Addendum to Lease Agreement, dated March 8,</w:t>
            </w:r>
          </w:p>
        </w:tc>
      </w:tr>
      <w:tr>
        <w:trPr>
          <w:trHeight w:val="179"/>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60" w:type="dxa"/>
            <w:vAlign w:val="bottom"/>
          </w:tcPr>
          <w:p>
            <w:pPr>
              <w:spacing w:after="0"/>
              <w:rPr>
                <w:sz w:val="20"/>
                <w:szCs w:val="20"/>
                <w:color w:val="auto"/>
              </w:rPr>
            </w:pPr>
            <w:r>
              <w:rPr>
                <w:rFonts w:ascii="Arial" w:cs="Arial" w:eastAsia="Arial" w:hAnsi="Arial"/>
                <w:sz w:val="15"/>
                <w:szCs w:val="15"/>
                <w:color w:val="auto"/>
                <w:w w:val="88"/>
              </w:rPr>
              <w:t>2012, Addendum to Lease Agreement, dated 2012, Addendum to Lease Agreement, dated December 19,</w:t>
            </w:r>
          </w:p>
        </w:tc>
      </w:tr>
      <w:tr>
        <w:trPr>
          <w:trHeight w:val="179"/>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60" w:type="dxa"/>
            <w:vAlign w:val="bottom"/>
          </w:tcPr>
          <w:p>
            <w:pPr>
              <w:spacing w:after="0"/>
              <w:rPr>
                <w:sz w:val="20"/>
                <w:szCs w:val="20"/>
                <w:color w:val="auto"/>
              </w:rPr>
            </w:pPr>
            <w:r>
              <w:rPr>
                <w:rFonts w:ascii="Arial" w:cs="Arial" w:eastAsia="Arial" w:hAnsi="Arial"/>
                <w:sz w:val="15"/>
                <w:szCs w:val="15"/>
                <w:color w:val="auto"/>
                <w:w w:val="94"/>
              </w:rPr>
              <w:t>2012, Addendum to Lease Agreement, dated May 20, 2013, Addendum to Lease Agreement, dated</w:t>
            </w:r>
          </w:p>
        </w:tc>
      </w:tr>
      <w:tr>
        <w:trPr>
          <w:trHeight w:val="179"/>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60" w:type="dxa"/>
            <w:vAlign w:val="bottom"/>
          </w:tcPr>
          <w:p>
            <w:pPr>
              <w:spacing w:after="0"/>
              <w:rPr>
                <w:sz w:val="20"/>
                <w:szCs w:val="20"/>
                <w:color w:val="auto"/>
              </w:rPr>
            </w:pPr>
            <w:r>
              <w:rPr>
                <w:rFonts w:ascii="Arial" w:cs="Arial" w:eastAsia="Arial" w:hAnsi="Arial"/>
                <w:sz w:val="15"/>
                <w:szCs w:val="15"/>
                <w:color w:val="auto"/>
              </w:rPr>
              <w:t>January 12, 2014, and Addendum to Lease Agreement, dated January 12, 2014.**</w:t>
            </w:r>
          </w:p>
        </w:tc>
      </w:tr>
      <w:tr>
        <w:trPr>
          <w:trHeight w:val="179"/>
        </w:trPr>
        <w:tc>
          <w:tcPr>
            <w:tcW w:w="880" w:type="dxa"/>
            <w:vAlign w:val="bottom"/>
            <w:gridSpan w:val="2"/>
          </w:tcPr>
          <w:p>
            <w:pPr>
              <w:spacing w:after="0"/>
              <w:rPr>
                <w:sz w:val="20"/>
                <w:szCs w:val="20"/>
                <w:color w:val="auto"/>
              </w:rPr>
            </w:pPr>
            <w:r>
              <w:rPr>
                <w:rFonts w:ascii="Arial" w:cs="Arial" w:eastAsia="Arial" w:hAnsi="Arial"/>
                <w:sz w:val="15"/>
                <w:szCs w:val="15"/>
                <w:color w:val="auto"/>
              </w:rPr>
              <w:t>10.21</w:t>
            </w:r>
          </w:p>
        </w:tc>
        <w:tc>
          <w:tcPr>
            <w:tcW w:w="160" w:type="dxa"/>
            <w:vAlign w:val="bottom"/>
          </w:tcPr>
          <w:p>
            <w:pPr>
              <w:spacing w:after="0"/>
              <w:rPr>
                <w:sz w:val="15"/>
                <w:szCs w:val="15"/>
                <w:color w:val="auto"/>
              </w:rPr>
            </w:pPr>
          </w:p>
        </w:tc>
        <w:tc>
          <w:tcPr>
            <w:tcW w:w="6260" w:type="dxa"/>
            <w:vAlign w:val="bottom"/>
          </w:tcPr>
          <w:p>
            <w:pPr>
              <w:spacing w:after="0"/>
              <w:rPr>
                <w:sz w:val="20"/>
                <w:szCs w:val="20"/>
                <w:color w:val="auto"/>
              </w:rPr>
            </w:pPr>
            <w:r>
              <w:rPr>
                <w:rFonts w:ascii="Arial" w:cs="Arial" w:eastAsia="Arial" w:hAnsi="Arial"/>
                <w:sz w:val="15"/>
                <w:szCs w:val="15"/>
                <w:color w:val="auto"/>
              </w:rPr>
              <w:t>2015 Incentive Compensation Plan**</w:t>
            </w:r>
          </w:p>
        </w:tc>
      </w:tr>
      <w:tr>
        <w:trPr>
          <w:trHeight w:val="179"/>
        </w:trPr>
        <w:tc>
          <w:tcPr>
            <w:tcW w:w="880" w:type="dxa"/>
            <w:vAlign w:val="bottom"/>
            <w:gridSpan w:val="2"/>
          </w:tcPr>
          <w:p>
            <w:pPr>
              <w:spacing w:after="0"/>
              <w:rPr>
                <w:sz w:val="20"/>
                <w:szCs w:val="20"/>
                <w:color w:val="auto"/>
              </w:rPr>
            </w:pPr>
            <w:r>
              <w:rPr>
                <w:rFonts w:ascii="Arial" w:cs="Arial" w:eastAsia="Arial" w:hAnsi="Arial"/>
                <w:sz w:val="15"/>
                <w:szCs w:val="15"/>
                <w:color w:val="auto"/>
              </w:rPr>
              <w:t>10.22</w:t>
            </w:r>
          </w:p>
        </w:tc>
        <w:tc>
          <w:tcPr>
            <w:tcW w:w="160" w:type="dxa"/>
            <w:vAlign w:val="bottom"/>
          </w:tcPr>
          <w:p>
            <w:pPr>
              <w:spacing w:after="0"/>
              <w:rPr>
                <w:sz w:val="15"/>
                <w:szCs w:val="15"/>
                <w:color w:val="auto"/>
              </w:rPr>
            </w:pPr>
          </w:p>
        </w:tc>
        <w:tc>
          <w:tcPr>
            <w:tcW w:w="6260" w:type="dxa"/>
            <w:vAlign w:val="bottom"/>
          </w:tcPr>
          <w:p>
            <w:pPr>
              <w:spacing w:after="0"/>
              <w:rPr>
                <w:sz w:val="20"/>
                <w:szCs w:val="20"/>
                <w:color w:val="auto"/>
              </w:rPr>
            </w:pPr>
            <w:r>
              <w:rPr>
                <w:rFonts w:ascii="Arial" w:cs="Arial" w:eastAsia="Arial" w:hAnsi="Arial"/>
                <w:sz w:val="15"/>
                <w:szCs w:val="15"/>
                <w:color w:val="auto"/>
              </w:rPr>
              <w:t>2015 Employee Stock Purchase Plan**</w:t>
            </w:r>
          </w:p>
        </w:tc>
      </w:tr>
      <w:tr>
        <w:trPr>
          <w:trHeight w:val="179"/>
        </w:trPr>
        <w:tc>
          <w:tcPr>
            <w:tcW w:w="880" w:type="dxa"/>
            <w:vAlign w:val="bottom"/>
            <w:gridSpan w:val="2"/>
          </w:tcPr>
          <w:p>
            <w:pPr>
              <w:spacing w:after="0"/>
              <w:rPr>
                <w:sz w:val="20"/>
                <w:szCs w:val="20"/>
                <w:color w:val="auto"/>
              </w:rPr>
            </w:pPr>
            <w:r>
              <w:rPr>
                <w:rFonts w:ascii="Arial" w:cs="Arial" w:eastAsia="Arial" w:hAnsi="Arial"/>
                <w:sz w:val="15"/>
                <w:szCs w:val="15"/>
                <w:color w:val="auto"/>
              </w:rPr>
              <w:t>21.1</w:t>
            </w:r>
          </w:p>
        </w:tc>
        <w:tc>
          <w:tcPr>
            <w:tcW w:w="160" w:type="dxa"/>
            <w:vAlign w:val="bottom"/>
          </w:tcPr>
          <w:p>
            <w:pPr>
              <w:spacing w:after="0"/>
              <w:rPr>
                <w:sz w:val="15"/>
                <w:szCs w:val="15"/>
                <w:color w:val="auto"/>
              </w:rPr>
            </w:pPr>
          </w:p>
        </w:tc>
        <w:tc>
          <w:tcPr>
            <w:tcW w:w="6260" w:type="dxa"/>
            <w:vAlign w:val="bottom"/>
          </w:tcPr>
          <w:p>
            <w:pPr>
              <w:spacing w:after="0"/>
              <w:rPr>
                <w:sz w:val="20"/>
                <w:szCs w:val="20"/>
                <w:color w:val="auto"/>
              </w:rPr>
            </w:pPr>
            <w:r>
              <w:rPr>
                <w:rFonts w:ascii="Arial" w:cs="Arial" w:eastAsia="Arial" w:hAnsi="Arial"/>
                <w:sz w:val="15"/>
                <w:szCs w:val="15"/>
                <w:color w:val="auto"/>
              </w:rPr>
              <w:t>List of subsidiaries of the Registrant**</w:t>
            </w:r>
          </w:p>
        </w:tc>
      </w:tr>
      <w:tr>
        <w:trPr>
          <w:trHeight w:val="179"/>
        </w:trPr>
        <w:tc>
          <w:tcPr>
            <w:tcW w:w="880" w:type="dxa"/>
            <w:vAlign w:val="bottom"/>
            <w:gridSpan w:val="2"/>
          </w:tcPr>
          <w:p>
            <w:pPr>
              <w:spacing w:after="0"/>
              <w:rPr>
                <w:sz w:val="20"/>
                <w:szCs w:val="20"/>
                <w:color w:val="auto"/>
              </w:rPr>
            </w:pPr>
            <w:r>
              <w:rPr>
                <w:rFonts w:ascii="Arial" w:cs="Arial" w:eastAsia="Arial" w:hAnsi="Arial"/>
                <w:sz w:val="15"/>
                <w:szCs w:val="15"/>
                <w:color w:val="auto"/>
              </w:rPr>
              <w:t>23.1</w:t>
            </w:r>
          </w:p>
        </w:tc>
        <w:tc>
          <w:tcPr>
            <w:tcW w:w="160" w:type="dxa"/>
            <w:vAlign w:val="bottom"/>
          </w:tcPr>
          <w:p>
            <w:pPr>
              <w:spacing w:after="0"/>
              <w:rPr>
                <w:sz w:val="15"/>
                <w:szCs w:val="15"/>
                <w:color w:val="auto"/>
              </w:rPr>
            </w:pPr>
          </w:p>
        </w:tc>
        <w:tc>
          <w:tcPr>
            <w:tcW w:w="6260" w:type="dxa"/>
            <w:vAlign w:val="bottom"/>
          </w:tcPr>
          <w:p>
            <w:pPr>
              <w:spacing w:after="0"/>
              <w:rPr>
                <w:sz w:val="20"/>
                <w:szCs w:val="20"/>
                <w:color w:val="auto"/>
              </w:rPr>
            </w:pPr>
            <w:r>
              <w:rPr>
                <w:rFonts w:ascii="Arial" w:cs="Arial" w:eastAsia="Arial" w:hAnsi="Arial"/>
                <w:sz w:val="15"/>
                <w:szCs w:val="15"/>
                <w:color w:val="auto"/>
                <w:w w:val="98"/>
              </w:rPr>
              <w:t>Consent of Kost Forer Gabbay &amp; Kasierer, a member of Ernst &amp; Young Global, an independent</w:t>
            </w:r>
          </w:p>
        </w:tc>
      </w:tr>
      <w:tr>
        <w:trPr>
          <w:trHeight w:val="179"/>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60" w:type="dxa"/>
            <w:vAlign w:val="bottom"/>
          </w:tcPr>
          <w:p>
            <w:pPr>
              <w:spacing w:after="0"/>
              <w:rPr>
                <w:sz w:val="20"/>
                <w:szCs w:val="20"/>
                <w:color w:val="auto"/>
              </w:rPr>
            </w:pPr>
            <w:r>
              <w:rPr>
                <w:rFonts w:ascii="Arial" w:cs="Arial" w:eastAsia="Arial" w:hAnsi="Arial"/>
                <w:sz w:val="15"/>
                <w:szCs w:val="15"/>
                <w:color w:val="auto"/>
              </w:rPr>
              <w:t>registered public accounting firm**</w:t>
            </w:r>
          </w:p>
        </w:tc>
      </w:tr>
      <w:tr>
        <w:trPr>
          <w:trHeight w:val="179"/>
        </w:trPr>
        <w:tc>
          <w:tcPr>
            <w:tcW w:w="880" w:type="dxa"/>
            <w:vAlign w:val="bottom"/>
            <w:gridSpan w:val="2"/>
          </w:tcPr>
          <w:p>
            <w:pPr>
              <w:spacing w:after="0"/>
              <w:rPr>
                <w:sz w:val="20"/>
                <w:szCs w:val="20"/>
                <w:color w:val="auto"/>
              </w:rPr>
            </w:pPr>
            <w:r>
              <w:rPr>
                <w:rFonts w:ascii="Arial" w:cs="Arial" w:eastAsia="Arial" w:hAnsi="Arial"/>
                <w:sz w:val="15"/>
                <w:szCs w:val="15"/>
                <w:color w:val="auto"/>
              </w:rPr>
              <w:t>23.2</w:t>
            </w:r>
          </w:p>
        </w:tc>
        <w:tc>
          <w:tcPr>
            <w:tcW w:w="160" w:type="dxa"/>
            <w:vAlign w:val="bottom"/>
          </w:tcPr>
          <w:p>
            <w:pPr>
              <w:spacing w:after="0"/>
              <w:rPr>
                <w:sz w:val="15"/>
                <w:szCs w:val="15"/>
                <w:color w:val="auto"/>
              </w:rPr>
            </w:pPr>
          </w:p>
        </w:tc>
        <w:tc>
          <w:tcPr>
            <w:tcW w:w="6260" w:type="dxa"/>
            <w:vAlign w:val="bottom"/>
          </w:tcPr>
          <w:p>
            <w:pPr>
              <w:spacing w:after="0"/>
              <w:rPr>
                <w:sz w:val="20"/>
                <w:szCs w:val="20"/>
                <w:color w:val="auto"/>
              </w:rPr>
            </w:pPr>
            <w:r>
              <w:rPr>
                <w:rFonts w:ascii="Arial" w:cs="Arial" w:eastAsia="Arial" w:hAnsi="Arial"/>
                <w:sz w:val="15"/>
                <w:szCs w:val="15"/>
                <w:color w:val="auto"/>
              </w:rPr>
              <w:t>Consent of Meitar Liquornik Geva Leshem Tal (included in Exhibit 5.1)**</w:t>
            </w:r>
          </w:p>
        </w:tc>
      </w:tr>
      <w:tr>
        <w:trPr>
          <w:trHeight w:val="179"/>
        </w:trPr>
        <w:tc>
          <w:tcPr>
            <w:tcW w:w="880" w:type="dxa"/>
            <w:vAlign w:val="bottom"/>
            <w:gridSpan w:val="2"/>
          </w:tcPr>
          <w:p>
            <w:pPr>
              <w:spacing w:after="0"/>
              <w:rPr>
                <w:sz w:val="20"/>
                <w:szCs w:val="20"/>
                <w:color w:val="auto"/>
              </w:rPr>
            </w:pPr>
            <w:r>
              <w:rPr>
                <w:rFonts w:ascii="Arial" w:cs="Arial" w:eastAsia="Arial" w:hAnsi="Arial"/>
                <w:sz w:val="15"/>
                <w:szCs w:val="15"/>
                <w:color w:val="auto"/>
              </w:rPr>
              <w:t>24.1</w:t>
            </w:r>
          </w:p>
        </w:tc>
        <w:tc>
          <w:tcPr>
            <w:tcW w:w="160" w:type="dxa"/>
            <w:vAlign w:val="bottom"/>
          </w:tcPr>
          <w:p>
            <w:pPr>
              <w:spacing w:after="0"/>
              <w:rPr>
                <w:sz w:val="15"/>
                <w:szCs w:val="15"/>
                <w:color w:val="auto"/>
              </w:rPr>
            </w:pPr>
          </w:p>
        </w:tc>
        <w:tc>
          <w:tcPr>
            <w:tcW w:w="6260" w:type="dxa"/>
            <w:vAlign w:val="bottom"/>
          </w:tcPr>
          <w:p>
            <w:pPr>
              <w:spacing w:after="0"/>
              <w:rPr>
                <w:sz w:val="20"/>
                <w:szCs w:val="20"/>
                <w:color w:val="auto"/>
              </w:rPr>
            </w:pPr>
            <w:r>
              <w:rPr>
                <w:rFonts w:ascii="Arial" w:cs="Arial" w:eastAsia="Arial" w:hAnsi="Arial"/>
                <w:sz w:val="15"/>
                <w:szCs w:val="15"/>
                <w:color w:val="auto"/>
              </w:rPr>
              <w:t>Power of Attorney (included in signature pages of Registration Statement)**</w:t>
            </w:r>
          </w:p>
        </w:tc>
      </w:tr>
      <w:tr>
        <w:trPr>
          <w:trHeight w:val="189"/>
        </w:trPr>
        <w:tc>
          <w:tcPr>
            <w:tcW w:w="880" w:type="dxa"/>
            <w:vAlign w:val="bottom"/>
            <w:gridSpan w:val="2"/>
          </w:tcPr>
          <w:p>
            <w:pPr>
              <w:spacing w:after="0"/>
              <w:rPr>
                <w:sz w:val="20"/>
                <w:szCs w:val="20"/>
                <w:color w:val="auto"/>
              </w:rPr>
            </w:pPr>
            <w:r>
              <w:rPr>
                <w:rFonts w:ascii="Arial" w:cs="Arial" w:eastAsia="Arial" w:hAnsi="Arial"/>
                <w:sz w:val="15"/>
                <w:szCs w:val="15"/>
                <w:color w:val="auto"/>
              </w:rPr>
              <w:t>99.1</w:t>
            </w:r>
          </w:p>
        </w:tc>
        <w:tc>
          <w:tcPr>
            <w:tcW w:w="160" w:type="dxa"/>
            <w:vAlign w:val="bottom"/>
          </w:tcPr>
          <w:p>
            <w:pPr>
              <w:spacing w:after="0"/>
              <w:rPr>
                <w:sz w:val="16"/>
                <w:szCs w:val="16"/>
                <w:color w:val="auto"/>
              </w:rPr>
            </w:pPr>
          </w:p>
        </w:tc>
        <w:tc>
          <w:tcPr>
            <w:tcW w:w="6260" w:type="dxa"/>
            <w:vAlign w:val="bottom"/>
          </w:tcPr>
          <w:p>
            <w:pPr>
              <w:spacing w:after="0"/>
              <w:rPr>
                <w:sz w:val="20"/>
                <w:szCs w:val="20"/>
                <w:color w:val="auto"/>
              </w:rPr>
            </w:pPr>
            <w:r>
              <w:rPr>
                <w:rFonts w:ascii="Arial" w:cs="Arial" w:eastAsia="Arial" w:hAnsi="Arial"/>
                <w:sz w:val="15"/>
                <w:szCs w:val="15"/>
                <w:color w:val="auto"/>
              </w:rPr>
              <w:t>Power of Attorney of Lauri Hanover, Alon Lumbroso, Jerry Mandel and Dov Ofer**</w:t>
            </w:r>
          </w:p>
        </w:tc>
      </w:tr>
    </w:tbl>
    <w:p>
      <w:pPr>
        <w:spacing w:after="0" w:line="136" w:lineRule="exact"/>
        <w:rPr>
          <w:sz w:val="20"/>
          <w:szCs w:val="20"/>
          <w:color w:val="auto"/>
        </w:rPr>
      </w:pPr>
    </w:p>
    <w:p>
      <w:pPr>
        <w:ind w:left="860"/>
        <w:spacing w:after="0"/>
        <w:rPr>
          <w:sz w:val="20"/>
          <w:szCs w:val="20"/>
          <w:color w:val="auto"/>
        </w:rPr>
      </w:pPr>
      <w:r>
        <w:rPr>
          <w:rFonts w:ascii="Arial" w:cs="Arial" w:eastAsia="Arial" w:hAnsi="Arial"/>
          <w:sz w:val="15"/>
          <w:szCs w:val="15"/>
          <w:color w:val="auto"/>
        </w:rPr>
        <w:t>__________________</w:t>
      </w:r>
    </w:p>
    <w:p>
      <w:pPr>
        <w:spacing w:after="0" w:line="17" w:lineRule="exact"/>
        <w:rPr>
          <w:sz w:val="20"/>
          <w:szCs w:val="20"/>
          <w:color w:val="auto"/>
        </w:rPr>
      </w:pPr>
    </w:p>
    <w:p>
      <w:pPr>
        <w:ind w:left="1180" w:hanging="310"/>
        <w:spacing w:after="0"/>
        <w:tabs>
          <w:tab w:leader="none" w:pos="1180" w:val="left"/>
        </w:tabs>
        <w:numPr>
          <w:ilvl w:val="0"/>
          <w:numId w:val="3"/>
        </w:numPr>
        <w:rPr>
          <w:rFonts w:ascii="Arial" w:cs="Arial" w:eastAsia="Arial" w:hAnsi="Arial"/>
          <w:sz w:val="15"/>
          <w:szCs w:val="15"/>
          <w:color w:val="auto"/>
        </w:rPr>
      </w:pPr>
      <w:r>
        <w:rPr>
          <w:rFonts w:ascii="Arial" w:cs="Arial" w:eastAsia="Arial" w:hAnsi="Arial"/>
          <w:sz w:val="15"/>
          <w:szCs w:val="15"/>
          <w:color w:val="auto"/>
        </w:rPr>
        <w:t>Previously filed.</w:t>
      </w:r>
    </w:p>
    <w:p>
      <w:pPr>
        <w:spacing w:after="0" w:line="7" w:lineRule="exact"/>
        <w:rPr>
          <w:sz w:val="20"/>
          <w:szCs w:val="20"/>
          <w:color w:val="auto"/>
        </w:rPr>
      </w:pPr>
    </w:p>
    <w:p>
      <w:pPr>
        <w:ind w:left="1140" w:hanging="270"/>
        <w:spacing w:after="0"/>
        <w:tabs>
          <w:tab w:leader="none" w:pos="1140" w:val="left"/>
        </w:tabs>
        <w:numPr>
          <w:ilvl w:val="0"/>
          <w:numId w:val="4"/>
        </w:numPr>
        <w:rPr>
          <w:rFonts w:ascii="Arial" w:cs="Arial" w:eastAsia="Arial" w:hAnsi="Arial"/>
          <w:sz w:val="15"/>
          <w:szCs w:val="15"/>
          <w:color w:val="auto"/>
        </w:rPr>
      </w:pPr>
      <w:r>
        <w:rPr>
          <w:rFonts w:ascii="Arial" w:cs="Arial" w:eastAsia="Arial" w:hAnsi="Arial"/>
          <w:sz w:val="15"/>
          <w:szCs w:val="15"/>
          <w:color w:val="auto"/>
        </w:rPr>
        <w:t>Confidential treatment requested.</w:t>
      </w:r>
    </w:p>
    <w:p>
      <w:pPr>
        <w:spacing w:after="0" w:line="7" w:lineRule="exact"/>
        <w:rPr>
          <w:sz w:val="20"/>
          <w:szCs w:val="20"/>
          <w:color w:val="auto"/>
        </w:rPr>
      </w:pPr>
    </w:p>
    <w:p>
      <w:pPr>
        <w:ind w:left="1140" w:hanging="270"/>
        <w:spacing w:after="0"/>
        <w:tabs>
          <w:tab w:leader="none" w:pos="1140" w:val="left"/>
        </w:tabs>
        <w:numPr>
          <w:ilvl w:val="0"/>
          <w:numId w:val="5"/>
        </w:numPr>
        <w:rPr>
          <w:rFonts w:ascii="Arial" w:cs="Arial" w:eastAsia="Arial" w:hAnsi="Arial"/>
          <w:sz w:val="15"/>
          <w:szCs w:val="15"/>
          <w:color w:val="auto"/>
        </w:rPr>
      </w:pPr>
      <w:r>
        <w:rPr>
          <w:rFonts w:ascii="Arial" w:cs="Arial" w:eastAsia="Arial" w:hAnsi="Arial"/>
          <w:sz w:val="15"/>
          <w:szCs w:val="15"/>
          <w:color w:val="auto"/>
        </w:rPr>
        <w:t>English translation of the original Hebrew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154305</wp:posOffset>
            </wp:positionV>
            <wp:extent cx="4628515"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628515" cy="698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10.15</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English translation of the original Hebrew document.</w:t>
      </w:r>
    </w:p>
    <w:p>
      <w:pPr>
        <w:spacing w:after="0" w:line="182" w:lineRule="exact"/>
        <w:rPr>
          <w:sz w:val="20"/>
          <w:szCs w:val="20"/>
          <w:color w:val="auto"/>
        </w:rPr>
      </w:pPr>
    </w:p>
    <w:p>
      <w:pPr>
        <w:jc w:val="center"/>
        <w:spacing w:after="0" w:line="278" w:lineRule="auto"/>
        <w:rPr>
          <w:sz w:val="20"/>
          <w:szCs w:val="20"/>
          <w:color w:val="auto"/>
        </w:rPr>
      </w:pPr>
      <w:r>
        <w:rPr>
          <w:rFonts w:ascii="Arial" w:cs="Arial" w:eastAsia="Arial" w:hAnsi="Arial"/>
          <w:sz w:val="15"/>
          <w:szCs w:val="15"/>
          <w:b w:val="1"/>
          <w:bCs w:val="1"/>
          <w:u w:val="single" w:color="auto"/>
          <w:color w:val="auto"/>
        </w:rPr>
        <w:t xml:space="preserve">Amended and Restated Framework Agreement for the Serial Turn Key Manufacture and Supply of Avalanche, Avalanche 1000 and Storm II Printers </w:t>
      </w:r>
      <w:r>
        <w:rPr>
          <w:rFonts w:ascii="Arial" w:cs="Arial" w:eastAsia="Arial" w:hAnsi="Arial"/>
          <w:sz w:val="15"/>
          <w:szCs w:val="15"/>
          <w:color w:val="auto"/>
        </w:rPr>
        <w:t>Made and executed on the 9th day of March 2015</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(hereinafter: the “</w:t>
      </w:r>
      <w:r>
        <w:rPr>
          <w:rFonts w:ascii="Arial" w:cs="Arial" w:eastAsia="Arial" w:hAnsi="Arial"/>
          <w:sz w:val="15"/>
          <w:szCs w:val="15"/>
          <w:b w:val="1"/>
          <w:bCs w:val="1"/>
          <w:color w:val="auto"/>
        </w:rPr>
        <w:t>Effective Date</w:t>
      </w:r>
      <w:r>
        <w:rPr>
          <w:rFonts w:ascii="Arial" w:cs="Arial" w:eastAsia="Arial" w:hAnsi="Arial"/>
          <w:sz w:val="15"/>
          <w:szCs w:val="15"/>
          <w:color w:val="auto"/>
        </w:rPr>
        <w: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Between: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ITS Industrial Techno logic Solutions Ltd.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Private Company No. 512833740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(hereinafter: the “</w:t>
      </w:r>
      <w:r>
        <w:rPr>
          <w:rFonts w:ascii="Arial" w:cs="Arial" w:eastAsia="Arial" w:hAnsi="Arial"/>
          <w:sz w:val="15"/>
          <w:szCs w:val="15"/>
          <w:b w:val="1"/>
          <w:bCs w:val="1"/>
          <w:color w:val="auto"/>
        </w:rPr>
        <w:t>Supplier</w:t>
      </w:r>
      <w:r>
        <w:rPr>
          <w:rFonts w:ascii="Arial" w:cs="Arial" w:eastAsia="Arial" w:hAnsi="Arial"/>
          <w:sz w:val="15"/>
          <w:szCs w:val="15"/>
          <w:color w:val="auto"/>
        </w:rPr>
        <w: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Kornit Digital Technologies Ltd.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Private Company No. 513846758</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(hereinafter: the “</w:t>
      </w:r>
      <w:r>
        <w:rPr>
          <w:rFonts w:ascii="Arial" w:cs="Arial" w:eastAsia="Arial" w:hAnsi="Arial"/>
          <w:sz w:val="15"/>
          <w:szCs w:val="15"/>
          <w:b w:val="1"/>
          <w:bCs w:val="1"/>
          <w:color w:val="auto"/>
        </w:rPr>
        <w:t>Customer</w:t>
      </w:r>
      <w:r>
        <w:rPr>
          <w:rFonts w:ascii="Arial" w:cs="Arial" w:eastAsia="Arial" w:hAnsi="Arial"/>
          <w:sz w:val="15"/>
          <w:szCs w:val="15"/>
          <w:color w:val="auto"/>
        </w:rPr>
        <w:t>”)</w:t>
      </w:r>
    </w:p>
    <w:p>
      <w:pPr>
        <w:spacing w:after="0" w:line="173" w:lineRule="exact"/>
        <w:rPr>
          <w:sz w:val="20"/>
          <w:szCs w:val="20"/>
          <w:color w:val="auto"/>
        </w:rPr>
      </w:pPr>
    </w:p>
    <w:p>
      <w:pPr>
        <w:spacing w:after="0"/>
        <w:tabs>
          <w:tab w:leader="none" w:pos="1060" w:val="left"/>
        </w:tabs>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The Customer is a manufacturer in the field of machinery for digital printing on textiles; and</w:t>
      </w:r>
    </w:p>
    <w:p>
      <w:pPr>
        <w:spacing w:after="0" w:line="186" w:lineRule="exact"/>
        <w:rPr>
          <w:sz w:val="20"/>
          <w:szCs w:val="20"/>
          <w:color w:val="auto"/>
        </w:rPr>
      </w:pPr>
    </w:p>
    <w:p>
      <w:pPr>
        <w:jc w:val="both"/>
        <w:ind w:left="1080" w:hanging="1076"/>
        <w:spacing w:after="0" w:line="272" w:lineRule="auto"/>
        <w:tabs>
          <w:tab w:leader="none" w:pos="1060" w:val="left"/>
        </w:tabs>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The Supplier is a sub-contractor with the experience, equipment, expertise, skill and human resources required for the serial manufacture and supply of the digital printing machines in accordance with the provisions of this Agreement, and all subject to the provisions of this Agreement; and</w:t>
      </w:r>
    </w:p>
    <w:p>
      <w:pPr>
        <w:spacing w:after="0" w:line="147" w:lineRule="exact"/>
        <w:rPr>
          <w:sz w:val="20"/>
          <w:szCs w:val="20"/>
          <w:color w:val="auto"/>
        </w:rPr>
      </w:pPr>
    </w:p>
    <w:p>
      <w:pPr>
        <w:jc w:val="both"/>
        <w:ind w:left="1080" w:right="20" w:hanging="1076"/>
        <w:spacing w:after="0" w:line="272" w:lineRule="auto"/>
        <w:tabs>
          <w:tab w:leader="none" w:pos="1060" w:val="left"/>
        </w:tabs>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The Supplier is available and is capable of performing its undertakings under this Agreement in accordance with the conditions and stipulations of this Agreement below; and</w:t>
      </w:r>
    </w:p>
    <w:p>
      <w:pPr>
        <w:spacing w:after="0" w:line="147" w:lineRule="exact"/>
        <w:rPr>
          <w:sz w:val="20"/>
          <w:szCs w:val="20"/>
          <w:color w:val="auto"/>
        </w:rPr>
      </w:pPr>
    </w:p>
    <w:p>
      <w:pPr>
        <w:spacing w:after="0"/>
        <w:tabs>
          <w:tab w:leader="none" w:pos="1060" w:val="left"/>
        </w:tabs>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On November 19, 2014, the Supplier and the Customer entered into a framework serial manufacture and turn-key supply agreement (the “</w:t>
      </w:r>
      <w:r>
        <w:rPr>
          <w:rFonts w:ascii="Arial" w:cs="Arial" w:eastAsia="Arial" w:hAnsi="Arial"/>
          <w:sz w:val="13"/>
          <w:szCs w:val="13"/>
          <w:b w:val="1"/>
          <w:bCs w:val="1"/>
          <w:color w:val="auto"/>
        </w:rPr>
        <w:t>Previous Agreement</w:t>
      </w:r>
      <w:r>
        <w:rPr>
          <w:rFonts w:ascii="Arial" w:cs="Arial" w:eastAsia="Arial" w:hAnsi="Arial"/>
          <w:sz w:val="13"/>
          <w:szCs w:val="13"/>
          <w:color w:val="auto"/>
        </w:rPr>
        <w:t>”); and</w:t>
      </w:r>
    </w:p>
    <w:p>
      <w:pPr>
        <w:spacing w:after="0" w:line="186" w:lineRule="exact"/>
        <w:rPr>
          <w:sz w:val="20"/>
          <w:szCs w:val="20"/>
          <w:color w:val="auto"/>
        </w:rPr>
      </w:pPr>
    </w:p>
    <w:p>
      <w:pPr>
        <w:jc w:val="both"/>
        <w:ind w:left="1080" w:hanging="1076"/>
        <w:spacing w:after="0" w:line="261" w:lineRule="auto"/>
        <w:tabs>
          <w:tab w:leader="none" w:pos="1060" w:val="left"/>
        </w:tabs>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The Parties have decided to terminate the Previous Agreement, including all sections and appendixes thereto, and to replace it with this Agreement, so that the provisions of this Agreement shall apply as of the Effective Date (and the Previous Agreement shall continue to apply with respect to the Supplier's undertakings that were given prior to the Effective Date), all as set out in this Agreement.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Therefore, it is agreed, declared and stipulated between the Parties as follows:</w:t>
      </w:r>
    </w:p>
    <w:p>
      <w:pPr>
        <w:spacing w:after="0" w:line="186" w:lineRule="exact"/>
        <w:rPr>
          <w:sz w:val="20"/>
          <w:szCs w:val="20"/>
          <w:color w:val="auto"/>
        </w:rPr>
      </w:pPr>
    </w:p>
    <w:p>
      <w:pPr>
        <w:ind w:left="540" w:hanging="531"/>
        <w:spacing w:after="0"/>
        <w:tabs>
          <w:tab w:leader="none" w:pos="540" w:val="left"/>
        </w:tabs>
        <w:numPr>
          <w:ilvl w:val="0"/>
          <w:numId w:val="6"/>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Definitions and Appendixes</w:t>
      </w:r>
    </w:p>
    <w:p>
      <w:pPr>
        <w:spacing w:after="0" w:line="190" w:lineRule="exact"/>
        <w:rPr>
          <w:rFonts w:ascii="Arial" w:cs="Arial" w:eastAsia="Arial" w:hAnsi="Arial"/>
          <w:sz w:val="15"/>
          <w:szCs w:val="15"/>
          <w:b w:val="1"/>
          <w:bCs w:val="1"/>
          <w:color w:val="auto"/>
        </w:rPr>
      </w:pPr>
    </w:p>
    <w:p>
      <w:pPr>
        <w:ind w:left="540"/>
        <w:spacing w:after="0"/>
        <w:rPr>
          <w:rFonts w:ascii="Arial" w:cs="Arial" w:eastAsia="Arial" w:hAnsi="Arial"/>
          <w:sz w:val="15"/>
          <w:szCs w:val="15"/>
          <w:b w:val="1"/>
          <w:bCs w:val="1"/>
          <w:color w:val="auto"/>
        </w:rPr>
      </w:pPr>
      <w:r>
        <w:rPr>
          <w:rFonts w:ascii="Arial" w:cs="Arial" w:eastAsia="Arial" w:hAnsi="Arial"/>
          <w:sz w:val="15"/>
          <w:szCs w:val="15"/>
          <w:color w:val="auto"/>
        </w:rPr>
        <w:t>1.1.</w:t>
      </w:r>
      <w:r>
        <w:rPr>
          <w:rFonts w:ascii="Arial" w:cs="Arial" w:eastAsia="Arial" w:hAnsi="Arial"/>
          <w:sz w:val="13"/>
          <w:szCs w:val="13"/>
          <w:color w:val="auto"/>
        </w:rPr>
        <w:t>All of the definitions and the Appendixes constitute an integral and binding part of this Agreement.</w:t>
      </w:r>
    </w:p>
    <w:p>
      <w:pPr>
        <w:spacing w:after="0" w:line="186" w:lineRule="exact"/>
        <w:rPr>
          <w:rFonts w:ascii="Arial" w:cs="Arial" w:eastAsia="Arial" w:hAnsi="Arial"/>
          <w:sz w:val="15"/>
          <w:szCs w:val="15"/>
          <w:b w:val="1"/>
          <w:bCs w:val="1"/>
          <w:color w:val="auto"/>
        </w:rPr>
      </w:pPr>
    </w:p>
    <w:p>
      <w:pPr>
        <w:ind w:left="540"/>
        <w:spacing w:after="0"/>
        <w:rPr>
          <w:rFonts w:ascii="Arial" w:cs="Arial" w:eastAsia="Arial" w:hAnsi="Arial"/>
          <w:sz w:val="15"/>
          <w:szCs w:val="15"/>
          <w:b w:val="1"/>
          <w:bCs w:val="1"/>
          <w:color w:val="auto"/>
        </w:rPr>
      </w:pPr>
      <w:r>
        <w:rPr>
          <w:rFonts w:ascii="Arial" w:cs="Arial" w:eastAsia="Arial" w:hAnsi="Arial"/>
          <w:sz w:val="15"/>
          <w:szCs w:val="15"/>
          <w:color w:val="auto"/>
        </w:rPr>
        <w:t>1.2.</w:t>
      </w:r>
      <w:r>
        <w:rPr>
          <w:rFonts w:ascii="Arial" w:cs="Arial" w:eastAsia="Arial" w:hAnsi="Arial"/>
          <w:sz w:val="14"/>
          <w:szCs w:val="14"/>
          <w:u w:val="single" w:color="auto"/>
          <w:color w:val="auto"/>
        </w:rPr>
        <w:t>Definitions</w:t>
      </w:r>
    </w:p>
    <w:p>
      <w:pPr>
        <w:spacing w:after="0" w:line="186" w:lineRule="exact"/>
        <w:rPr>
          <w:rFonts w:ascii="Arial" w:cs="Arial" w:eastAsia="Arial" w:hAnsi="Arial"/>
          <w:sz w:val="15"/>
          <w:szCs w:val="15"/>
          <w:b w:val="1"/>
          <w:bCs w:val="1"/>
          <w:color w:val="auto"/>
        </w:rPr>
      </w:pPr>
    </w:p>
    <w:p>
      <w:pPr>
        <w:ind w:left="1080"/>
        <w:spacing w:after="0"/>
        <w:rPr>
          <w:rFonts w:ascii="Arial" w:cs="Arial" w:eastAsia="Arial" w:hAnsi="Arial"/>
          <w:sz w:val="15"/>
          <w:szCs w:val="15"/>
          <w:b w:val="1"/>
          <w:bCs w:val="1"/>
          <w:color w:val="auto"/>
        </w:rPr>
      </w:pPr>
      <w:r>
        <w:rPr>
          <w:rFonts w:ascii="Arial" w:cs="Arial" w:eastAsia="Arial" w:hAnsi="Arial"/>
          <w:sz w:val="15"/>
          <w:szCs w:val="15"/>
          <w:color w:val="auto"/>
        </w:rPr>
        <w:t>The following terms in this Agreement shall have the meanings set out below:</w:t>
      </w:r>
    </w:p>
    <w:p>
      <w:pPr>
        <w:spacing w:after="0" w:line="186" w:lineRule="exact"/>
        <w:rPr>
          <w:sz w:val="20"/>
          <w:szCs w:val="20"/>
          <w:color w:val="auto"/>
        </w:rPr>
      </w:pPr>
    </w:p>
    <w:p>
      <w:pPr>
        <w:ind w:firstLine="9"/>
        <w:spacing w:after="0" w:line="272" w:lineRule="auto"/>
        <w:tabs>
          <w:tab w:leader="none" w:pos="262" w:val="left"/>
        </w:tabs>
        <w:numPr>
          <w:ilvl w:val="0"/>
          <w:numId w:val="7"/>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193040</wp:posOffset>
            </wp:positionV>
            <wp:extent cx="7198360"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40"/>
          </w:cols>
          <w:pgMar w:left="280" w:top="318" w:right="279" w:bottom="1440" w:gutter="0" w:footer="0" w:header="0"/>
        </w:sectPr>
      </w:pPr>
    </w:p>
    <w:bookmarkStart w:id="6" w:name="page7"/>
    <w:bookmarkEnd w:id="6"/>
    <w:p>
      <w:pPr>
        <w:jc w:val="both"/>
        <w:ind w:left="1611" w:hanging="537"/>
        <w:spacing w:after="0" w:line="275" w:lineRule="auto"/>
        <w:tabs>
          <w:tab w:leader="none" w:pos="1590" w:val="left"/>
        </w:tabs>
        <w:rPr>
          <w:sz w:val="20"/>
          <w:szCs w:val="20"/>
          <w:color w:val="auto"/>
        </w:rPr>
      </w:pPr>
      <w:r>
        <w:rPr>
          <w:rFonts w:ascii="Arial" w:cs="Arial" w:eastAsia="Arial" w:hAnsi="Arial"/>
          <w:sz w:val="15"/>
          <w:szCs w:val="15"/>
          <w:color w:val="auto"/>
        </w:rPr>
        <w:t>1.2.1.</w:t>
      </w:r>
      <w:r>
        <w:rPr>
          <w:sz w:val="20"/>
          <w:szCs w:val="20"/>
          <w:color w:val="auto"/>
        </w:rPr>
        <w:tab/>
      </w:r>
      <w:r>
        <w:rPr>
          <w:rFonts w:ascii="Arial" w:cs="Arial" w:eastAsia="Arial" w:hAnsi="Arial"/>
          <w:sz w:val="14"/>
          <w:szCs w:val="14"/>
          <w:color w:val="auto"/>
        </w:rPr>
        <w:t>The “</w:t>
      </w:r>
      <w:r>
        <w:rPr>
          <w:rFonts w:ascii="Arial" w:cs="Arial" w:eastAsia="Arial" w:hAnsi="Arial"/>
          <w:sz w:val="14"/>
          <w:szCs w:val="14"/>
          <w:b w:val="1"/>
          <w:bCs w:val="1"/>
          <w:color w:val="auto"/>
        </w:rPr>
        <w:t>Production File</w:t>
      </w:r>
      <w:r>
        <w:rPr>
          <w:rFonts w:ascii="Arial" w:cs="Arial" w:eastAsia="Arial" w:hAnsi="Arial"/>
          <w:sz w:val="14"/>
          <w:szCs w:val="14"/>
          <w:color w:val="auto"/>
        </w:rPr>
        <w:t>” or the “</w:t>
      </w:r>
      <w:r>
        <w:rPr>
          <w:rFonts w:ascii="Arial" w:cs="Arial" w:eastAsia="Arial" w:hAnsi="Arial"/>
          <w:sz w:val="14"/>
          <w:szCs w:val="14"/>
          <w:b w:val="1"/>
          <w:bCs w:val="1"/>
          <w:color w:val="auto"/>
        </w:rPr>
        <w:t>Product File</w:t>
      </w:r>
      <w:r>
        <w:rPr>
          <w:rFonts w:ascii="Arial" w:cs="Arial" w:eastAsia="Arial" w:hAnsi="Arial"/>
          <w:sz w:val="14"/>
          <w:szCs w:val="14"/>
          <w:color w:val="auto"/>
        </w:rPr>
        <w:t>” – A document that shall be delivered to the Supplier by the Customer, containing all of the information required in order to manufacture the product the subject of the Production File, including: the technical specifications of the product, a list of the components of the product, a list of the suppliers from whom the Supplier must purchase such; the Product Tree (as defined below), the quality requirements of all parts of the product, charts, definitions of materials, drawings, sketches and plans, specifications of tests during the process and calibrations, ATP, all documentary engineering supplements done by the Supplier, and any other information relevant for manufacture of the product. The Production Files shall be in a form which will be agreed upon in writing by the parties. For the avoidance of doubt, the Product File shall be the entire and exclusive property of the Customer and shall constitute part of the confidential information as defined in this Agreement below.</w:t>
      </w:r>
    </w:p>
    <w:p>
      <w:pPr>
        <w:spacing w:after="0" w:line="144" w:lineRule="exact"/>
        <w:rPr>
          <w:sz w:val="20"/>
          <w:szCs w:val="20"/>
          <w:color w:val="auto"/>
        </w:rPr>
      </w:pPr>
    </w:p>
    <w:p>
      <w:pPr>
        <w:jc w:val="both"/>
        <w:ind w:left="1611" w:hanging="537"/>
        <w:spacing w:after="0" w:line="259" w:lineRule="auto"/>
        <w:tabs>
          <w:tab w:leader="none" w:pos="1590" w:val="left"/>
        </w:tabs>
        <w:rPr>
          <w:sz w:val="20"/>
          <w:szCs w:val="20"/>
          <w:color w:val="auto"/>
        </w:rPr>
      </w:pPr>
      <w:r>
        <w:rPr>
          <w:rFonts w:ascii="Arial" w:cs="Arial" w:eastAsia="Arial" w:hAnsi="Arial"/>
          <w:sz w:val="15"/>
          <w:szCs w:val="15"/>
          <w:color w:val="auto"/>
        </w:rPr>
        <w:t>1.2.2.</w:t>
        <w:tab/>
        <w:t>“</w:t>
      </w:r>
      <w:r>
        <w:rPr>
          <w:rFonts w:ascii="Arial" w:cs="Arial" w:eastAsia="Arial" w:hAnsi="Arial"/>
          <w:sz w:val="15"/>
          <w:szCs w:val="15"/>
          <w:b w:val="1"/>
          <w:bCs w:val="1"/>
          <w:color w:val="auto"/>
        </w:rPr>
        <w:t>Product</w:t>
      </w:r>
      <w:r>
        <w:rPr>
          <w:rFonts w:ascii="Arial" w:cs="Arial" w:eastAsia="Arial" w:hAnsi="Arial"/>
          <w:sz w:val="15"/>
          <w:szCs w:val="15"/>
          <w:color w:val="auto"/>
        </w:rPr>
        <w:t>” or “</w:t>
      </w:r>
      <w:r>
        <w:rPr>
          <w:rFonts w:ascii="Arial" w:cs="Arial" w:eastAsia="Arial" w:hAnsi="Arial"/>
          <w:sz w:val="15"/>
          <w:szCs w:val="15"/>
          <w:b w:val="1"/>
          <w:bCs w:val="1"/>
          <w:color w:val="auto"/>
        </w:rPr>
        <w:t>Products</w:t>
      </w:r>
      <w:r>
        <w:rPr>
          <w:rFonts w:ascii="Arial" w:cs="Arial" w:eastAsia="Arial" w:hAnsi="Arial"/>
          <w:sz w:val="15"/>
          <w:szCs w:val="15"/>
          <w:color w:val="auto"/>
        </w:rPr>
        <w:t>” – including all of the following: (a) The finished machine set out in the Production File; (b) the components of the machine set out in the Production File; (c) all of the spare parts of the machine and its components, as defined below; (d) any inventory of any kind whatsoever of all of the machines including the components, whether such inventory has been and/or is being manufactured and/or stored at the Customer's request or at the Supplier's decision and/or request.</w:t>
      </w:r>
    </w:p>
    <w:p>
      <w:pPr>
        <w:spacing w:after="0" w:line="152" w:lineRule="exact"/>
        <w:rPr>
          <w:sz w:val="20"/>
          <w:szCs w:val="20"/>
          <w:color w:val="auto"/>
        </w:rPr>
      </w:pPr>
    </w:p>
    <w:p>
      <w:pPr>
        <w:jc w:val="both"/>
        <w:ind w:left="1611" w:hanging="537"/>
        <w:spacing w:after="0" w:line="278" w:lineRule="auto"/>
        <w:tabs>
          <w:tab w:leader="none" w:pos="1590" w:val="left"/>
        </w:tabs>
        <w:rPr>
          <w:sz w:val="20"/>
          <w:szCs w:val="20"/>
          <w:color w:val="auto"/>
        </w:rPr>
      </w:pPr>
      <w:r>
        <w:rPr>
          <w:rFonts w:ascii="Arial" w:cs="Arial" w:eastAsia="Arial" w:hAnsi="Arial"/>
          <w:sz w:val="15"/>
          <w:szCs w:val="15"/>
          <w:color w:val="auto"/>
        </w:rPr>
        <w:t>1.2.3.</w:t>
        <w:tab/>
        <w:t>“</w:t>
      </w:r>
      <w:r>
        <w:rPr>
          <w:rFonts w:ascii="Arial" w:cs="Arial" w:eastAsia="Arial" w:hAnsi="Arial"/>
          <w:sz w:val="15"/>
          <w:szCs w:val="15"/>
          <w:b w:val="1"/>
          <w:bCs w:val="1"/>
          <w:color w:val="auto"/>
        </w:rPr>
        <w:t>Machine</w:t>
      </w:r>
      <w:r>
        <w:rPr>
          <w:rFonts w:ascii="Arial" w:cs="Arial" w:eastAsia="Arial" w:hAnsi="Arial"/>
          <w:sz w:val="15"/>
          <w:szCs w:val="15"/>
          <w:color w:val="auto"/>
        </w:rPr>
        <w:t>” or “</w:t>
      </w:r>
      <w:r>
        <w:rPr>
          <w:rFonts w:ascii="Arial" w:cs="Arial" w:eastAsia="Arial" w:hAnsi="Arial"/>
          <w:sz w:val="15"/>
          <w:szCs w:val="15"/>
          <w:b w:val="1"/>
          <w:bCs w:val="1"/>
          <w:color w:val="auto"/>
        </w:rPr>
        <w:t>Machines</w:t>
      </w:r>
      <w:r>
        <w:rPr>
          <w:rFonts w:ascii="Arial" w:cs="Arial" w:eastAsia="Arial" w:hAnsi="Arial"/>
          <w:sz w:val="15"/>
          <w:szCs w:val="15"/>
          <w:color w:val="auto"/>
        </w:rPr>
        <w:t>” – A finished printer delivered to the Customer or a printer meeting all of the requirements of the Production File, and the conditions of this Agreement.</w:t>
      </w:r>
    </w:p>
    <w:p>
      <w:pPr>
        <w:spacing w:after="0" w:line="139" w:lineRule="exact"/>
        <w:rPr>
          <w:sz w:val="20"/>
          <w:szCs w:val="20"/>
          <w:color w:val="auto"/>
        </w:rPr>
      </w:pPr>
    </w:p>
    <w:p>
      <w:pPr>
        <w:jc w:val="both"/>
        <w:ind w:left="1611" w:right="20" w:hanging="537"/>
        <w:spacing w:after="0" w:line="278" w:lineRule="auto"/>
        <w:tabs>
          <w:tab w:leader="none" w:pos="1590" w:val="left"/>
        </w:tabs>
        <w:rPr>
          <w:sz w:val="20"/>
          <w:szCs w:val="20"/>
          <w:color w:val="auto"/>
        </w:rPr>
      </w:pPr>
      <w:r>
        <w:rPr>
          <w:rFonts w:ascii="Arial" w:cs="Arial" w:eastAsia="Arial" w:hAnsi="Arial"/>
          <w:sz w:val="15"/>
          <w:szCs w:val="15"/>
          <w:color w:val="auto"/>
        </w:rPr>
        <w:t>1.2.4.</w:t>
        <w:tab/>
        <w:t>“</w:t>
      </w:r>
      <w:r>
        <w:rPr>
          <w:rFonts w:ascii="Arial" w:cs="Arial" w:eastAsia="Arial" w:hAnsi="Arial"/>
          <w:sz w:val="15"/>
          <w:szCs w:val="15"/>
          <w:b w:val="1"/>
          <w:bCs w:val="1"/>
          <w:color w:val="auto"/>
        </w:rPr>
        <w:t>Security Inventory</w:t>
      </w:r>
      <w:r>
        <w:rPr>
          <w:rFonts w:ascii="Arial" w:cs="Arial" w:eastAsia="Arial" w:hAnsi="Arial"/>
          <w:sz w:val="15"/>
          <w:szCs w:val="15"/>
          <w:color w:val="auto"/>
        </w:rPr>
        <w:t>” – The minimum quantity of components kept in the Supplier's warehouses as security in accordance with the Customer's demand as set out in Appendix 2.</w:t>
      </w:r>
    </w:p>
    <w:p>
      <w:pPr>
        <w:spacing w:after="0" w:line="139" w:lineRule="exact"/>
        <w:rPr>
          <w:sz w:val="20"/>
          <w:szCs w:val="20"/>
          <w:color w:val="auto"/>
        </w:rPr>
      </w:pPr>
    </w:p>
    <w:p>
      <w:pPr>
        <w:ind w:left="1071"/>
        <w:spacing w:after="0"/>
        <w:tabs>
          <w:tab w:leader="none" w:pos="1590" w:val="left"/>
        </w:tabs>
        <w:rPr>
          <w:sz w:val="20"/>
          <w:szCs w:val="20"/>
          <w:color w:val="auto"/>
        </w:rPr>
      </w:pPr>
      <w:r>
        <w:rPr>
          <w:rFonts w:ascii="Arial" w:cs="Arial" w:eastAsia="Arial" w:hAnsi="Arial"/>
          <w:sz w:val="15"/>
          <w:szCs w:val="15"/>
          <w:color w:val="auto"/>
        </w:rPr>
        <w:t>1.2.5.</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OSP Items</w:t>
      </w:r>
      <w:r>
        <w:rPr>
          <w:rFonts w:ascii="Arial" w:cs="Arial" w:eastAsia="Arial" w:hAnsi="Arial"/>
          <w:sz w:val="13"/>
          <w:szCs w:val="13"/>
          <w:color w:val="auto"/>
        </w:rPr>
        <w:t>” – The items, parts, spare parts and components that the Customer will provide, which the Supplier is not required to pay for.</w:t>
      </w:r>
    </w:p>
    <w:p>
      <w:pPr>
        <w:spacing w:after="0" w:line="186" w:lineRule="exact"/>
        <w:rPr>
          <w:sz w:val="20"/>
          <w:szCs w:val="20"/>
          <w:color w:val="auto"/>
        </w:rPr>
      </w:pPr>
    </w:p>
    <w:p>
      <w:pPr>
        <w:jc w:val="both"/>
        <w:ind w:left="1611" w:right="20" w:hanging="537"/>
        <w:spacing w:after="0" w:line="315" w:lineRule="auto"/>
        <w:tabs>
          <w:tab w:leader="none" w:pos="1590" w:val="left"/>
        </w:tabs>
        <w:rPr>
          <w:sz w:val="20"/>
          <w:szCs w:val="20"/>
          <w:color w:val="auto"/>
        </w:rPr>
      </w:pPr>
      <w:r>
        <w:rPr>
          <w:rFonts w:ascii="Arial" w:cs="Arial" w:eastAsia="Arial" w:hAnsi="Arial"/>
          <w:sz w:val="15"/>
          <w:szCs w:val="15"/>
          <w:color w:val="auto"/>
        </w:rPr>
        <w:t>1.2.6.</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color w:val="auto"/>
        </w:rPr>
        <w:t>Components</w:t>
      </w:r>
      <w:r>
        <w:rPr>
          <w:rFonts w:ascii="Arial" w:cs="Arial" w:eastAsia="Arial" w:hAnsi="Arial"/>
          <w:sz w:val="14"/>
          <w:szCs w:val="14"/>
          <w:color w:val="auto"/>
        </w:rPr>
        <w:t>” – All items, parts, spare parts and components that may be ordered by the Customer from the Supplier or that may be sold or supplied by the Supplier to the Customer, provided that such are not Machines. For the avoidance of doubt, OSP Items shall not be considered to be Components.</w:t>
      </w:r>
    </w:p>
    <w:p>
      <w:pPr>
        <w:spacing w:after="0" w:line="116" w:lineRule="exact"/>
        <w:rPr>
          <w:sz w:val="20"/>
          <w:szCs w:val="20"/>
          <w:color w:val="auto"/>
        </w:rPr>
      </w:pPr>
    </w:p>
    <w:p>
      <w:pPr>
        <w:jc w:val="both"/>
        <w:ind w:left="1611" w:right="20" w:hanging="537"/>
        <w:spacing w:after="0" w:line="278" w:lineRule="auto"/>
        <w:tabs>
          <w:tab w:leader="none" w:pos="1590" w:val="left"/>
        </w:tabs>
        <w:rPr>
          <w:sz w:val="20"/>
          <w:szCs w:val="20"/>
          <w:color w:val="auto"/>
        </w:rPr>
      </w:pPr>
      <w:r>
        <w:rPr>
          <w:rFonts w:ascii="Arial" w:cs="Arial" w:eastAsia="Arial" w:hAnsi="Arial"/>
          <w:sz w:val="15"/>
          <w:szCs w:val="15"/>
          <w:color w:val="auto"/>
        </w:rPr>
        <w:t>1.2.7.</w:t>
        <w:tab/>
        <w:t>The “</w:t>
      </w:r>
      <w:r>
        <w:rPr>
          <w:rFonts w:ascii="Arial" w:cs="Arial" w:eastAsia="Arial" w:hAnsi="Arial"/>
          <w:sz w:val="15"/>
          <w:szCs w:val="15"/>
          <w:b w:val="1"/>
          <w:bCs w:val="1"/>
          <w:color w:val="auto"/>
        </w:rPr>
        <w:t>Order</w:t>
      </w:r>
      <w:r>
        <w:rPr>
          <w:rFonts w:ascii="Arial" w:cs="Arial" w:eastAsia="Arial" w:hAnsi="Arial"/>
          <w:sz w:val="15"/>
          <w:szCs w:val="15"/>
          <w:color w:val="auto"/>
        </w:rPr>
        <w:t>” – As such term is defined in section 5.1 below. Any Order that is sent in any way, in writing, by the Customer, including via email, shall be an order that is lawfully signed by the authorized signatory of the Customer, for the purposes of this Agreement.</w:t>
      </w:r>
    </w:p>
    <w:p>
      <w:pPr>
        <w:spacing w:after="0" w:line="139" w:lineRule="exact"/>
        <w:rPr>
          <w:sz w:val="20"/>
          <w:szCs w:val="20"/>
          <w:color w:val="auto"/>
        </w:rPr>
      </w:pPr>
    </w:p>
    <w:p>
      <w:pPr>
        <w:ind w:left="1071"/>
        <w:spacing w:after="0"/>
        <w:tabs>
          <w:tab w:leader="none" w:pos="1590" w:val="left"/>
        </w:tabs>
        <w:rPr>
          <w:sz w:val="20"/>
          <w:szCs w:val="20"/>
          <w:color w:val="auto"/>
        </w:rPr>
      </w:pPr>
      <w:r>
        <w:rPr>
          <w:rFonts w:ascii="Arial" w:cs="Arial" w:eastAsia="Arial" w:hAnsi="Arial"/>
          <w:sz w:val="15"/>
          <w:szCs w:val="15"/>
          <w:color w:val="auto"/>
        </w:rPr>
        <w:t>1.2.8.</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Supply</w:t>
      </w:r>
      <w:r>
        <w:rPr>
          <w:rFonts w:ascii="Arial" w:cs="Arial" w:eastAsia="Arial" w:hAnsi="Arial"/>
          <w:sz w:val="13"/>
          <w:szCs w:val="13"/>
          <w:color w:val="auto"/>
        </w:rPr>
        <w:t>” – Products which the Supplier has delivered to the Customer. With respect to Machines – supply at the gates of the Supplier's factory.</w:t>
      </w:r>
    </w:p>
    <w:p>
      <w:pPr>
        <w:spacing w:after="0" w:line="186" w:lineRule="exact"/>
        <w:rPr>
          <w:sz w:val="20"/>
          <w:szCs w:val="20"/>
          <w:color w:val="auto"/>
        </w:rPr>
      </w:pPr>
    </w:p>
    <w:p>
      <w:pPr>
        <w:jc w:val="both"/>
        <w:ind w:left="1611" w:right="20" w:hanging="537"/>
        <w:spacing w:after="0" w:line="279" w:lineRule="auto"/>
        <w:tabs>
          <w:tab w:leader="none" w:pos="1590" w:val="left"/>
        </w:tabs>
        <w:rPr>
          <w:sz w:val="20"/>
          <w:szCs w:val="20"/>
          <w:color w:val="auto"/>
        </w:rPr>
      </w:pPr>
      <w:r>
        <w:rPr>
          <w:rFonts w:ascii="Arial" w:cs="Arial" w:eastAsia="Arial" w:hAnsi="Arial"/>
          <w:sz w:val="15"/>
          <w:szCs w:val="15"/>
          <w:color w:val="auto"/>
        </w:rPr>
        <w:t>1.2.9.</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color w:val="auto"/>
        </w:rPr>
        <w:t>Receipt</w:t>
      </w:r>
      <w:r>
        <w:rPr>
          <w:rFonts w:ascii="Arial" w:cs="Arial" w:eastAsia="Arial" w:hAnsi="Arial"/>
          <w:sz w:val="14"/>
          <w:szCs w:val="14"/>
          <w:color w:val="auto"/>
        </w:rPr>
        <w:t>” – (a) The Execution of testing by the Customer in accordance with the ATP defined by the Customer in writing as an integral part of the Product File and in accordance with the conditions of this Agreement, for Machines in accordance with the contents of the Product File; or (b) physical receipt by the Customer of the Products sent by the Supplier. It is agreed that any Product that is physically delivered to the Customer in respect of which no written notice of Rejection or no written notice of any defect in the Product has been delivered (including a notice via email or fax) within a period of 3 days after the date of delivery thereof to the Customer shall be deemed to be a product that has been lawfully received by the Customer.</w:t>
      </w:r>
    </w:p>
    <w:p>
      <w:pPr>
        <w:spacing w:after="0" w:line="167" w:lineRule="exact"/>
        <w:rPr>
          <w:sz w:val="20"/>
          <w:szCs w:val="20"/>
          <w:color w:val="auto"/>
        </w:rPr>
      </w:pPr>
    </w:p>
    <w:p>
      <w:pPr>
        <w:ind w:left="-9" w:firstLine="9"/>
        <w:spacing w:after="0" w:line="272" w:lineRule="auto"/>
        <w:tabs>
          <w:tab w:leader="none" w:pos="252" w:val="left"/>
        </w:tabs>
        <w:numPr>
          <w:ilvl w:val="0"/>
          <w:numId w:val="8"/>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193040</wp:posOffset>
            </wp:positionV>
            <wp:extent cx="7198360"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31"/>
          </w:cols>
          <w:pgMar w:left="289" w:top="775" w:right="279" w:bottom="1440" w:gutter="0" w:footer="0" w:header="0"/>
        </w:sectPr>
      </w:pPr>
    </w:p>
    <w:bookmarkStart w:id="7" w:name="page8"/>
    <w:bookmarkEnd w:id="7"/>
    <w:p>
      <w:pPr>
        <w:jc w:val="both"/>
        <w:ind w:left="1611" w:right="20" w:hanging="537"/>
        <w:spacing w:after="0" w:line="264" w:lineRule="auto"/>
        <w:tabs>
          <w:tab w:leader="none" w:pos="1590" w:val="left"/>
        </w:tabs>
        <w:rPr>
          <w:sz w:val="20"/>
          <w:szCs w:val="20"/>
          <w:color w:val="auto"/>
        </w:rPr>
      </w:pPr>
      <w:r>
        <w:rPr>
          <w:rFonts w:ascii="Arial" w:cs="Arial" w:eastAsia="Arial" w:hAnsi="Arial"/>
          <w:sz w:val="15"/>
          <w:szCs w:val="15"/>
          <w:color w:val="auto"/>
        </w:rPr>
        <w:t>1.2.10.</w:t>
        <w:tab/>
        <w:t>“</w:t>
      </w:r>
      <w:r>
        <w:rPr>
          <w:rFonts w:ascii="Arial" w:cs="Arial" w:eastAsia="Arial" w:hAnsi="Arial"/>
          <w:sz w:val="15"/>
          <w:szCs w:val="15"/>
          <w:b w:val="1"/>
          <w:bCs w:val="1"/>
          <w:color w:val="auto"/>
        </w:rPr>
        <w:t>Product Tree</w:t>
      </w:r>
      <w:r>
        <w:rPr>
          <w:rFonts w:ascii="Arial" w:cs="Arial" w:eastAsia="Arial" w:hAnsi="Arial"/>
          <w:sz w:val="15"/>
          <w:szCs w:val="15"/>
          <w:color w:val="auto"/>
        </w:rPr>
        <w:t>” – Written details which shall be given by the Customer to the Supplier, including all of the parts, components and items required for construction of the Product. In the Product Tree, the Customer shall set out, for each part, component and item, the party that manufactures it. The Product Tree shall be kept in the Product File.</w:t>
      </w:r>
    </w:p>
    <w:p>
      <w:pPr>
        <w:spacing w:after="0" w:line="148" w:lineRule="exact"/>
        <w:rPr>
          <w:sz w:val="20"/>
          <w:szCs w:val="20"/>
          <w:color w:val="auto"/>
        </w:rPr>
      </w:pPr>
    </w:p>
    <w:p>
      <w:pPr>
        <w:ind w:left="1071"/>
        <w:spacing w:after="0"/>
        <w:tabs>
          <w:tab w:leader="none" w:pos="1590" w:val="left"/>
        </w:tabs>
        <w:rPr>
          <w:sz w:val="20"/>
          <w:szCs w:val="20"/>
          <w:color w:val="auto"/>
        </w:rPr>
      </w:pPr>
      <w:r>
        <w:rPr>
          <w:rFonts w:ascii="Arial" w:cs="Arial" w:eastAsia="Arial" w:hAnsi="Arial"/>
          <w:sz w:val="15"/>
          <w:szCs w:val="15"/>
          <w:color w:val="auto"/>
        </w:rPr>
        <w:t>1.2.11.</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Loading</w:t>
      </w:r>
      <w:r>
        <w:rPr>
          <w:rFonts w:ascii="Arial" w:cs="Arial" w:eastAsia="Arial" w:hAnsi="Arial"/>
          <w:sz w:val="13"/>
          <w:szCs w:val="13"/>
          <w:color w:val="auto"/>
        </w:rPr>
        <w:t>” – The price that the Customer will pay the Supplier for the costs of supply in the Supply of the Customer's Orders.</w:t>
      </w:r>
    </w:p>
    <w:p>
      <w:pPr>
        <w:spacing w:after="0" w:line="186" w:lineRule="exact"/>
        <w:rPr>
          <w:sz w:val="20"/>
          <w:szCs w:val="20"/>
          <w:color w:val="auto"/>
        </w:rPr>
      </w:pPr>
    </w:p>
    <w:p>
      <w:pPr>
        <w:jc w:val="both"/>
        <w:ind w:left="1611" w:hanging="537"/>
        <w:spacing w:after="0" w:line="259" w:lineRule="auto"/>
        <w:tabs>
          <w:tab w:leader="none" w:pos="1590" w:val="left"/>
        </w:tabs>
        <w:rPr>
          <w:sz w:val="20"/>
          <w:szCs w:val="20"/>
          <w:color w:val="auto"/>
        </w:rPr>
      </w:pPr>
      <w:r>
        <w:rPr>
          <w:rFonts w:ascii="Arial" w:cs="Arial" w:eastAsia="Arial" w:hAnsi="Arial"/>
          <w:sz w:val="15"/>
          <w:szCs w:val="15"/>
          <w:color w:val="auto"/>
        </w:rPr>
        <w:t>1.2.12.</w:t>
        <w:tab/>
        <w:t>“</w:t>
      </w:r>
      <w:r>
        <w:rPr>
          <w:rFonts w:ascii="Arial" w:cs="Arial" w:eastAsia="Arial" w:hAnsi="Arial"/>
          <w:sz w:val="15"/>
          <w:szCs w:val="15"/>
          <w:b w:val="1"/>
          <w:bCs w:val="1"/>
          <w:color w:val="auto"/>
        </w:rPr>
        <w:t>BOM</w:t>
      </w:r>
      <w:r>
        <w:rPr>
          <w:rFonts w:ascii="Arial" w:cs="Arial" w:eastAsia="Arial" w:hAnsi="Arial"/>
          <w:sz w:val="15"/>
          <w:szCs w:val="15"/>
          <w:color w:val="auto"/>
        </w:rPr>
        <w:t>” (Bill of Material) – A list that will be prepared by the Supplier, setting out the price of each of the parts and items contained in the Product Tree. It is agreed that any change to the Product Tree or to the BOM will give rise to a change in the prices of the Machines and the Products set out in this Agreement. Any price change as aforesaid shall be effected with the consent of both of the Parties to this Agreement in writing, under the ECO procedure as defined in this Agreement below.</w:t>
      </w:r>
    </w:p>
    <w:p>
      <w:pPr>
        <w:spacing w:after="0" w:line="152" w:lineRule="exact"/>
        <w:rPr>
          <w:sz w:val="20"/>
          <w:szCs w:val="20"/>
          <w:color w:val="auto"/>
        </w:rPr>
      </w:pPr>
    </w:p>
    <w:p>
      <w:pPr>
        <w:ind w:left="1071"/>
        <w:spacing w:after="0"/>
        <w:tabs>
          <w:tab w:leader="none" w:pos="1590" w:val="left"/>
        </w:tabs>
        <w:rPr>
          <w:sz w:val="20"/>
          <w:szCs w:val="20"/>
          <w:color w:val="auto"/>
        </w:rPr>
      </w:pPr>
      <w:r>
        <w:rPr>
          <w:rFonts w:ascii="Arial" w:cs="Arial" w:eastAsia="Arial" w:hAnsi="Arial"/>
          <w:sz w:val="15"/>
          <w:szCs w:val="15"/>
          <w:color w:val="auto"/>
        </w:rPr>
        <w:t>1.2.13.</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color w:val="auto"/>
        </w:rPr>
        <w:t>ECO</w:t>
      </w:r>
      <w:r>
        <w:rPr>
          <w:rFonts w:ascii="Arial" w:cs="Arial" w:eastAsia="Arial" w:hAnsi="Arial"/>
          <w:sz w:val="14"/>
          <w:szCs w:val="14"/>
          <w:color w:val="auto"/>
        </w:rPr>
        <w:t>” – As this term is defined in section 14.3.</w:t>
      </w:r>
    </w:p>
    <w:p>
      <w:pPr>
        <w:spacing w:after="0" w:line="186" w:lineRule="exact"/>
        <w:rPr>
          <w:sz w:val="20"/>
          <w:szCs w:val="20"/>
          <w:color w:val="auto"/>
        </w:rPr>
      </w:pPr>
    </w:p>
    <w:p>
      <w:pPr>
        <w:jc w:val="both"/>
        <w:ind w:left="1611" w:hanging="537"/>
        <w:spacing w:after="0" w:line="278" w:lineRule="auto"/>
        <w:tabs>
          <w:tab w:leader="none" w:pos="1590" w:val="left"/>
        </w:tabs>
        <w:rPr>
          <w:sz w:val="20"/>
          <w:szCs w:val="20"/>
          <w:color w:val="auto"/>
        </w:rPr>
      </w:pPr>
      <w:r>
        <w:rPr>
          <w:rFonts w:ascii="Arial" w:cs="Arial" w:eastAsia="Arial" w:hAnsi="Arial"/>
          <w:sz w:val="15"/>
          <w:szCs w:val="15"/>
          <w:color w:val="auto"/>
        </w:rPr>
        <w:t>1.2.14.</w:t>
        <w:tab/>
        <w:t>“</w:t>
      </w:r>
      <w:r>
        <w:rPr>
          <w:rFonts w:ascii="Arial" w:cs="Arial" w:eastAsia="Arial" w:hAnsi="Arial"/>
          <w:sz w:val="15"/>
          <w:szCs w:val="15"/>
          <w:b w:val="1"/>
          <w:bCs w:val="1"/>
          <w:color w:val="auto"/>
        </w:rPr>
        <w:t>ECO Procedure</w:t>
      </w:r>
      <w:r>
        <w:rPr>
          <w:rFonts w:ascii="Arial" w:cs="Arial" w:eastAsia="Arial" w:hAnsi="Arial"/>
          <w:sz w:val="15"/>
          <w:szCs w:val="15"/>
          <w:color w:val="auto"/>
        </w:rPr>
        <w:t>” – A process of presentation of the significance of application by the Supplier and approval in writing by the Customer of the written document that will be drafted by the Supplier.</w:t>
      </w:r>
    </w:p>
    <w:p>
      <w:pPr>
        <w:spacing w:after="0" w:line="139" w:lineRule="exact"/>
        <w:rPr>
          <w:sz w:val="20"/>
          <w:szCs w:val="20"/>
          <w:color w:val="auto"/>
        </w:rPr>
      </w:pPr>
    </w:p>
    <w:p>
      <w:pPr>
        <w:ind w:left="1071"/>
        <w:spacing w:after="0"/>
        <w:tabs>
          <w:tab w:leader="none" w:pos="1590" w:val="left"/>
        </w:tabs>
        <w:rPr>
          <w:sz w:val="20"/>
          <w:szCs w:val="20"/>
          <w:color w:val="auto"/>
        </w:rPr>
      </w:pPr>
      <w:r>
        <w:rPr>
          <w:rFonts w:ascii="Arial" w:cs="Arial" w:eastAsia="Arial" w:hAnsi="Arial"/>
          <w:sz w:val="15"/>
          <w:szCs w:val="15"/>
          <w:color w:val="auto"/>
        </w:rPr>
        <w:t>1.2.15.</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AVL</w:t>
      </w:r>
      <w:r>
        <w:rPr>
          <w:rFonts w:ascii="Arial" w:cs="Arial" w:eastAsia="Arial" w:hAnsi="Arial"/>
          <w:sz w:val="13"/>
          <w:szCs w:val="13"/>
          <w:color w:val="auto"/>
        </w:rPr>
        <w:t>” – A list of suppliers approved by the Customer (Approved Vendors' List).</w:t>
      </w:r>
    </w:p>
    <w:p>
      <w:pPr>
        <w:spacing w:after="0" w:line="186" w:lineRule="exact"/>
        <w:rPr>
          <w:sz w:val="20"/>
          <w:szCs w:val="20"/>
          <w:color w:val="auto"/>
        </w:rPr>
      </w:pPr>
    </w:p>
    <w:p>
      <w:pPr>
        <w:ind w:left="1071"/>
        <w:spacing w:after="0"/>
        <w:tabs>
          <w:tab w:leader="none" w:pos="1590" w:val="left"/>
        </w:tabs>
        <w:rPr>
          <w:sz w:val="20"/>
          <w:szCs w:val="20"/>
          <w:color w:val="auto"/>
        </w:rPr>
      </w:pPr>
      <w:r>
        <w:rPr>
          <w:rFonts w:ascii="Arial" w:cs="Arial" w:eastAsia="Arial" w:hAnsi="Arial"/>
          <w:sz w:val="15"/>
          <w:szCs w:val="15"/>
          <w:color w:val="auto"/>
        </w:rPr>
        <w:t>1.2.16.</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Obsolete Items</w:t>
      </w:r>
      <w:r>
        <w:rPr>
          <w:rFonts w:ascii="Arial" w:cs="Arial" w:eastAsia="Arial" w:hAnsi="Arial"/>
          <w:sz w:val="13"/>
          <w:szCs w:val="13"/>
          <w:color w:val="auto"/>
        </w:rPr>
        <w:t>” – As such term is defined in section 12 below.</w:t>
      </w:r>
    </w:p>
    <w:p>
      <w:pPr>
        <w:spacing w:after="0" w:line="186" w:lineRule="exact"/>
        <w:rPr>
          <w:sz w:val="20"/>
          <w:szCs w:val="20"/>
          <w:color w:val="auto"/>
        </w:rPr>
      </w:pPr>
    </w:p>
    <w:p>
      <w:pPr>
        <w:ind w:left="1071"/>
        <w:spacing w:after="0"/>
        <w:tabs>
          <w:tab w:leader="none" w:pos="1590" w:val="left"/>
        </w:tabs>
        <w:rPr>
          <w:sz w:val="20"/>
          <w:szCs w:val="20"/>
          <w:color w:val="auto"/>
        </w:rPr>
      </w:pPr>
      <w:r>
        <w:rPr>
          <w:rFonts w:ascii="Arial" w:cs="Arial" w:eastAsia="Arial" w:hAnsi="Arial"/>
          <w:sz w:val="15"/>
          <w:szCs w:val="15"/>
          <w:color w:val="auto"/>
        </w:rPr>
        <w:t>1.2.17.</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Disqualification Report</w:t>
      </w:r>
      <w:r>
        <w:rPr>
          <w:rFonts w:ascii="Arial" w:cs="Arial" w:eastAsia="Arial" w:hAnsi="Arial"/>
          <w:sz w:val="13"/>
          <w:szCs w:val="13"/>
          <w:color w:val="auto"/>
        </w:rPr>
        <w:t>” – A report accompanying a disqualified item setting out the substance of the fault.</w:t>
      </w:r>
    </w:p>
    <w:p>
      <w:pPr>
        <w:spacing w:after="0" w:line="186" w:lineRule="exact"/>
        <w:rPr>
          <w:sz w:val="20"/>
          <w:szCs w:val="20"/>
          <w:color w:val="auto"/>
        </w:rPr>
      </w:pPr>
    </w:p>
    <w:p>
      <w:pPr>
        <w:jc w:val="both"/>
        <w:ind w:left="1611" w:right="20" w:hanging="537"/>
        <w:spacing w:after="0" w:line="315" w:lineRule="auto"/>
        <w:tabs>
          <w:tab w:leader="none" w:pos="1590" w:val="left"/>
        </w:tabs>
        <w:rPr>
          <w:sz w:val="20"/>
          <w:szCs w:val="20"/>
          <w:color w:val="auto"/>
        </w:rPr>
      </w:pPr>
      <w:r>
        <w:rPr>
          <w:rFonts w:ascii="Arial" w:cs="Arial" w:eastAsia="Arial" w:hAnsi="Arial"/>
          <w:sz w:val="15"/>
          <w:szCs w:val="15"/>
          <w:color w:val="auto"/>
        </w:rPr>
        <w:t>1.2.18.</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color w:val="auto"/>
        </w:rPr>
        <w:t>ATP</w:t>
      </w:r>
      <w:r>
        <w:rPr>
          <w:rFonts w:ascii="Arial" w:cs="Arial" w:eastAsia="Arial" w:hAnsi="Arial"/>
          <w:sz w:val="14"/>
          <w:szCs w:val="14"/>
          <w:color w:val="auto"/>
        </w:rPr>
        <w:t>” – Acceptance Test Procedure – Written procedures for testing the Product, which shall be applied and set by the Customer, setting out the tests that are required to be performed on the Product in order to ensure that it is complete and in working order. The ATP shall match the Product File.</w:t>
      </w:r>
    </w:p>
    <w:p>
      <w:pPr>
        <w:spacing w:after="0" w:line="116" w:lineRule="exact"/>
        <w:rPr>
          <w:sz w:val="20"/>
          <w:szCs w:val="20"/>
          <w:color w:val="auto"/>
        </w:rPr>
      </w:pPr>
    </w:p>
    <w:p>
      <w:pPr>
        <w:ind w:left="1071"/>
        <w:spacing w:after="0"/>
        <w:tabs>
          <w:tab w:leader="none" w:pos="1590" w:val="left"/>
        </w:tabs>
        <w:rPr>
          <w:sz w:val="20"/>
          <w:szCs w:val="20"/>
          <w:color w:val="auto"/>
        </w:rPr>
      </w:pPr>
      <w:r>
        <w:rPr>
          <w:rFonts w:ascii="Arial" w:cs="Arial" w:eastAsia="Arial" w:hAnsi="Arial"/>
          <w:sz w:val="15"/>
          <w:szCs w:val="15"/>
          <w:color w:val="auto"/>
        </w:rPr>
        <w:t>1.2.19.</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color w:val="auto"/>
        </w:rPr>
        <w:t>MOQ</w:t>
      </w:r>
      <w:r>
        <w:rPr>
          <w:rFonts w:ascii="Arial" w:cs="Arial" w:eastAsia="Arial" w:hAnsi="Arial"/>
          <w:sz w:val="14"/>
          <w:szCs w:val="14"/>
          <w:color w:val="auto"/>
        </w:rPr>
        <w:t>” – The minimum quantity of Orders of Products.</w:t>
      </w:r>
    </w:p>
    <w:p>
      <w:pPr>
        <w:spacing w:after="0" w:line="186" w:lineRule="exact"/>
        <w:rPr>
          <w:sz w:val="20"/>
          <w:szCs w:val="20"/>
          <w:color w:val="auto"/>
        </w:rPr>
      </w:pPr>
    </w:p>
    <w:p>
      <w:pPr>
        <w:jc w:val="both"/>
        <w:ind w:left="1611" w:hanging="537"/>
        <w:spacing w:after="0" w:line="278" w:lineRule="auto"/>
        <w:tabs>
          <w:tab w:leader="none" w:pos="1590" w:val="left"/>
        </w:tabs>
        <w:rPr>
          <w:sz w:val="20"/>
          <w:szCs w:val="20"/>
          <w:color w:val="auto"/>
        </w:rPr>
      </w:pPr>
      <w:r>
        <w:rPr>
          <w:rFonts w:ascii="Arial" w:cs="Arial" w:eastAsia="Arial" w:hAnsi="Arial"/>
          <w:sz w:val="15"/>
          <w:szCs w:val="15"/>
          <w:color w:val="auto"/>
        </w:rPr>
        <w:t>1.2.20.</w:t>
        <w:tab/>
        <w:t>“</w:t>
      </w:r>
      <w:r>
        <w:rPr>
          <w:rFonts w:ascii="Arial" w:cs="Arial" w:eastAsia="Arial" w:hAnsi="Arial"/>
          <w:sz w:val="15"/>
          <w:szCs w:val="15"/>
          <w:b w:val="1"/>
          <w:bCs w:val="1"/>
          <w:color w:val="auto"/>
        </w:rPr>
        <w:t>Lead Time</w:t>
      </w:r>
      <w:r>
        <w:rPr>
          <w:rFonts w:ascii="Arial" w:cs="Arial" w:eastAsia="Arial" w:hAnsi="Arial"/>
          <w:sz w:val="15"/>
          <w:szCs w:val="15"/>
          <w:color w:val="auto"/>
        </w:rPr>
        <w:t>” – Details issued by the Supplier to the Customer setting out the amount of time after the date of the Order in which the Customer will be able to receive the Product ordered by it.</w:t>
      </w:r>
    </w:p>
    <w:p>
      <w:pPr>
        <w:spacing w:after="0" w:line="143" w:lineRule="exact"/>
        <w:rPr>
          <w:sz w:val="20"/>
          <w:szCs w:val="20"/>
          <w:color w:val="auto"/>
        </w:rPr>
      </w:pPr>
    </w:p>
    <w:p>
      <w:pPr>
        <w:ind w:left="531"/>
        <w:spacing w:after="0"/>
        <w:tabs>
          <w:tab w:leader="none" w:pos="1050" w:val="left"/>
        </w:tabs>
        <w:rPr>
          <w:sz w:val="20"/>
          <w:szCs w:val="20"/>
          <w:color w:val="auto"/>
        </w:rPr>
      </w:pPr>
      <w:r>
        <w:rPr>
          <w:rFonts w:ascii="Arial" w:cs="Arial" w:eastAsia="Arial" w:hAnsi="Arial"/>
          <w:sz w:val="15"/>
          <w:szCs w:val="15"/>
          <w:color w:val="auto"/>
        </w:rPr>
        <w:t>1.3.</w:t>
      </w:r>
      <w:r>
        <w:rPr>
          <w:sz w:val="20"/>
          <w:szCs w:val="20"/>
          <w:color w:val="auto"/>
        </w:rPr>
        <w:tab/>
      </w:r>
      <w:r>
        <w:rPr>
          <w:rFonts w:ascii="Arial" w:cs="Arial" w:eastAsia="Arial" w:hAnsi="Arial"/>
          <w:sz w:val="14"/>
          <w:szCs w:val="14"/>
          <w:u w:val="single" w:color="auto"/>
          <w:color w:val="auto"/>
        </w:rPr>
        <w:t>List of Appendixes</w:t>
      </w:r>
    </w:p>
    <w:p>
      <w:pPr>
        <w:spacing w:after="0" w:line="182" w:lineRule="exact"/>
        <w:rPr>
          <w:sz w:val="20"/>
          <w:szCs w:val="20"/>
          <w:color w:val="auto"/>
        </w:rPr>
      </w:pPr>
    </w:p>
    <w:p>
      <w:pPr>
        <w:ind w:left="1071"/>
        <w:spacing w:after="0"/>
        <w:tabs>
          <w:tab w:leader="none" w:pos="2050" w:val="left"/>
        </w:tabs>
        <w:rPr>
          <w:sz w:val="20"/>
          <w:szCs w:val="20"/>
          <w:color w:val="auto"/>
        </w:rPr>
      </w:pPr>
      <w:r>
        <w:rPr>
          <w:rFonts w:ascii="Arial" w:cs="Arial" w:eastAsia="Arial" w:hAnsi="Arial"/>
          <w:sz w:val="15"/>
          <w:szCs w:val="15"/>
          <w:b w:val="1"/>
          <w:bCs w:val="1"/>
          <w:color w:val="auto"/>
        </w:rPr>
        <w:t>Appendix 1</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consensually canceled.</w:t>
      </w:r>
    </w:p>
    <w:p>
      <w:pPr>
        <w:spacing w:after="0" w:line="186" w:lineRule="exact"/>
        <w:rPr>
          <w:sz w:val="20"/>
          <w:szCs w:val="20"/>
          <w:color w:val="auto"/>
        </w:rPr>
      </w:pPr>
    </w:p>
    <w:p>
      <w:pPr>
        <w:ind w:left="1071"/>
        <w:spacing w:after="0"/>
        <w:tabs>
          <w:tab w:leader="none" w:pos="2050" w:val="left"/>
        </w:tabs>
        <w:rPr>
          <w:sz w:val="20"/>
          <w:szCs w:val="20"/>
          <w:color w:val="auto"/>
        </w:rPr>
      </w:pPr>
      <w:r>
        <w:rPr>
          <w:rFonts w:ascii="Arial" w:cs="Arial" w:eastAsia="Arial" w:hAnsi="Arial"/>
          <w:sz w:val="15"/>
          <w:szCs w:val="15"/>
          <w:b w:val="1"/>
          <w:bCs w:val="1"/>
          <w:color w:val="auto"/>
        </w:rPr>
        <w:t>Appendix 2</w:t>
      </w:r>
      <w:r>
        <w:rPr>
          <w:rFonts w:ascii="Arial" w:cs="Arial" w:eastAsia="Arial" w:hAnsi="Arial"/>
          <w:sz w:val="15"/>
          <w:szCs w:val="15"/>
          <w:color w:val="auto"/>
        </w:rPr>
        <w:t>:</w:t>
      </w:r>
      <w:r>
        <w:rPr>
          <w:sz w:val="20"/>
          <w:szCs w:val="20"/>
          <w:color w:val="auto"/>
        </w:rPr>
        <w:tab/>
      </w:r>
      <w:r>
        <w:rPr>
          <w:rFonts w:ascii="Arial" w:cs="Arial" w:eastAsia="Arial" w:hAnsi="Arial"/>
          <w:sz w:val="14"/>
          <w:szCs w:val="14"/>
          <w:color w:val="auto"/>
        </w:rPr>
        <w:t>LLI (Long Lead Items) components; MOQ (Minimum of Quantity) items; AVL (Approved Vendors List); Security Inventory.</w:t>
      </w:r>
    </w:p>
    <w:p>
      <w:pPr>
        <w:spacing w:after="0" w:line="186" w:lineRule="exact"/>
        <w:rPr>
          <w:sz w:val="20"/>
          <w:szCs w:val="20"/>
          <w:color w:val="auto"/>
        </w:rPr>
      </w:pPr>
    </w:p>
    <w:p>
      <w:pPr>
        <w:ind w:left="1071"/>
        <w:spacing w:after="0"/>
        <w:tabs>
          <w:tab w:leader="none" w:pos="2050" w:val="left"/>
        </w:tabs>
        <w:rPr>
          <w:sz w:val="20"/>
          <w:szCs w:val="20"/>
          <w:color w:val="auto"/>
        </w:rPr>
      </w:pPr>
      <w:r>
        <w:rPr>
          <w:rFonts w:ascii="Arial" w:cs="Arial" w:eastAsia="Arial" w:hAnsi="Arial"/>
          <w:sz w:val="15"/>
          <w:szCs w:val="15"/>
          <w:b w:val="1"/>
          <w:bCs w:val="1"/>
          <w:color w:val="auto"/>
        </w:rPr>
        <w:t>Appendix 3</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Non-Disclosure and Non-Competition Undertaking Qualified to Specific Field.</w:t>
      </w:r>
    </w:p>
    <w:p>
      <w:pPr>
        <w:spacing w:after="0" w:line="190" w:lineRule="exact"/>
        <w:rPr>
          <w:sz w:val="20"/>
          <w:szCs w:val="20"/>
          <w:color w:val="auto"/>
        </w:rPr>
      </w:pPr>
    </w:p>
    <w:p>
      <w:pPr>
        <w:ind w:left="-9" w:firstLine="9"/>
        <w:spacing w:after="0" w:line="272" w:lineRule="auto"/>
        <w:tabs>
          <w:tab w:leader="none" w:pos="252" w:val="left"/>
        </w:tabs>
        <w:numPr>
          <w:ilvl w:val="0"/>
          <w:numId w:val="9"/>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193040</wp:posOffset>
            </wp:positionV>
            <wp:extent cx="7198360"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31"/>
          </w:cols>
          <w:pgMar w:left="289" w:top="753" w:right="279" w:bottom="1440" w:gutter="0" w:footer="0" w:header="0"/>
        </w:sectPr>
      </w:pPr>
    </w:p>
    <w:bookmarkStart w:id="8" w:name="page9"/>
    <w:bookmarkEnd w:id="8"/>
    <w:p>
      <w:pPr>
        <w:ind w:left="1080"/>
        <w:spacing w:after="0"/>
        <w:tabs>
          <w:tab w:leader="none" w:pos="2060" w:val="left"/>
        </w:tabs>
        <w:rPr>
          <w:sz w:val="20"/>
          <w:szCs w:val="20"/>
          <w:color w:val="auto"/>
        </w:rPr>
      </w:pPr>
      <w:r>
        <w:rPr>
          <w:rFonts w:ascii="Arial" w:cs="Arial" w:eastAsia="Arial" w:hAnsi="Arial"/>
          <w:sz w:val="15"/>
          <w:szCs w:val="15"/>
          <w:b w:val="1"/>
          <w:bCs w:val="1"/>
          <w:color w:val="auto"/>
        </w:rPr>
        <w:t>Appendix 4</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Certificate of Insurances.</w:t>
      </w:r>
    </w:p>
    <w:p>
      <w:pPr>
        <w:spacing w:after="0" w:line="186" w:lineRule="exact"/>
        <w:rPr>
          <w:sz w:val="20"/>
          <w:szCs w:val="20"/>
          <w:color w:val="auto"/>
        </w:rPr>
      </w:pPr>
    </w:p>
    <w:p>
      <w:pPr>
        <w:ind w:left="1080"/>
        <w:spacing w:after="0"/>
        <w:tabs>
          <w:tab w:leader="none" w:pos="2060" w:val="left"/>
        </w:tabs>
        <w:rPr>
          <w:sz w:val="20"/>
          <w:szCs w:val="20"/>
          <w:color w:val="auto"/>
        </w:rPr>
      </w:pPr>
      <w:r>
        <w:rPr>
          <w:rFonts w:ascii="Arial" w:cs="Arial" w:eastAsia="Arial" w:hAnsi="Arial"/>
          <w:sz w:val="15"/>
          <w:szCs w:val="15"/>
          <w:b w:val="1"/>
          <w:bCs w:val="1"/>
          <w:color w:val="auto"/>
        </w:rPr>
        <w:t>Appendix 5</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Certification of Authorized Signatories for the Customer.</w:t>
      </w:r>
    </w:p>
    <w:p>
      <w:pPr>
        <w:spacing w:after="0" w:line="186" w:lineRule="exact"/>
        <w:rPr>
          <w:sz w:val="20"/>
          <w:szCs w:val="20"/>
          <w:color w:val="auto"/>
        </w:rPr>
      </w:pPr>
    </w:p>
    <w:p>
      <w:pPr>
        <w:ind w:left="1080"/>
        <w:spacing w:after="0"/>
        <w:tabs>
          <w:tab w:leader="none" w:pos="2060" w:val="left"/>
        </w:tabs>
        <w:rPr>
          <w:sz w:val="20"/>
          <w:szCs w:val="20"/>
          <w:color w:val="auto"/>
        </w:rPr>
      </w:pPr>
      <w:r>
        <w:rPr>
          <w:rFonts w:ascii="Arial" w:cs="Arial" w:eastAsia="Arial" w:hAnsi="Arial"/>
          <w:sz w:val="15"/>
          <w:szCs w:val="15"/>
          <w:b w:val="1"/>
          <w:bCs w:val="1"/>
          <w:color w:val="auto"/>
        </w:rPr>
        <w:t>Appendix 6</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Details of ATP Procedures for every Product the subject of a Production File.</w:t>
      </w:r>
    </w:p>
    <w:p>
      <w:pPr>
        <w:spacing w:after="0" w:line="186"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color w:val="auto"/>
        </w:rPr>
        <w:t>2</w:t>
      </w:r>
      <w:r>
        <w:rPr>
          <w:rFonts w:ascii="Arial" w:cs="Arial" w:eastAsia="Arial" w:hAnsi="Arial"/>
          <w:sz w:val="15"/>
          <w:szCs w:val="15"/>
          <w:b w:val="1"/>
          <w:bCs w:val="1"/>
          <w:color w:val="auto"/>
        </w:rPr>
        <w:t>.</w:t>
      </w:r>
      <w:r>
        <w:rPr>
          <w:sz w:val="20"/>
          <w:szCs w:val="20"/>
          <w:color w:val="auto"/>
        </w:rPr>
        <w:tab/>
      </w:r>
      <w:r>
        <w:rPr>
          <w:rFonts w:ascii="Arial" w:cs="Arial" w:eastAsia="Arial" w:hAnsi="Arial"/>
          <w:sz w:val="13"/>
          <w:szCs w:val="13"/>
          <w:b w:val="1"/>
          <w:bCs w:val="1"/>
          <w:u w:val="single" w:color="auto"/>
          <w:color w:val="auto"/>
        </w:rPr>
        <w:t>Scope of Agreement</w:t>
      </w:r>
    </w:p>
    <w:p>
      <w:pPr>
        <w:spacing w:after="0" w:line="190" w:lineRule="exact"/>
        <w:rPr>
          <w:sz w:val="20"/>
          <w:szCs w:val="20"/>
          <w:color w:val="auto"/>
        </w:rPr>
      </w:pPr>
    </w:p>
    <w:p>
      <w:pPr>
        <w:jc w:val="both"/>
        <w:ind w:left="540"/>
        <w:spacing w:after="0" w:line="274" w:lineRule="auto"/>
        <w:rPr>
          <w:sz w:val="20"/>
          <w:szCs w:val="20"/>
          <w:color w:val="auto"/>
        </w:rPr>
      </w:pPr>
      <w:r>
        <w:rPr>
          <w:rFonts w:ascii="Arial" w:cs="Arial" w:eastAsia="Arial" w:hAnsi="Arial"/>
          <w:sz w:val="14"/>
          <w:szCs w:val="14"/>
          <w:color w:val="auto"/>
        </w:rPr>
        <w:t>This Agreement constitutes a framework for the legal and commercial relations between the Parties to the extent that such relate to Orders, to the planning of purchases, and to the production of the Products the subject of this Agreement. This Agreement, and the Appendixes hereto, including all of the declarations and undertakings contained herein, shall apply to each of the Orders of Products under this Agreement (including the order of Machines and Components and shall also apply to all of the Production Files which shall be provided by the Customer to the Supplier from time to time, and to the relationship between the Parties to this Agreement to the extent that such relates to any Product that may be ordered from the Supplier by the Customer and/or that may be designed and/or manufactured and/or ordered and/or prepared and/or delivered by the Supplier to the Customer). The provisions of this Agreement shall constitute an integral part of all of the work orders and of any other document that may be exchanged by the Parties and/or a person acting on their behalf with respect to any product the subject of this Agreement.</w:t>
      </w:r>
    </w:p>
    <w:p>
      <w:pPr>
        <w:spacing w:after="0" w:line="149" w:lineRule="exact"/>
        <w:rPr>
          <w:sz w:val="20"/>
          <w:szCs w:val="20"/>
          <w:color w:val="auto"/>
        </w:rPr>
      </w:pPr>
    </w:p>
    <w:p>
      <w:pPr>
        <w:jc w:val="both"/>
        <w:ind w:left="540"/>
        <w:spacing w:after="0" w:line="309" w:lineRule="auto"/>
        <w:rPr>
          <w:sz w:val="20"/>
          <w:szCs w:val="20"/>
          <w:color w:val="auto"/>
        </w:rPr>
      </w:pPr>
      <w:r>
        <w:rPr>
          <w:rFonts w:ascii="Arial" w:cs="Arial" w:eastAsia="Arial" w:hAnsi="Arial"/>
          <w:sz w:val="14"/>
          <w:szCs w:val="14"/>
          <w:color w:val="auto"/>
        </w:rPr>
        <w:t>The Parties confirm and declare that this Agreement terminates the Previous Agreement and all of the conditions, Appendixes and provisions thereof, in such a way that as of the date of execution of this Agreement, the Previous Agreement shall be deemed to have been terminated by the consent of the Parties and to have expired completely.</w:t>
      </w:r>
    </w:p>
    <w:p>
      <w:pPr>
        <w:spacing w:after="0" w:line="120" w:lineRule="exact"/>
        <w:rPr>
          <w:sz w:val="20"/>
          <w:szCs w:val="20"/>
          <w:color w:val="auto"/>
        </w:rPr>
      </w:pPr>
    </w:p>
    <w:p>
      <w:pPr>
        <w:ind w:left="540" w:hanging="531"/>
        <w:spacing w:after="0"/>
        <w:tabs>
          <w:tab w:leader="none" w:pos="540" w:val="left"/>
        </w:tabs>
        <w:numPr>
          <w:ilvl w:val="0"/>
          <w:numId w:val="10"/>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Declarations of the Parties</w:t>
      </w:r>
    </w:p>
    <w:p>
      <w:pPr>
        <w:spacing w:after="0" w:line="190" w:lineRule="exact"/>
        <w:rPr>
          <w:rFonts w:ascii="Arial" w:cs="Arial" w:eastAsia="Arial" w:hAnsi="Arial"/>
          <w:sz w:val="15"/>
          <w:szCs w:val="15"/>
          <w:b w:val="1"/>
          <w:bCs w:val="1"/>
          <w:color w:val="auto"/>
        </w:rPr>
      </w:pPr>
    </w:p>
    <w:p>
      <w:pPr>
        <w:ind w:left="1080" w:hanging="538"/>
        <w:spacing w:after="0" w:line="275" w:lineRule="auto"/>
        <w:rPr>
          <w:rFonts w:ascii="Arial" w:cs="Arial" w:eastAsia="Arial" w:hAnsi="Arial"/>
          <w:sz w:val="15"/>
          <w:szCs w:val="15"/>
          <w:b w:val="1"/>
          <w:bCs w:val="1"/>
          <w:color w:val="auto"/>
        </w:rPr>
      </w:pPr>
      <w:r>
        <w:rPr>
          <w:rFonts w:ascii="Arial" w:cs="Arial" w:eastAsia="Arial" w:hAnsi="Arial"/>
          <w:sz w:val="15"/>
          <w:szCs w:val="15"/>
          <w:color w:val="auto"/>
        </w:rPr>
        <w:t>3.1.</w:t>
      </w:r>
      <w:r>
        <w:rPr>
          <w:rFonts w:ascii="Arial" w:cs="Arial" w:eastAsia="Arial" w:hAnsi="Arial"/>
          <w:sz w:val="14"/>
          <w:szCs w:val="14"/>
          <w:color w:val="auto"/>
        </w:rPr>
        <w:t>The Supplier declares that it has the equipment, knowledge, ability, experience, tools, skills, means and professional qualifications required for the performance of its undertakings under this Agreement, including that it is able to meet its undertakings under this Agreement in terms of the human resources that will be required in order to perform its undertakings, and with respect to the quality and skill of such performance. The Supplier hereby undertakes to manufacture the Machines in accordance with the provisions of the Orders and the Production Files, exclusively for the Customer, in accordance with the Production Files, the AVLs will be agreed upon in writing by the parties and the technical specifications contained in the Production File will be agreed upon in writing by the parties, at the appropriate production quality, in accordance with reasonable standards acceptable in the market, and in accordance with the conditions and stipulations of this Agreement.</w:t>
      </w:r>
    </w:p>
    <w:p>
      <w:pPr>
        <w:spacing w:after="0" w:line="149" w:lineRule="exact"/>
        <w:rPr>
          <w:rFonts w:ascii="Arial" w:cs="Arial" w:eastAsia="Arial" w:hAnsi="Arial"/>
          <w:sz w:val="15"/>
          <w:szCs w:val="15"/>
          <w:b w:val="1"/>
          <w:bCs w:val="1"/>
          <w:color w:val="auto"/>
        </w:rPr>
      </w:pPr>
    </w:p>
    <w:p>
      <w:pPr>
        <w:ind w:left="1080" w:hanging="538"/>
        <w:spacing w:after="0" w:line="300" w:lineRule="auto"/>
        <w:rPr>
          <w:rFonts w:ascii="Arial" w:cs="Arial" w:eastAsia="Arial" w:hAnsi="Arial"/>
          <w:sz w:val="15"/>
          <w:szCs w:val="15"/>
          <w:b w:val="1"/>
          <w:bCs w:val="1"/>
          <w:color w:val="auto"/>
        </w:rPr>
      </w:pPr>
      <w:r>
        <w:rPr>
          <w:rFonts w:ascii="Arial" w:cs="Arial" w:eastAsia="Arial" w:hAnsi="Arial"/>
          <w:sz w:val="15"/>
          <w:szCs w:val="15"/>
          <w:color w:val="auto"/>
        </w:rPr>
        <w:t>3.2.</w:t>
      </w:r>
      <w:r>
        <w:rPr>
          <w:rFonts w:ascii="Arial" w:cs="Arial" w:eastAsia="Arial" w:hAnsi="Arial"/>
          <w:sz w:val="13"/>
          <w:szCs w:val="13"/>
          <w:color w:val="auto"/>
        </w:rPr>
        <w:t>The Supplier declares and undertakes that its entry into this Agreement and performance of its undertakings hereunder shall not contradict and/or contravene any other undertaking nor breach any other agreement, whether oral or in writing, by the Supplier vis-à-vis any third party whatsoever. The Supplier undertakes that it has all of the licenses or permits required under any law for the purpose of performance of its undertakings under the provisions of this Agreement and inter alia, a business license. The Supplier undertakes to obtain all of the permits and certificates required in the future of the Supplier by any competent authority if so required, under any law, for the purpose of manufacture of the Products in accordance with the provisions of this Agreement and the law, in such a way as not to harm the continued continuous manufacture of the Machines and the parts the subject of this Agreement for the Customer, all in accordance with the provisions of this Agreement.</w:t>
      </w:r>
    </w:p>
    <w:p>
      <w:pPr>
        <w:spacing w:after="0" w:line="157" w:lineRule="exact"/>
        <w:rPr>
          <w:sz w:val="20"/>
          <w:szCs w:val="20"/>
          <w:color w:val="auto"/>
        </w:rPr>
      </w:pPr>
    </w:p>
    <w:p>
      <w:pPr>
        <w:ind w:firstLine="9"/>
        <w:spacing w:after="0" w:line="272" w:lineRule="auto"/>
        <w:tabs>
          <w:tab w:leader="none" w:pos="2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193040</wp:posOffset>
            </wp:positionV>
            <wp:extent cx="7198360"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40"/>
          </w:cols>
          <w:pgMar w:left="280" w:top="753" w:right="279" w:bottom="1440" w:gutter="0" w:footer="0" w:header="0"/>
        </w:sectPr>
      </w:pPr>
    </w:p>
    <w:bookmarkStart w:id="9" w:name="page10"/>
    <w:bookmarkEnd w:id="9"/>
    <w:p>
      <w:pPr>
        <w:ind w:left="531"/>
        <w:spacing w:after="0"/>
        <w:tabs>
          <w:tab w:leader="none" w:pos="1050" w:val="left"/>
        </w:tabs>
        <w:rPr>
          <w:sz w:val="20"/>
          <w:szCs w:val="20"/>
          <w:color w:val="auto"/>
        </w:rPr>
      </w:pPr>
      <w:r>
        <w:rPr>
          <w:rFonts w:ascii="Arial" w:cs="Arial" w:eastAsia="Arial" w:hAnsi="Arial"/>
          <w:sz w:val="15"/>
          <w:szCs w:val="15"/>
          <w:color w:val="auto"/>
        </w:rPr>
        <w:t>3.3.</w:t>
      </w:r>
      <w:r>
        <w:rPr>
          <w:sz w:val="20"/>
          <w:szCs w:val="20"/>
          <w:color w:val="auto"/>
        </w:rPr>
        <w:tab/>
      </w:r>
      <w:r>
        <w:rPr>
          <w:rFonts w:ascii="Arial" w:cs="Arial" w:eastAsia="Arial" w:hAnsi="Arial"/>
          <w:sz w:val="13"/>
          <w:szCs w:val="13"/>
          <w:color w:val="auto"/>
        </w:rPr>
        <w:t>The Supplier declares that it has the economic and financial abilities and the other characteristics required to enable it to perform its undertakings under this Agreement.</w:t>
      </w:r>
    </w:p>
    <w:p>
      <w:pPr>
        <w:spacing w:after="0" w:line="186" w:lineRule="exact"/>
        <w:rPr>
          <w:sz w:val="20"/>
          <w:szCs w:val="20"/>
          <w:color w:val="auto"/>
        </w:rPr>
      </w:pPr>
    </w:p>
    <w:p>
      <w:pPr>
        <w:ind w:left="531"/>
        <w:spacing w:after="0"/>
        <w:tabs>
          <w:tab w:leader="none" w:pos="1050" w:val="left"/>
        </w:tabs>
        <w:rPr>
          <w:sz w:val="20"/>
          <w:szCs w:val="20"/>
          <w:color w:val="auto"/>
        </w:rPr>
      </w:pPr>
      <w:r>
        <w:rPr>
          <w:rFonts w:ascii="Arial" w:cs="Arial" w:eastAsia="Arial" w:hAnsi="Arial"/>
          <w:sz w:val="15"/>
          <w:szCs w:val="15"/>
          <w:color w:val="auto"/>
        </w:rPr>
        <w:t>3.4.</w:t>
      </w:r>
      <w:r>
        <w:rPr>
          <w:sz w:val="20"/>
          <w:szCs w:val="20"/>
          <w:color w:val="auto"/>
        </w:rPr>
        <w:tab/>
      </w:r>
      <w:r>
        <w:rPr>
          <w:rFonts w:ascii="Arial" w:cs="Arial" w:eastAsia="Arial" w:hAnsi="Arial"/>
          <w:sz w:val="13"/>
          <w:szCs w:val="13"/>
          <w:color w:val="auto"/>
        </w:rPr>
        <w:t>The Supplier undertakes to implement an internal quality control process prior to delivery of the Products to the Customer.</w:t>
      </w:r>
    </w:p>
    <w:p>
      <w:pPr>
        <w:spacing w:after="0" w:line="186" w:lineRule="exact"/>
        <w:rPr>
          <w:sz w:val="20"/>
          <w:szCs w:val="20"/>
          <w:color w:val="auto"/>
        </w:rPr>
      </w:pPr>
    </w:p>
    <w:p>
      <w:pPr>
        <w:jc w:val="both"/>
        <w:ind w:left="1071" w:hanging="537"/>
        <w:spacing w:after="0" w:line="253" w:lineRule="auto"/>
        <w:tabs>
          <w:tab w:leader="none" w:pos="1050" w:val="left"/>
        </w:tabs>
        <w:rPr>
          <w:sz w:val="20"/>
          <w:szCs w:val="20"/>
          <w:color w:val="auto"/>
        </w:rPr>
      </w:pPr>
      <w:r>
        <w:rPr>
          <w:rFonts w:ascii="Arial" w:cs="Arial" w:eastAsia="Arial" w:hAnsi="Arial"/>
          <w:sz w:val="15"/>
          <w:szCs w:val="15"/>
          <w:color w:val="auto"/>
        </w:rPr>
        <w:t>3.5.</w:t>
      </w:r>
      <w:r>
        <w:rPr>
          <w:sz w:val="20"/>
          <w:szCs w:val="20"/>
          <w:color w:val="auto"/>
        </w:rPr>
        <w:tab/>
      </w:r>
      <w:r>
        <w:rPr>
          <w:rFonts w:ascii="Arial" w:cs="Arial" w:eastAsia="Arial" w:hAnsi="Arial"/>
          <w:sz w:val="15"/>
          <w:szCs w:val="15"/>
          <w:color w:val="auto"/>
        </w:rPr>
        <w:t>Without derogating from the provisions of this Contract, to the extent set out in the Supplier's undertakings in accordance with the provisions of this Agreement, the Supplier hereby undertakes to act in accordance with all of the laws and/or regulations and/or ordinances and/or orders and/or provisions and/or rules of any law and/or any collective agreement or other labor agreement that may apply to its employees, including, without restriction: with respect to deductions and/or deposits by the Supplier with respect to National Insurance; government health insurance; pension plans; or other remunerations plans of any kind whatsoever; insurance for loss of capacity to work; for the performance of all safety rules. The Supplier hereby expressly declares and agrees that it shall indemnify the Customer for any direct damage that may be caused to the Customer for the breach set out in this section, and the Customer shall not bear any liability and/or responsibility whatsoever in the event that the Supplier does not perform the provisions of this section.</w:t>
      </w:r>
    </w:p>
    <w:p>
      <w:pPr>
        <w:spacing w:after="0" w:line="162" w:lineRule="exact"/>
        <w:rPr>
          <w:sz w:val="20"/>
          <w:szCs w:val="20"/>
          <w:color w:val="auto"/>
        </w:rPr>
      </w:pPr>
    </w:p>
    <w:p>
      <w:pPr>
        <w:jc w:val="both"/>
        <w:ind w:left="1071" w:right="20" w:hanging="537"/>
        <w:spacing w:after="0" w:line="277" w:lineRule="auto"/>
        <w:tabs>
          <w:tab w:leader="none" w:pos="1050" w:val="left"/>
        </w:tabs>
        <w:rPr>
          <w:sz w:val="20"/>
          <w:szCs w:val="20"/>
          <w:color w:val="auto"/>
        </w:rPr>
      </w:pPr>
      <w:r>
        <w:rPr>
          <w:rFonts w:ascii="Arial" w:cs="Arial" w:eastAsia="Arial" w:hAnsi="Arial"/>
          <w:sz w:val="15"/>
          <w:szCs w:val="15"/>
          <w:color w:val="auto"/>
        </w:rPr>
        <w:t>3.6.</w:t>
      </w:r>
      <w:r>
        <w:rPr>
          <w:sz w:val="20"/>
          <w:szCs w:val="20"/>
          <w:color w:val="auto"/>
        </w:rPr>
        <w:tab/>
      </w:r>
      <w:r>
        <w:rPr>
          <w:rFonts w:ascii="Arial" w:cs="Arial" w:eastAsia="Arial" w:hAnsi="Arial"/>
          <w:sz w:val="14"/>
          <w:szCs w:val="14"/>
          <w:color w:val="auto"/>
        </w:rPr>
        <w:t>The Supplier is aware that neither this Contract nor any of the provisions of it shall serve to restrict the Customer from contracting, in such manner and on such conditions and at such time as it may see fit, with any other supplier for the purpose of manufacture of the Products or alternatively, from manufacturing the Products itself. Furthermore, the Customer is aware that this Agreement or any of the provisions hereof shall not serve to restrict the Supplier from contracting, in such manner and on such conditions and at such time as it may see fit, with any third party for the purposes of planning and/or manufacturing and/or constructing any products that are not the Products as defined in this Agreement, for any third party, subject to section 23 (non-competition).</w:t>
      </w:r>
    </w:p>
    <w:p>
      <w:pPr>
        <w:spacing w:after="0" w:line="143" w:lineRule="exact"/>
        <w:rPr>
          <w:sz w:val="20"/>
          <w:szCs w:val="20"/>
          <w:color w:val="auto"/>
        </w:rPr>
      </w:pPr>
    </w:p>
    <w:p>
      <w:pPr>
        <w:ind w:left="531" w:hanging="531"/>
        <w:spacing w:after="0"/>
        <w:tabs>
          <w:tab w:leader="none" w:pos="531" w:val="left"/>
        </w:tabs>
        <w:numPr>
          <w:ilvl w:val="0"/>
          <w:numId w:val="12"/>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Human Resources</w:t>
      </w:r>
    </w:p>
    <w:p>
      <w:pPr>
        <w:spacing w:after="0" w:line="190" w:lineRule="exact"/>
        <w:rPr>
          <w:rFonts w:ascii="Arial" w:cs="Arial" w:eastAsia="Arial" w:hAnsi="Arial"/>
          <w:sz w:val="15"/>
          <w:szCs w:val="15"/>
          <w:b w:val="1"/>
          <w:bCs w:val="1"/>
          <w:color w:val="auto"/>
        </w:rPr>
      </w:pPr>
    </w:p>
    <w:p>
      <w:pPr>
        <w:ind w:left="1071" w:hanging="538"/>
        <w:spacing w:after="0" w:line="272" w:lineRule="auto"/>
        <w:rPr>
          <w:rFonts w:ascii="Arial" w:cs="Arial" w:eastAsia="Arial" w:hAnsi="Arial"/>
          <w:sz w:val="15"/>
          <w:szCs w:val="15"/>
          <w:b w:val="1"/>
          <w:bCs w:val="1"/>
          <w:color w:val="auto"/>
        </w:rPr>
      </w:pPr>
      <w:r>
        <w:rPr>
          <w:rFonts w:ascii="Arial" w:cs="Arial" w:eastAsia="Arial" w:hAnsi="Arial"/>
          <w:sz w:val="15"/>
          <w:szCs w:val="15"/>
          <w:color w:val="auto"/>
        </w:rPr>
        <w:t>4.1.Transition of the system to turn-key manufacture involves the provision of a great deal of technological and operational information from the Customer to the Supplier and therefore, it is very important that the Supplier consolidates and maintains a suitable technological and operational team.</w:t>
      </w:r>
    </w:p>
    <w:p>
      <w:pPr>
        <w:spacing w:after="0" w:line="147" w:lineRule="exact"/>
        <w:rPr>
          <w:sz w:val="20"/>
          <w:szCs w:val="20"/>
          <w:color w:val="auto"/>
        </w:rPr>
      </w:pPr>
    </w:p>
    <w:p>
      <w:pPr>
        <w:ind w:left="1071"/>
        <w:spacing w:after="0"/>
        <w:rPr>
          <w:sz w:val="20"/>
          <w:szCs w:val="20"/>
          <w:color w:val="auto"/>
        </w:rPr>
      </w:pPr>
      <w:r>
        <w:rPr>
          <w:rFonts w:ascii="Arial" w:cs="Arial" w:eastAsia="Arial" w:hAnsi="Arial"/>
          <w:sz w:val="15"/>
          <w:szCs w:val="15"/>
          <w:color w:val="auto"/>
        </w:rPr>
        <w:t>This team shall include:</w:t>
      </w:r>
    </w:p>
    <w:p>
      <w:pPr>
        <w:spacing w:after="0" w:line="186" w:lineRule="exact"/>
        <w:rPr>
          <w:sz w:val="20"/>
          <w:szCs w:val="20"/>
          <w:color w:val="auto"/>
        </w:rPr>
      </w:pPr>
    </w:p>
    <w:p>
      <w:pPr>
        <w:ind w:left="1611" w:hanging="534"/>
        <w:spacing w:after="0"/>
        <w:tabs>
          <w:tab w:leader="none" w:pos="1611" w:val="left"/>
        </w:tabs>
        <w:numPr>
          <w:ilvl w:val="0"/>
          <w:numId w:val="13"/>
        </w:numPr>
        <w:rPr>
          <w:rFonts w:ascii="Arial" w:cs="Arial" w:eastAsia="Arial" w:hAnsi="Arial"/>
          <w:sz w:val="15"/>
          <w:szCs w:val="15"/>
          <w:color w:val="auto"/>
        </w:rPr>
      </w:pPr>
      <w:r>
        <w:rPr>
          <w:rFonts w:ascii="Arial" w:cs="Arial" w:eastAsia="Arial" w:hAnsi="Arial"/>
          <w:sz w:val="15"/>
          <w:szCs w:val="15"/>
          <w:color w:val="auto"/>
        </w:rPr>
        <w:t>A project manager who shall be the commercial and operational Point of Contact (POC).</w:t>
      </w:r>
    </w:p>
    <w:p>
      <w:pPr>
        <w:spacing w:after="0" w:line="186" w:lineRule="exact"/>
        <w:rPr>
          <w:rFonts w:ascii="Arial" w:cs="Arial" w:eastAsia="Arial" w:hAnsi="Arial"/>
          <w:sz w:val="15"/>
          <w:szCs w:val="15"/>
          <w:color w:val="auto"/>
        </w:rPr>
      </w:pPr>
    </w:p>
    <w:p>
      <w:pPr>
        <w:ind w:left="1611" w:hanging="534"/>
        <w:spacing w:after="0"/>
        <w:tabs>
          <w:tab w:leader="none" w:pos="1611" w:val="left"/>
        </w:tabs>
        <w:numPr>
          <w:ilvl w:val="0"/>
          <w:numId w:val="13"/>
        </w:numPr>
        <w:rPr>
          <w:rFonts w:ascii="Arial" w:cs="Arial" w:eastAsia="Arial" w:hAnsi="Arial"/>
          <w:sz w:val="15"/>
          <w:szCs w:val="15"/>
          <w:color w:val="auto"/>
        </w:rPr>
      </w:pPr>
      <w:r>
        <w:rPr>
          <w:rFonts w:ascii="Arial" w:cs="Arial" w:eastAsia="Arial" w:hAnsi="Arial"/>
          <w:sz w:val="15"/>
          <w:szCs w:val="15"/>
          <w:color w:val="auto"/>
        </w:rPr>
        <w:t>A Head of Assembly Team.</w:t>
      </w:r>
    </w:p>
    <w:p>
      <w:pPr>
        <w:spacing w:after="0" w:line="186" w:lineRule="exact"/>
        <w:rPr>
          <w:rFonts w:ascii="Arial" w:cs="Arial" w:eastAsia="Arial" w:hAnsi="Arial"/>
          <w:sz w:val="15"/>
          <w:szCs w:val="15"/>
          <w:color w:val="auto"/>
        </w:rPr>
      </w:pPr>
    </w:p>
    <w:p>
      <w:pPr>
        <w:ind w:left="1611" w:hanging="534"/>
        <w:spacing w:after="0"/>
        <w:tabs>
          <w:tab w:leader="none" w:pos="1611" w:val="left"/>
        </w:tabs>
        <w:numPr>
          <w:ilvl w:val="0"/>
          <w:numId w:val="13"/>
        </w:numPr>
        <w:rPr>
          <w:rFonts w:ascii="Arial" w:cs="Arial" w:eastAsia="Arial" w:hAnsi="Arial"/>
          <w:sz w:val="15"/>
          <w:szCs w:val="15"/>
          <w:color w:val="auto"/>
        </w:rPr>
      </w:pPr>
      <w:r>
        <w:rPr>
          <w:rFonts w:ascii="Arial" w:cs="Arial" w:eastAsia="Arial" w:hAnsi="Arial"/>
          <w:sz w:val="15"/>
          <w:szCs w:val="15"/>
          <w:color w:val="auto"/>
        </w:rPr>
        <w:t>An advisory Engineer from the Engineering Department who will be the POC for all future engineering conduct.</w:t>
      </w:r>
    </w:p>
    <w:p>
      <w:pPr>
        <w:spacing w:after="0" w:line="186" w:lineRule="exact"/>
        <w:rPr>
          <w:rFonts w:ascii="Arial" w:cs="Arial" w:eastAsia="Arial" w:hAnsi="Arial"/>
          <w:sz w:val="15"/>
          <w:szCs w:val="15"/>
          <w:color w:val="auto"/>
        </w:rPr>
      </w:pPr>
    </w:p>
    <w:p>
      <w:pPr>
        <w:ind w:left="1611" w:hanging="534"/>
        <w:spacing w:after="0"/>
        <w:tabs>
          <w:tab w:leader="none" w:pos="1611" w:val="left"/>
        </w:tabs>
        <w:numPr>
          <w:ilvl w:val="0"/>
          <w:numId w:val="13"/>
        </w:numPr>
        <w:rPr>
          <w:rFonts w:ascii="Arial" w:cs="Arial" w:eastAsia="Arial" w:hAnsi="Arial"/>
          <w:sz w:val="15"/>
          <w:szCs w:val="15"/>
          <w:color w:val="auto"/>
        </w:rPr>
      </w:pPr>
      <w:r>
        <w:rPr>
          <w:rFonts w:ascii="Arial" w:cs="Arial" w:eastAsia="Arial" w:hAnsi="Arial"/>
          <w:sz w:val="15"/>
          <w:szCs w:val="15"/>
          <w:color w:val="auto"/>
        </w:rPr>
        <w:t>Quality assurance.</w:t>
      </w:r>
    </w:p>
    <w:p>
      <w:pPr>
        <w:spacing w:after="0" w:line="186" w:lineRule="exact"/>
        <w:rPr>
          <w:sz w:val="20"/>
          <w:szCs w:val="20"/>
          <w:color w:val="auto"/>
        </w:rPr>
      </w:pPr>
    </w:p>
    <w:p>
      <w:pPr>
        <w:ind w:left="1071" w:right="20" w:hanging="537"/>
        <w:spacing w:after="0" w:line="272" w:lineRule="auto"/>
        <w:tabs>
          <w:tab w:leader="none" w:pos="1050" w:val="left"/>
        </w:tabs>
        <w:rPr>
          <w:sz w:val="20"/>
          <w:szCs w:val="20"/>
          <w:color w:val="auto"/>
        </w:rPr>
      </w:pPr>
      <w:r>
        <w:rPr>
          <w:rFonts w:ascii="Arial" w:cs="Arial" w:eastAsia="Arial" w:hAnsi="Arial"/>
          <w:sz w:val="15"/>
          <w:szCs w:val="15"/>
          <w:color w:val="auto"/>
        </w:rPr>
        <w:t>4.2.</w:t>
      </w:r>
      <w:r>
        <w:rPr>
          <w:sz w:val="20"/>
          <w:szCs w:val="20"/>
          <w:color w:val="auto"/>
        </w:rPr>
        <w:tab/>
      </w:r>
      <w:r>
        <w:rPr>
          <w:rFonts w:ascii="Arial" w:cs="Arial" w:eastAsia="Arial" w:hAnsi="Arial"/>
          <w:sz w:val="15"/>
          <w:szCs w:val="15"/>
          <w:color w:val="auto"/>
        </w:rPr>
        <w:t>The Supplier's Human Resources shall be skilled and professional and shall have the qualifications required to manufacture the Products the subject of this Agreement with skill and to a reasonable level.</w:t>
      </w:r>
    </w:p>
    <w:p>
      <w:pPr>
        <w:spacing w:after="0" w:line="170" w:lineRule="exact"/>
        <w:rPr>
          <w:sz w:val="20"/>
          <w:szCs w:val="20"/>
          <w:color w:val="auto"/>
        </w:rPr>
      </w:pPr>
    </w:p>
    <w:p>
      <w:pPr>
        <w:ind w:left="-9" w:firstLine="9"/>
        <w:spacing w:after="0" w:line="272" w:lineRule="auto"/>
        <w:tabs>
          <w:tab w:leader="none" w:pos="252" w:val="left"/>
        </w:tabs>
        <w:numPr>
          <w:ilvl w:val="0"/>
          <w:numId w:val="14"/>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193040</wp:posOffset>
            </wp:positionV>
            <wp:extent cx="7198360"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31"/>
          </w:cols>
          <w:pgMar w:left="289" w:top="757" w:right="279" w:bottom="1440" w:gutter="0" w:footer="0" w:header="0"/>
        </w:sectPr>
      </w:pPr>
    </w:p>
    <w:bookmarkStart w:id="10" w:name="page11"/>
    <w:bookmarkEnd w:id="10"/>
    <w:p>
      <w:pPr>
        <w:ind w:left="531" w:hanging="531"/>
        <w:spacing w:after="0"/>
        <w:tabs>
          <w:tab w:leader="none" w:pos="531" w:val="left"/>
        </w:tabs>
        <w:numPr>
          <w:ilvl w:val="0"/>
          <w:numId w:val="15"/>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Order</w:t>
      </w:r>
    </w:p>
    <w:p>
      <w:pPr>
        <w:spacing w:after="0" w:line="190" w:lineRule="exact"/>
        <w:rPr>
          <w:rFonts w:ascii="Arial" w:cs="Arial" w:eastAsia="Arial" w:hAnsi="Arial"/>
          <w:sz w:val="15"/>
          <w:szCs w:val="15"/>
          <w:b w:val="1"/>
          <w:bCs w:val="1"/>
          <w:color w:val="auto"/>
        </w:rPr>
      </w:pPr>
    </w:p>
    <w:p>
      <w:pPr>
        <w:ind w:left="1071" w:hanging="538"/>
        <w:spacing w:after="0" w:line="298" w:lineRule="auto"/>
        <w:rPr>
          <w:rFonts w:ascii="Arial" w:cs="Arial" w:eastAsia="Arial" w:hAnsi="Arial"/>
          <w:sz w:val="15"/>
          <w:szCs w:val="15"/>
          <w:b w:val="1"/>
          <w:bCs w:val="1"/>
          <w:color w:val="auto"/>
        </w:rPr>
      </w:pPr>
      <w:r>
        <w:rPr>
          <w:rFonts w:ascii="Arial" w:cs="Arial" w:eastAsia="Arial" w:hAnsi="Arial"/>
          <w:sz w:val="15"/>
          <w:szCs w:val="15"/>
          <w:color w:val="auto"/>
        </w:rPr>
        <w:t>5.1.</w:t>
      </w:r>
      <w:r>
        <w:rPr>
          <w:rFonts w:ascii="Arial" w:cs="Arial" w:eastAsia="Arial" w:hAnsi="Arial"/>
          <w:sz w:val="13"/>
          <w:szCs w:val="13"/>
          <w:color w:val="auto"/>
        </w:rPr>
        <w:t>The Customer shall order manufacture of the Products from the Supplier at its discretion. The Customer shall order Products from the Supplier in writing, by dispatch of a written order or email, approved by the Customer's authorized signatory, which shall contain all of the details necessary in order to manufacture the ordered Product, including a Product Tree, BOM, a full Production File and any other information that may be required for the purpose of manufacture of the ordered Product (hereinabove and hereinafter: the “</w:t>
      </w:r>
      <w:r>
        <w:rPr>
          <w:rFonts w:ascii="Arial" w:cs="Arial" w:eastAsia="Arial" w:hAnsi="Arial"/>
          <w:sz w:val="13"/>
          <w:szCs w:val="13"/>
          <w:b w:val="1"/>
          <w:bCs w:val="1"/>
          <w:color w:val="auto"/>
        </w:rPr>
        <w:t>Order</w:t>
      </w:r>
      <w:r>
        <w:rPr>
          <w:rFonts w:ascii="Arial" w:cs="Arial" w:eastAsia="Arial" w:hAnsi="Arial"/>
          <w:sz w:val="13"/>
          <w:szCs w:val="13"/>
          <w:color w:val="auto"/>
        </w:rPr>
        <w:t xml:space="preserve">”). The Supplier shall confirm receipt of the Order, in the event that it complies with the conditions of the Contract, by email, within five (5) business days of the date of receipt thereof. Confirmation of receipt of the Order shall not constitute confirmation of the dates of supply, which shall be agreed upon by the Parties. </w:t>
      </w:r>
      <w:r>
        <w:rPr>
          <w:rFonts w:ascii="Arial" w:cs="Arial" w:eastAsia="Arial" w:hAnsi="Arial"/>
          <w:sz w:val="13"/>
          <w:szCs w:val="13"/>
          <w:u w:val="single" w:color="auto"/>
          <w:color w:val="auto"/>
        </w:rPr>
        <w:t>The Orders shall be delivered to the Supplier at least [***] months prior to the date of Supply (the requisite Lead Time)</w:t>
      </w:r>
      <w:r>
        <w:rPr>
          <w:rFonts w:ascii="Arial" w:cs="Arial" w:eastAsia="Arial" w:hAnsi="Arial"/>
          <w:sz w:val="13"/>
          <w:szCs w:val="13"/>
          <w:color w:val="auto"/>
        </w:rPr>
        <w:t>. The Supplier is required to manufacture the Products in the quantities and within the times required in accordance with the Production Orders, subject to the provisions of this Agreement.</w:t>
      </w:r>
    </w:p>
    <w:p>
      <w:pPr>
        <w:spacing w:after="0" w:line="135" w:lineRule="exact"/>
        <w:rPr>
          <w:rFonts w:ascii="Arial" w:cs="Arial" w:eastAsia="Arial" w:hAnsi="Arial"/>
          <w:sz w:val="15"/>
          <w:szCs w:val="15"/>
          <w:b w:val="1"/>
          <w:bCs w:val="1"/>
          <w:color w:val="auto"/>
        </w:rPr>
      </w:pPr>
    </w:p>
    <w:p>
      <w:pPr>
        <w:ind w:left="1071" w:hanging="538"/>
        <w:spacing w:after="0" w:line="261" w:lineRule="auto"/>
        <w:rPr>
          <w:rFonts w:ascii="Arial" w:cs="Arial" w:eastAsia="Arial" w:hAnsi="Arial"/>
          <w:sz w:val="15"/>
          <w:szCs w:val="15"/>
          <w:b w:val="1"/>
          <w:bCs w:val="1"/>
          <w:color w:val="auto"/>
        </w:rPr>
      </w:pPr>
      <w:r>
        <w:rPr>
          <w:rFonts w:ascii="Arial" w:cs="Arial" w:eastAsia="Arial" w:hAnsi="Arial"/>
          <w:sz w:val="15"/>
          <w:szCs w:val="15"/>
          <w:color w:val="auto"/>
        </w:rPr>
        <w:t>5.2.Lead Time – the Supplier shall supply the Order within 20 business days after receipt of the component with the longest supply time, and all subject to the performance of all of the Customer's undertakings under the provisions of this Agreement. The Customer agrees that the Lead Time may be extended in accordance with the list of suppliers (AVL) with whom the Supplier is required to work in accordance with the Customer's instructions.</w:t>
      </w:r>
    </w:p>
    <w:p>
      <w:pPr>
        <w:spacing w:after="0" w:line="154" w:lineRule="exact"/>
        <w:rPr>
          <w:rFonts w:ascii="Arial" w:cs="Arial" w:eastAsia="Arial" w:hAnsi="Arial"/>
          <w:sz w:val="15"/>
          <w:szCs w:val="15"/>
          <w:b w:val="1"/>
          <w:bCs w:val="1"/>
          <w:color w:val="auto"/>
        </w:rPr>
      </w:pPr>
    </w:p>
    <w:p>
      <w:pPr>
        <w:ind w:left="1071" w:right="20" w:hanging="538"/>
        <w:spacing w:after="0" w:line="261" w:lineRule="auto"/>
        <w:rPr>
          <w:rFonts w:ascii="Arial" w:cs="Arial" w:eastAsia="Arial" w:hAnsi="Arial"/>
          <w:sz w:val="15"/>
          <w:szCs w:val="15"/>
          <w:b w:val="1"/>
          <w:bCs w:val="1"/>
          <w:color w:val="auto"/>
        </w:rPr>
      </w:pPr>
      <w:r>
        <w:rPr>
          <w:rFonts w:ascii="Arial" w:cs="Arial" w:eastAsia="Arial" w:hAnsi="Arial"/>
          <w:sz w:val="15"/>
          <w:szCs w:val="15"/>
          <w:color w:val="auto"/>
        </w:rPr>
        <w:t>5.3.Forecast of Production Orders. The Customer shall provide the Supplier with the forecast of Orders for the subsequent year, not later than the end of November of each calendar year, and shall update such forecast from time to time. The Order forecast shall not bind the Parties and shall be used for the Supplier's planning purposes only. The forecast shall be for the sake of indication only, and shall not bind the Parties. Only actual Orders shall be binding.</w:t>
      </w:r>
    </w:p>
    <w:p>
      <w:pPr>
        <w:spacing w:after="0" w:line="154" w:lineRule="exact"/>
        <w:rPr>
          <w:rFonts w:ascii="Arial" w:cs="Arial" w:eastAsia="Arial" w:hAnsi="Arial"/>
          <w:sz w:val="15"/>
          <w:szCs w:val="15"/>
          <w:b w:val="1"/>
          <w:bCs w:val="1"/>
          <w:color w:val="auto"/>
        </w:rPr>
      </w:pPr>
    </w:p>
    <w:p>
      <w:pPr>
        <w:ind w:left="1071" w:hanging="538"/>
        <w:spacing w:after="0" w:line="257" w:lineRule="auto"/>
        <w:rPr>
          <w:rFonts w:ascii="Arial" w:cs="Arial" w:eastAsia="Arial" w:hAnsi="Arial"/>
          <w:sz w:val="15"/>
          <w:szCs w:val="15"/>
          <w:b w:val="1"/>
          <w:bCs w:val="1"/>
          <w:color w:val="auto"/>
        </w:rPr>
      </w:pPr>
      <w:r>
        <w:rPr>
          <w:rFonts w:ascii="Arial" w:cs="Arial" w:eastAsia="Arial" w:hAnsi="Arial"/>
          <w:sz w:val="15"/>
          <w:szCs w:val="15"/>
          <w:color w:val="auto"/>
        </w:rPr>
        <w:t>5.4.It is agreed that the provisions of this Agreement shall apply to any Production Order issued by the Customer to the Supplier for supply of the Products, whether the Production Order contains an express reference to this Agreement, or not. In the event of a contradiction between the provisions of this Agreement and the provisions of the Production Order, the provisions of this Agreement shall prevail unless the Production Order specifically states that a specific provision shall prevail over the provisions of this Agreement, and the Production Order is signed by both Parties.</w:t>
      </w:r>
    </w:p>
    <w:p>
      <w:pPr>
        <w:spacing w:after="0" w:line="154" w:lineRule="exact"/>
        <w:rPr>
          <w:rFonts w:ascii="Arial" w:cs="Arial" w:eastAsia="Arial" w:hAnsi="Arial"/>
          <w:sz w:val="15"/>
          <w:szCs w:val="15"/>
          <w:b w:val="1"/>
          <w:bCs w:val="1"/>
          <w:color w:val="auto"/>
        </w:rPr>
      </w:pPr>
    </w:p>
    <w:p>
      <w:pPr>
        <w:ind w:left="531" w:hanging="531"/>
        <w:spacing w:after="0"/>
        <w:tabs>
          <w:tab w:leader="none" w:pos="531" w:val="left"/>
        </w:tabs>
        <w:numPr>
          <w:ilvl w:val="0"/>
          <w:numId w:val="15"/>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Security Inventory</w:t>
      </w:r>
    </w:p>
    <w:p>
      <w:pPr>
        <w:spacing w:after="0" w:line="190" w:lineRule="exact"/>
        <w:rPr>
          <w:rFonts w:ascii="Arial" w:cs="Arial" w:eastAsia="Arial" w:hAnsi="Arial"/>
          <w:sz w:val="15"/>
          <w:szCs w:val="15"/>
          <w:b w:val="1"/>
          <w:bCs w:val="1"/>
          <w:color w:val="auto"/>
        </w:rPr>
      </w:pPr>
    </w:p>
    <w:p>
      <w:pPr>
        <w:ind w:left="1071" w:hanging="538"/>
        <w:spacing w:after="0" w:line="273" w:lineRule="auto"/>
        <w:rPr>
          <w:rFonts w:ascii="Arial" w:cs="Arial" w:eastAsia="Arial" w:hAnsi="Arial"/>
          <w:sz w:val="15"/>
          <w:szCs w:val="15"/>
          <w:b w:val="1"/>
          <w:bCs w:val="1"/>
          <w:color w:val="auto"/>
        </w:rPr>
      </w:pPr>
      <w:r>
        <w:rPr>
          <w:rFonts w:ascii="Arial" w:cs="Arial" w:eastAsia="Arial" w:hAnsi="Arial"/>
          <w:sz w:val="15"/>
          <w:szCs w:val="15"/>
          <w:color w:val="auto"/>
        </w:rPr>
        <w:t>6.1.</w:t>
      </w:r>
      <w:r>
        <w:rPr>
          <w:rFonts w:ascii="Arial" w:cs="Arial" w:eastAsia="Arial" w:hAnsi="Arial"/>
          <w:sz w:val="14"/>
          <w:szCs w:val="14"/>
          <w:color w:val="auto"/>
        </w:rPr>
        <w:t>The Supplier is responsible for purchasing the raw materials in the quantity and quality sufficient for the performance of the Production Order. The Supplier shall keep security inventory for the raw material suppliers in accordance with the Customer's instructions and subject to a cover order received from the Customer, and subject to the effecting of the required payment by the Customer to the Supplier for the cover order. The Supplier undertakes to warn the Customer of any significant lack (known to it) of raw materials immediately upon becoming aware of such. Any change in any raw material shall require the prior written consent of the Customer and shall only be made after the successful completion of manufacture of the Product experimentally, using the raw material. The Customer may give notice to the Supplier that it will itself, and at its own expense, manage the security inventory directly with the raw material suppliers, and in such a case, the Customer waives any claim and/or suit and/or demand against the Supplier originating in and/or relating to and/or connected with management of the security inventory, and in such a case, the Supplier shall be required to receive the Customer's consent in order to make use of the security inventory.</w:t>
      </w:r>
    </w:p>
    <w:p>
      <w:pPr>
        <w:spacing w:after="0" w:line="172" w:lineRule="exact"/>
        <w:rPr>
          <w:sz w:val="20"/>
          <w:szCs w:val="20"/>
          <w:color w:val="auto"/>
        </w:rPr>
      </w:pPr>
    </w:p>
    <w:p>
      <w:pPr>
        <w:ind w:left="-9" w:firstLine="9"/>
        <w:spacing w:after="0" w:line="272" w:lineRule="auto"/>
        <w:tabs>
          <w:tab w:leader="none" w:pos="252" w:val="left"/>
        </w:tabs>
        <w:numPr>
          <w:ilvl w:val="0"/>
          <w:numId w:val="16"/>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193040</wp:posOffset>
            </wp:positionV>
            <wp:extent cx="7198360"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31"/>
          </w:cols>
          <w:pgMar w:left="289" w:top="753" w:right="279" w:bottom="1440" w:gutter="0" w:footer="0" w:header="0"/>
        </w:sectPr>
      </w:pPr>
    </w:p>
    <w:bookmarkStart w:id="11" w:name="page12"/>
    <w:bookmarkEnd w:id="11"/>
    <w:p>
      <w:pPr>
        <w:jc w:val="both"/>
        <w:ind w:left="1071" w:hanging="537"/>
        <w:spacing w:after="0" w:line="254" w:lineRule="auto"/>
        <w:tabs>
          <w:tab w:leader="none" w:pos="1050" w:val="left"/>
        </w:tabs>
        <w:rPr>
          <w:sz w:val="20"/>
          <w:szCs w:val="20"/>
          <w:color w:val="auto"/>
        </w:rPr>
      </w:pPr>
      <w:r>
        <w:rPr>
          <w:rFonts w:ascii="Arial" w:cs="Arial" w:eastAsia="Arial" w:hAnsi="Arial"/>
          <w:sz w:val="15"/>
          <w:szCs w:val="15"/>
          <w:color w:val="auto"/>
        </w:rPr>
        <w:t>6.2.</w:t>
      </w:r>
      <w:r>
        <w:rPr>
          <w:sz w:val="20"/>
          <w:szCs w:val="20"/>
          <w:color w:val="auto"/>
        </w:rPr>
        <w:tab/>
      </w:r>
      <w:r>
        <w:rPr>
          <w:rFonts w:ascii="Arial" w:cs="Arial" w:eastAsia="Arial" w:hAnsi="Arial"/>
          <w:sz w:val="15"/>
          <w:szCs w:val="15"/>
          <w:color w:val="auto"/>
        </w:rPr>
        <w:t>Inventory imported from ITS China in accordance with the AVL – the Supplier undertakes to maintain security inventory in Israel subject to a cover order for withdrawal which shall be provided by the Customer, and subject to the making of the requisite payment by the Customer to the Supplier for such cover order, at the end of one year after the date of the order, beyond the Order for the Machines. For the avoidance of doubt, the Customer undertakes to purchase the aforesaid security inventory at the price and on the payment conditions set out in such cover order, in the event that the Supplier and/or the Customer do not use the inventory imported from ITS China prior to one year after the date of order of it. The Customer shall be entitled to give notice to the Supplier, in writing, to use the existing security inventory and not to add any additional inventory, all at the Customer's liability.</w:t>
      </w:r>
    </w:p>
    <w:p>
      <w:pPr>
        <w:spacing w:after="0" w:line="161" w:lineRule="exact"/>
        <w:rPr>
          <w:sz w:val="20"/>
          <w:szCs w:val="20"/>
          <w:color w:val="auto"/>
        </w:rPr>
      </w:pPr>
    </w:p>
    <w:p>
      <w:pPr>
        <w:ind w:left="531"/>
        <w:spacing w:after="0"/>
        <w:tabs>
          <w:tab w:leader="none" w:pos="1050" w:val="left"/>
        </w:tabs>
        <w:rPr>
          <w:sz w:val="20"/>
          <w:szCs w:val="20"/>
          <w:color w:val="auto"/>
        </w:rPr>
      </w:pPr>
      <w:r>
        <w:rPr>
          <w:rFonts w:ascii="Arial" w:cs="Arial" w:eastAsia="Arial" w:hAnsi="Arial"/>
          <w:sz w:val="15"/>
          <w:szCs w:val="15"/>
          <w:color w:val="auto"/>
        </w:rPr>
        <w:t>6.3.</w:t>
      </w:r>
      <w:r>
        <w:rPr>
          <w:sz w:val="20"/>
          <w:szCs w:val="20"/>
          <w:color w:val="auto"/>
        </w:rPr>
        <w:tab/>
      </w:r>
      <w:r>
        <w:rPr>
          <w:rFonts w:ascii="Arial" w:cs="Arial" w:eastAsia="Arial" w:hAnsi="Arial"/>
          <w:sz w:val="14"/>
          <w:szCs w:val="14"/>
          <w:color w:val="auto"/>
        </w:rPr>
        <w:t>The Customer may define a list of LLI items which the Supplier must keep in stock in order to shorten the Lead Time, including a number of units of each such item.</w:t>
      </w:r>
    </w:p>
    <w:p>
      <w:pPr>
        <w:spacing w:after="0" w:line="17" w:lineRule="exact"/>
        <w:rPr>
          <w:sz w:val="20"/>
          <w:szCs w:val="20"/>
          <w:color w:val="auto"/>
        </w:rPr>
      </w:pPr>
    </w:p>
    <w:p>
      <w:pPr>
        <w:ind w:left="1071"/>
        <w:spacing w:after="0"/>
        <w:rPr>
          <w:sz w:val="20"/>
          <w:szCs w:val="20"/>
          <w:color w:val="auto"/>
        </w:rPr>
      </w:pPr>
      <w:r>
        <w:rPr>
          <w:rFonts w:ascii="Arial" w:cs="Arial" w:eastAsia="Arial" w:hAnsi="Arial"/>
          <w:sz w:val="14"/>
          <w:szCs w:val="14"/>
          <w:color w:val="auto"/>
        </w:rPr>
        <w:t>Upon receipt of LLI items and/or any part thereof in the Supplier's Warehouse, the Customer shall pay the Supplier the price of such items (as appearing in the BOM).</w:t>
      </w:r>
    </w:p>
    <w:p>
      <w:pPr>
        <w:spacing w:after="0" w:line="184" w:lineRule="exact"/>
        <w:rPr>
          <w:sz w:val="20"/>
          <w:szCs w:val="20"/>
          <w:color w:val="auto"/>
        </w:rPr>
      </w:pPr>
    </w:p>
    <w:p>
      <w:pPr>
        <w:ind w:left="531" w:hanging="531"/>
        <w:spacing w:after="0"/>
        <w:tabs>
          <w:tab w:leader="none" w:pos="531" w:val="left"/>
        </w:tabs>
        <w:numPr>
          <w:ilvl w:val="0"/>
          <w:numId w:val="1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Production and Assembly</w:t>
      </w:r>
    </w:p>
    <w:p>
      <w:pPr>
        <w:spacing w:after="0" w:line="186" w:lineRule="exact"/>
        <w:rPr>
          <w:rFonts w:ascii="Arial" w:cs="Arial" w:eastAsia="Arial" w:hAnsi="Arial"/>
          <w:sz w:val="15"/>
          <w:szCs w:val="15"/>
          <w:b w:val="1"/>
          <w:bCs w:val="1"/>
          <w:color w:val="auto"/>
        </w:rPr>
      </w:pPr>
    </w:p>
    <w:p>
      <w:pPr>
        <w:ind w:left="1071" w:right="20" w:hanging="538"/>
        <w:spacing w:after="0" w:line="264" w:lineRule="auto"/>
        <w:rPr>
          <w:rFonts w:ascii="Arial" w:cs="Arial" w:eastAsia="Arial" w:hAnsi="Arial"/>
          <w:sz w:val="15"/>
          <w:szCs w:val="15"/>
          <w:b w:val="1"/>
          <w:bCs w:val="1"/>
          <w:color w:val="auto"/>
        </w:rPr>
      </w:pPr>
      <w:r>
        <w:rPr>
          <w:rFonts w:ascii="Arial" w:cs="Arial" w:eastAsia="Arial" w:hAnsi="Arial"/>
          <w:sz w:val="15"/>
          <w:szCs w:val="15"/>
          <w:color w:val="auto"/>
        </w:rPr>
        <w:t>7.1.Production of the parts and the items manufactured exclusively for the Customer that are not shelf items (hereinafter: “</w:t>
      </w:r>
      <w:r>
        <w:rPr>
          <w:rFonts w:ascii="Arial" w:cs="Arial" w:eastAsia="Arial" w:hAnsi="Arial"/>
          <w:sz w:val="15"/>
          <w:szCs w:val="15"/>
          <w:b w:val="1"/>
          <w:bCs w:val="1"/>
          <w:color w:val="auto"/>
        </w:rPr>
        <w:t>Make Items</w:t>
      </w:r>
      <w:r>
        <w:rPr>
          <w:rFonts w:ascii="Arial" w:cs="Arial" w:eastAsia="Arial" w:hAnsi="Arial"/>
          <w:sz w:val="15"/>
          <w:szCs w:val="15"/>
          <w:color w:val="auto"/>
        </w:rPr>
        <w:t>”) shall be effected in accordance with the Customer's sketch that is contained in the Product File. The Machines shall be assembled in accordance with the assembly instructions that will be provided by the Customer in writing as part of the Production File on the date of provision of the Production File to the Supplier.</w:t>
      </w:r>
    </w:p>
    <w:p>
      <w:pPr>
        <w:spacing w:after="0" w:line="152" w:lineRule="exact"/>
        <w:rPr>
          <w:rFonts w:ascii="Arial" w:cs="Arial" w:eastAsia="Arial" w:hAnsi="Arial"/>
          <w:sz w:val="15"/>
          <w:szCs w:val="15"/>
          <w:b w:val="1"/>
          <w:bCs w:val="1"/>
          <w:color w:val="auto"/>
        </w:rPr>
      </w:pPr>
    </w:p>
    <w:p>
      <w:pPr>
        <w:ind w:left="1071" w:right="20" w:hanging="538"/>
        <w:spacing w:after="0" w:line="261" w:lineRule="auto"/>
        <w:rPr>
          <w:rFonts w:ascii="Arial" w:cs="Arial" w:eastAsia="Arial" w:hAnsi="Arial"/>
          <w:sz w:val="15"/>
          <w:szCs w:val="15"/>
          <w:b w:val="1"/>
          <w:bCs w:val="1"/>
          <w:color w:val="auto"/>
        </w:rPr>
      </w:pPr>
      <w:r>
        <w:rPr>
          <w:rFonts w:ascii="Arial" w:cs="Arial" w:eastAsia="Arial" w:hAnsi="Arial"/>
          <w:sz w:val="15"/>
          <w:szCs w:val="15"/>
          <w:color w:val="auto"/>
        </w:rPr>
        <w:t>7.2.The Machines shall only be assembled by a team that has undergone training by the Supplier and that has received a certificate of authorization from the Supplier's Quality Assurance Unit. The Supplier shall be responsible for authorizing the assembly team and for issuing an appropriate certificate for them. The Customer's Engineering Department Director shall receive a report of employees so authorized, upon demand.</w:t>
      </w:r>
    </w:p>
    <w:p>
      <w:pPr>
        <w:spacing w:after="0" w:line="154" w:lineRule="exact"/>
        <w:rPr>
          <w:rFonts w:ascii="Arial" w:cs="Arial" w:eastAsia="Arial" w:hAnsi="Arial"/>
          <w:sz w:val="15"/>
          <w:szCs w:val="15"/>
          <w:b w:val="1"/>
          <w:bCs w:val="1"/>
          <w:color w:val="auto"/>
        </w:rPr>
      </w:pPr>
    </w:p>
    <w:p>
      <w:pPr>
        <w:ind w:left="1071" w:hanging="538"/>
        <w:spacing w:after="0" w:line="272" w:lineRule="auto"/>
        <w:rPr>
          <w:rFonts w:ascii="Arial" w:cs="Arial" w:eastAsia="Arial" w:hAnsi="Arial"/>
          <w:sz w:val="15"/>
          <w:szCs w:val="15"/>
          <w:b w:val="1"/>
          <w:bCs w:val="1"/>
          <w:color w:val="auto"/>
        </w:rPr>
      </w:pPr>
      <w:r>
        <w:rPr>
          <w:rFonts w:ascii="Arial" w:cs="Arial" w:eastAsia="Arial" w:hAnsi="Arial"/>
          <w:sz w:val="15"/>
          <w:szCs w:val="15"/>
          <w:color w:val="auto"/>
        </w:rPr>
        <w:t>7.3.Machines shall be supplied in accordance with the integration procedures and ATP, which shall be defined by the Customer, and which shall be delivered to the Supplier in writing as part of the Production File.</w:t>
      </w:r>
    </w:p>
    <w:p>
      <w:pPr>
        <w:spacing w:after="0" w:line="147" w:lineRule="exact"/>
        <w:rPr>
          <w:rFonts w:ascii="Arial" w:cs="Arial" w:eastAsia="Arial" w:hAnsi="Arial"/>
          <w:sz w:val="15"/>
          <w:szCs w:val="15"/>
          <w:b w:val="1"/>
          <w:bCs w:val="1"/>
          <w:color w:val="auto"/>
        </w:rPr>
      </w:pPr>
    </w:p>
    <w:p>
      <w:pPr>
        <w:ind w:left="531"/>
        <w:spacing w:after="0"/>
        <w:rPr>
          <w:rFonts w:ascii="Arial" w:cs="Arial" w:eastAsia="Arial" w:hAnsi="Arial"/>
          <w:sz w:val="15"/>
          <w:szCs w:val="15"/>
          <w:b w:val="1"/>
          <w:bCs w:val="1"/>
          <w:color w:val="auto"/>
        </w:rPr>
      </w:pPr>
      <w:r>
        <w:rPr>
          <w:rFonts w:ascii="Arial" w:cs="Arial" w:eastAsia="Arial" w:hAnsi="Arial"/>
          <w:sz w:val="15"/>
          <w:szCs w:val="15"/>
          <w:color w:val="auto"/>
        </w:rPr>
        <w:t>7.4.</w:t>
      </w:r>
      <w:r>
        <w:rPr>
          <w:rFonts w:ascii="Arial" w:cs="Arial" w:eastAsia="Arial" w:hAnsi="Arial"/>
          <w:sz w:val="13"/>
          <w:szCs w:val="13"/>
          <w:color w:val="auto"/>
        </w:rPr>
        <w:t>The Supplier shall be responsible for ensuring that the assembly area is in good order in accordance with the scope of production.</w:t>
      </w:r>
    </w:p>
    <w:p>
      <w:pPr>
        <w:spacing w:after="0" w:line="186" w:lineRule="exact"/>
        <w:rPr>
          <w:rFonts w:ascii="Arial" w:cs="Arial" w:eastAsia="Arial" w:hAnsi="Arial"/>
          <w:sz w:val="15"/>
          <w:szCs w:val="15"/>
          <w:b w:val="1"/>
          <w:bCs w:val="1"/>
          <w:color w:val="auto"/>
        </w:rPr>
      </w:pPr>
    </w:p>
    <w:p>
      <w:pPr>
        <w:ind w:left="531"/>
        <w:spacing w:after="0"/>
        <w:rPr>
          <w:rFonts w:ascii="Arial" w:cs="Arial" w:eastAsia="Arial" w:hAnsi="Arial"/>
          <w:sz w:val="15"/>
          <w:szCs w:val="15"/>
          <w:b w:val="1"/>
          <w:bCs w:val="1"/>
          <w:color w:val="auto"/>
        </w:rPr>
      </w:pPr>
      <w:r>
        <w:rPr>
          <w:rFonts w:ascii="Arial" w:cs="Arial" w:eastAsia="Arial" w:hAnsi="Arial"/>
          <w:sz w:val="15"/>
          <w:szCs w:val="15"/>
          <w:color w:val="auto"/>
        </w:rPr>
        <w:t>7.5.</w:t>
      </w:r>
      <w:r>
        <w:rPr>
          <w:rFonts w:ascii="Arial" w:cs="Arial" w:eastAsia="Arial" w:hAnsi="Arial"/>
          <w:sz w:val="13"/>
          <w:szCs w:val="13"/>
          <w:color w:val="auto"/>
        </w:rPr>
        <w:t>All of the equipment assembled shall be stored under a roof.</w:t>
      </w:r>
    </w:p>
    <w:p>
      <w:pPr>
        <w:spacing w:after="0" w:line="182" w:lineRule="exact"/>
        <w:rPr>
          <w:rFonts w:ascii="Arial" w:cs="Arial" w:eastAsia="Arial" w:hAnsi="Arial"/>
          <w:sz w:val="15"/>
          <w:szCs w:val="15"/>
          <w:b w:val="1"/>
          <w:bCs w:val="1"/>
          <w:color w:val="auto"/>
        </w:rPr>
      </w:pPr>
    </w:p>
    <w:p>
      <w:pPr>
        <w:ind w:left="531" w:hanging="531"/>
        <w:spacing w:after="0"/>
        <w:tabs>
          <w:tab w:leader="none" w:pos="531" w:val="left"/>
        </w:tabs>
        <w:numPr>
          <w:ilvl w:val="0"/>
          <w:numId w:val="1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Reports</w:t>
      </w:r>
    </w:p>
    <w:p>
      <w:pPr>
        <w:spacing w:after="0" w:line="190" w:lineRule="exact"/>
        <w:rPr>
          <w:rFonts w:ascii="Arial" w:cs="Arial" w:eastAsia="Arial" w:hAnsi="Arial"/>
          <w:sz w:val="15"/>
          <w:szCs w:val="15"/>
          <w:b w:val="1"/>
          <w:bCs w:val="1"/>
          <w:color w:val="auto"/>
        </w:rPr>
      </w:pPr>
    </w:p>
    <w:p>
      <w:pPr>
        <w:ind w:left="1071" w:hanging="538"/>
        <w:spacing w:after="0" w:line="261" w:lineRule="auto"/>
        <w:rPr>
          <w:rFonts w:ascii="Arial" w:cs="Arial" w:eastAsia="Arial" w:hAnsi="Arial"/>
          <w:sz w:val="15"/>
          <w:szCs w:val="15"/>
          <w:b w:val="1"/>
          <w:bCs w:val="1"/>
          <w:color w:val="auto"/>
        </w:rPr>
      </w:pPr>
      <w:r>
        <w:rPr>
          <w:rFonts w:ascii="Arial" w:cs="Arial" w:eastAsia="Arial" w:hAnsi="Arial"/>
          <w:sz w:val="15"/>
          <w:szCs w:val="15"/>
          <w:color w:val="auto"/>
        </w:rPr>
        <w:t>8.1.At the written request of the Customer, within two days of the date of such request, a production and supply plan status report shall be provided to the Customer which shall be prepared and updated by the Supplier from time to time in accordance with the progress of work on the Product by the Project Manager. In addition, within seven days of the date of the request, a report of deficiencies shall be provided.</w:t>
      </w:r>
    </w:p>
    <w:p>
      <w:pPr>
        <w:spacing w:after="0" w:line="155" w:lineRule="exact"/>
        <w:rPr>
          <w:sz w:val="20"/>
          <w:szCs w:val="20"/>
          <w:color w:val="auto"/>
        </w:rPr>
      </w:pPr>
    </w:p>
    <w:p>
      <w:pPr>
        <w:ind w:left="-9" w:firstLine="9"/>
        <w:spacing w:after="0" w:line="272" w:lineRule="auto"/>
        <w:tabs>
          <w:tab w:leader="none" w:pos="252" w:val="left"/>
        </w:tabs>
        <w:numPr>
          <w:ilvl w:val="0"/>
          <w:numId w:val="18"/>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193040</wp:posOffset>
            </wp:positionV>
            <wp:extent cx="7198360"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31"/>
          </w:cols>
          <w:pgMar w:left="289" w:top="757" w:right="279" w:bottom="1440" w:gutter="0" w:footer="0" w:header="0"/>
        </w:sectPr>
      </w:pPr>
    </w:p>
    <w:bookmarkStart w:id="12" w:name="page13"/>
    <w:bookmarkEnd w:id="12"/>
    <w:p>
      <w:pPr>
        <w:jc w:val="both"/>
        <w:ind w:left="1071" w:hanging="537"/>
        <w:spacing w:after="0" w:line="272" w:lineRule="auto"/>
        <w:tabs>
          <w:tab w:leader="none" w:pos="1050" w:val="left"/>
        </w:tabs>
        <w:rPr>
          <w:sz w:val="20"/>
          <w:szCs w:val="20"/>
          <w:color w:val="auto"/>
        </w:rPr>
      </w:pPr>
      <w:r>
        <w:rPr>
          <w:rFonts w:ascii="Arial" w:cs="Arial" w:eastAsia="Arial" w:hAnsi="Arial"/>
          <w:sz w:val="15"/>
          <w:szCs w:val="15"/>
          <w:color w:val="auto"/>
        </w:rPr>
        <w:t>8.2.</w:t>
      </w:r>
      <w:r>
        <w:rPr>
          <w:sz w:val="20"/>
          <w:szCs w:val="20"/>
          <w:color w:val="auto"/>
        </w:rPr>
        <w:tab/>
      </w:r>
      <w:r>
        <w:rPr>
          <w:rFonts w:ascii="Arial" w:cs="Arial" w:eastAsia="Arial" w:hAnsi="Arial"/>
          <w:sz w:val="15"/>
          <w:szCs w:val="15"/>
          <w:color w:val="auto"/>
        </w:rPr>
        <w:t>At the Customer's request, the Supplier shall supply a stocktake report to the Customer of components belonging to the Customer which are in the Supplier's warehouses, once every quarter.</w:t>
      </w:r>
    </w:p>
    <w:p>
      <w:pPr>
        <w:spacing w:after="0" w:line="147" w:lineRule="exact"/>
        <w:rPr>
          <w:sz w:val="20"/>
          <w:szCs w:val="20"/>
          <w:color w:val="auto"/>
        </w:rPr>
      </w:pPr>
    </w:p>
    <w:p>
      <w:pPr>
        <w:jc w:val="both"/>
        <w:ind w:left="1071" w:right="20" w:hanging="537"/>
        <w:spacing w:after="0" w:line="272" w:lineRule="auto"/>
        <w:tabs>
          <w:tab w:leader="none" w:pos="1050" w:val="left"/>
        </w:tabs>
        <w:rPr>
          <w:sz w:val="20"/>
          <w:szCs w:val="20"/>
          <w:color w:val="auto"/>
        </w:rPr>
      </w:pPr>
      <w:r>
        <w:rPr>
          <w:rFonts w:ascii="Arial" w:cs="Arial" w:eastAsia="Arial" w:hAnsi="Arial"/>
          <w:sz w:val="15"/>
          <w:szCs w:val="15"/>
          <w:color w:val="auto"/>
        </w:rPr>
        <w:t>8.3.</w:t>
      </w:r>
      <w:r>
        <w:rPr>
          <w:sz w:val="20"/>
          <w:szCs w:val="20"/>
          <w:color w:val="auto"/>
        </w:rPr>
        <w:tab/>
      </w:r>
      <w:r>
        <w:rPr>
          <w:rFonts w:ascii="Arial" w:cs="Arial" w:eastAsia="Arial" w:hAnsi="Arial"/>
          <w:sz w:val="15"/>
          <w:szCs w:val="15"/>
          <w:color w:val="auto"/>
        </w:rPr>
        <w:t>At the Customer's request, within seven (7) days of the date of such request, the Supplier shall provide a stocktake report to the Customer of the printer heads (contained in the BOM) of Products ordered by the Customer which are in the Supplier's warehouses, once a month.</w:t>
      </w:r>
    </w:p>
    <w:p>
      <w:pPr>
        <w:spacing w:after="0" w:line="147" w:lineRule="exact"/>
        <w:rPr>
          <w:sz w:val="20"/>
          <w:szCs w:val="20"/>
          <w:color w:val="auto"/>
        </w:rPr>
      </w:pPr>
    </w:p>
    <w:p>
      <w:pPr>
        <w:jc w:val="both"/>
        <w:ind w:left="1071" w:hanging="537"/>
        <w:spacing w:after="0" w:line="255" w:lineRule="auto"/>
        <w:tabs>
          <w:tab w:leader="none" w:pos="1050" w:val="left"/>
        </w:tabs>
        <w:rPr>
          <w:sz w:val="20"/>
          <w:szCs w:val="20"/>
          <w:color w:val="auto"/>
        </w:rPr>
      </w:pPr>
      <w:r>
        <w:rPr>
          <w:rFonts w:ascii="Arial" w:cs="Arial" w:eastAsia="Arial" w:hAnsi="Arial"/>
          <w:sz w:val="15"/>
          <w:szCs w:val="15"/>
          <w:color w:val="auto"/>
        </w:rPr>
        <w:t>8.4.</w:t>
      </w:r>
      <w:r>
        <w:rPr>
          <w:sz w:val="20"/>
          <w:szCs w:val="20"/>
          <w:color w:val="auto"/>
        </w:rPr>
        <w:tab/>
      </w:r>
      <w:r>
        <w:rPr>
          <w:rFonts w:ascii="Arial" w:cs="Arial" w:eastAsia="Arial" w:hAnsi="Arial"/>
          <w:sz w:val="15"/>
          <w:szCs w:val="15"/>
          <w:color w:val="auto"/>
        </w:rPr>
        <w:t>The Supplier shall purchase the components of the Products which the Supplier is responsible for purchasing in accordance with the provisions of this Agreement, and subject to the performance of the Customer's undertakings under the provisions of this Agreement. Purchasing shall be effected in accordance with the provisions of the Production File, the AVL list, and the provisions of this Agreement, and the Customer shall provide the Supplier with all of the components that it is responsible for providing to the Supplier, in accordance with the Production File. Any addition and/or replacement of a Supplier on the AVL list shall require the prior written consent of the Customer.</w:t>
      </w:r>
    </w:p>
    <w:p>
      <w:pPr>
        <w:spacing w:after="0" w:line="160" w:lineRule="exact"/>
        <w:rPr>
          <w:sz w:val="20"/>
          <w:szCs w:val="20"/>
          <w:color w:val="auto"/>
        </w:rPr>
      </w:pPr>
    </w:p>
    <w:p>
      <w:pPr>
        <w:ind w:left="531"/>
        <w:spacing w:after="0"/>
        <w:tabs>
          <w:tab w:leader="none" w:pos="1050" w:val="left"/>
        </w:tabs>
        <w:rPr>
          <w:sz w:val="20"/>
          <w:szCs w:val="20"/>
          <w:color w:val="auto"/>
        </w:rPr>
      </w:pPr>
      <w:r>
        <w:rPr>
          <w:rFonts w:ascii="Arial" w:cs="Arial" w:eastAsia="Arial" w:hAnsi="Arial"/>
          <w:sz w:val="15"/>
          <w:szCs w:val="15"/>
          <w:color w:val="auto"/>
        </w:rPr>
        <w:t>8.5.</w:t>
      </w:r>
      <w:r>
        <w:rPr>
          <w:sz w:val="20"/>
          <w:szCs w:val="20"/>
          <w:color w:val="auto"/>
        </w:rPr>
        <w:tab/>
      </w:r>
      <w:r>
        <w:rPr>
          <w:rFonts w:ascii="Arial" w:cs="Arial" w:eastAsia="Arial" w:hAnsi="Arial"/>
          <w:sz w:val="13"/>
          <w:szCs w:val="13"/>
          <w:color w:val="auto"/>
        </w:rPr>
        <w:t>The Supplier shall report the commencement of the implementation of every ECO by email, bearing the date of application and the Machine number.</w:t>
      </w:r>
    </w:p>
    <w:p>
      <w:pPr>
        <w:spacing w:after="0" w:line="186" w:lineRule="exact"/>
        <w:rPr>
          <w:sz w:val="20"/>
          <w:szCs w:val="20"/>
          <w:color w:val="auto"/>
        </w:rPr>
      </w:pPr>
    </w:p>
    <w:p>
      <w:pPr>
        <w:jc w:val="both"/>
        <w:ind w:left="1071" w:hanging="537"/>
        <w:spacing w:after="0" w:line="288" w:lineRule="auto"/>
        <w:tabs>
          <w:tab w:leader="none" w:pos="1050" w:val="left"/>
        </w:tabs>
        <w:rPr>
          <w:sz w:val="20"/>
          <w:szCs w:val="20"/>
          <w:color w:val="auto"/>
        </w:rPr>
      </w:pPr>
      <w:r>
        <w:rPr>
          <w:rFonts w:ascii="Arial" w:cs="Arial" w:eastAsia="Arial" w:hAnsi="Arial"/>
          <w:sz w:val="15"/>
          <w:szCs w:val="15"/>
          <w:color w:val="auto"/>
        </w:rPr>
        <w:t>8.6.</w:t>
      </w:r>
      <w:r>
        <w:rPr>
          <w:sz w:val="20"/>
          <w:szCs w:val="20"/>
          <w:color w:val="auto"/>
        </w:rPr>
        <w:tab/>
      </w:r>
      <w:r>
        <w:rPr>
          <w:rFonts w:ascii="Arial" w:cs="Arial" w:eastAsia="Arial" w:hAnsi="Arial"/>
          <w:sz w:val="14"/>
          <w:szCs w:val="14"/>
          <w:color w:val="auto"/>
        </w:rPr>
        <w:t>The Customer shall be liable for updating sketches and current specifications of the engineering changes to all approved suppliers (the AVL), and shall provide the Supplier with a copy of all up-to-date sketches and specifications. The Supplier shall update the price of the Machine in accordance with the changes made to the BOM. The Supplier shall update the sub-suppliers (AVL) with updated sketches which shall be provided by the Customer within a reasonable time.</w:t>
      </w:r>
    </w:p>
    <w:p>
      <w:pPr>
        <w:spacing w:after="0" w:line="138" w:lineRule="exact"/>
        <w:rPr>
          <w:sz w:val="20"/>
          <w:szCs w:val="20"/>
          <w:color w:val="auto"/>
        </w:rPr>
      </w:pPr>
    </w:p>
    <w:p>
      <w:pPr>
        <w:jc w:val="both"/>
        <w:ind w:left="1071" w:hanging="537"/>
        <w:spacing w:after="0" w:line="261" w:lineRule="auto"/>
        <w:tabs>
          <w:tab w:leader="none" w:pos="1050" w:val="left"/>
        </w:tabs>
        <w:rPr>
          <w:sz w:val="20"/>
          <w:szCs w:val="20"/>
          <w:color w:val="auto"/>
        </w:rPr>
      </w:pPr>
      <w:r>
        <w:rPr>
          <w:rFonts w:ascii="Arial" w:cs="Arial" w:eastAsia="Arial" w:hAnsi="Arial"/>
          <w:sz w:val="15"/>
          <w:szCs w:val="15"/>
          <w:color w:val="auto"/>
        </w:rPr>
        <w:t>8.7.</w:t>
      </w:r>
      <w:r>
        <w:rPr>
          <w:sz w:val="20"/>
          <w:szCs w:val="20"/>
          <w:color w:val="auto"/>
        </w:rPr>
        <w:tab/>
      </w:r>
      <w:r>
        <w:rPr>
          <w:rFonts w:ascii="Arial" w:cs="Arial" w:eastAsia="Arial" w:hAnsi="Arial"/>
          <w:sz w:val="15"/>
          <w:szCs w:val="15"/>
          <w:color w:val="auto"/>
        </w:rPr>
        <w:t>The Supplier shall report to the Customer of any substantial faults or problematic work processes that may be discovered or that are expected to be discovered, to the best of the Supplier's knowledge, in manufacture, within a reasonable time of occurrence of the fault. In the event of a substantial fault which might cause a safety or quality problem, a reasonable time shall be considered to be one business day after occurrence of the fault.</w:t>
      </w:r>
    </w:p>
    <w:p>
      <w:pPr>
        <w:spacing w:after="0" w:line="151" w:lineRule="exact"/>
        <w:rPr>
          <w:sz w:val="20"/>
          <w:szCs w:val="20"/>
          <w:color w:val="auto"/>
        </w:rPr>
      </w:pPr>
    </w:p>
    <w:p>
      <w:pPr>
        <w:ind w:left="531" w:hanging="531"/>
        <w:spacing w:after="0"/>
        <w:tabs>
          <w:tab w:leader="none" w:pos="531" w:val="left"/>
        </w:tabs>
        <w:numPr>
          <w:ilvl w:val="0"/>
          <w:numId w:val="19"/>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Inventory Management</w:t>
      </w:r>
    </w:p>
    <w:p>
      <w:pPr>
        <w:spacing w:after="0" w:line="186" w:lineRule="exact"/>
        <w:rPr>
          <w:rFonts w:ascii="Arial" w:cs="Arial" w:eastAsia="Arial" w:hAnsi="Arial"/>
          <w:sz w:val="15"/>
          <w:szCs w:val="15"/>
          <w:b w:val="1"/>
          <w:bCs w:val="1"/>
          <w:color w:val="auto"/>
        </w:rPr>
      </w:pPr>
    </w:p>
    <w:p>
      <w:pPr>
        <w:ind w:left="531"/>
        <w:spacing w:after="0" w:line="278" w:lineRule="auto"/>
        <w:rPr>
          <w:rFonts w:ascii="Arial" w:cs="Arial" w:eastAsia="Arial" w:hAnsi="Arial"/>
          <w:sz w:val="15"/>
          <w:szCs w:val="15"/>
          <w:b w:val="1"/>
          <w:bCs w:val="1"/>
          <w:color w:val="auto"/>
        </w:rPr>
      </w:pPr>
      <w:r>
        <w:rPr>
          <w:rFonts w:ascii="Arial" w:cs="Arial" w:eastAsia="Arial" w:hAnsi="Arial"/>
          <w:sz w:val="15"/>
          <w:szCs w:val="15"/>
          <w:color w:val="auto"/>
        </w:rPr>
        <w:t>The Supplier shall store the product inventory, the parts, the components and the equipment ordered by the Customer (hereinabove and hereinafter: the “</w:t>
      </w:r>
      <w:r>
        <w:rPr>
          <w:rFonts w:ascii="Arial" w:cs="Arial" w:eastAsia="Arial" w:hAnsi="Arial"/>
          <w:sz w:val="15"/>
          <w:szCs w:val="15"/>
          <w:b w:val="1"/>
          <w:bCs w:val="1"/>
          <w:color w:val="auto"/>
        </w:rPr>
        <w:t>Inventory”</w:t>
      </w:r>
      <w:r>
        <w:rPr>
          <w:rFonts w:ascii="Arial" w:cs="Arial" w:eastAsia="Arial" w:hAnsi="Arial"/>
          <w:sz w:val="15"/>
          <w:szCs w:val="15"/>
          <w:color w:val="auto"/>
        </w:rPr>
        <w:t>) in accordance with the manufacturer's instructions.</w:t>
      </w:r>
    </w:p>
    <w:p>
      <w:pPr>
        <w:spacing w:after="0" w:line="138" w:lineRule="exact"/>
        <w:rPr>
          <w:rFonts w:ascii="Arial" w:cs="Arial" w:eastAsia="Arial" w:hAnsi="Arial"/>
          <w:sz w:val="15"/>
          <w:szCs w:val="15"/>
          <w:b w:val="1"/>
          <w:bCs w:val="1"/>
          <w:color w:val="auto"/>
        </w:rPr>
      </w:pPr>
    </w:p>
    <w:p>
      <w:pPr>
        <w:ind w:left="531" w:hanging="531"/>
        <w:spacing w:after="0"/>
        <w:tabs>
          <w:tab w:leader="none" w:pos="531" w:val="left"/>
        </w:tabs>
        <w:numPr>
          <w:ilvl w:val="0"/>
          <w:numId w:val="19"/>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Supplier's Obligation to Purchase Inventory from the Customer</w:t>
      </w:r>
    </w:p>
    <w:p>
      <w:pPr>
        <w:spacing w:after="0" w:line="190" w:lineRule="exact"/>
        <w:rPr>
          <w:sz w:val="20"/>
          <w:szCs w:val="20"/>
          <w:color w:val="auto"/>
        </w:rPr>
      </w:pPr>
    </w:p>
    <w:p>
      <w:pPr>
        <w:ind w:left="1071" w:hanging="537"/>
        <w:spacing w:after="0" w:line="272" w:lineRule="auto"/>
        <w:tabs>
          <w:tab w:leader="none" w:pos="1050" w:val="left"/>
        </w:tabs>
        <w:rPr>
          <w:sz w:val="20"/>
          <w:szCs w:val="20"/>
          <w:color w:val="auto"/>
        </w:rPr>
      </w:pPr>
      <w:r>
        <w:rPr>
          <w:rFonts w:ascii="Arial" w:cs="Arial" w:eastAsia="Arial" w:hAnsi="Arial"/>
          <w:sz w:val="15"/>
          <w:szCs w:val="15"/>
          <w:color w:val="auto"/>
        </w:rPr>
        <w:t>10.1.</w:t>
      </w:r>
      <w:r>
        <w:rPr>
          <w:sz w:val="20"/>
          <w:szCs w:val="20"/>
          <w:color w:val="auto"/>
        </w:rPr>
        <w:tab/>
      </w:r>
      <w:r>
        <w:rPr>
          <w:rFonts w:ascii="Arial" w:cs="Arial" w:eastAsia="Arial" w:hAnsi="Arial"/>
          <w:sz w:val="15"/>
          <w:szCs w:val="15"/>
          <w:color w:val="auto"/>
        </w:rPr>
        <w:t>The prices of the components included in the Inventory that are sold to the Supplier by the Customer shall be identical to the price in the BOM of such components appearing on the up-to-date BOM list.</w:t>
      </w:r>
    </w:p>
    <w:p>
      <w:pPr>
        <w:spacing w:after="0" w:line="147" w:lineRule="exact"/>
        <w:rPr>
          <w:sz w:val="20"/>
          <w:szCs w:val="20"/>
          <w:color w:val="auto"/>
        </w:rPr>
      </w:pPr>
    </w:p>
    <w:p>
      <w:pPr>
        <w:ind w:left="1611" w:right="20" w:hanging="537"/>
        <w:spacing w:after="0" w:line="351" w:lineRule="auto"/>
        <w:tabs>
          <w:tab w:leader="none" w:pos="1590" w:val="left"/>
        </w:tabs>
        <w:rPr>
          <w:sz w:val="20"/>
          <w:szCs w:val="20"/>
          <w:color w:val="auto"/>
        </w:rPr>
      </w:pPr>
      <w:r>
        <w:rPr>
          <w:rFonts w:ascii="Arial" w:cs="Arial" w:eastAsia="Arial" w:hAnsi="Arial"/>
          <w:sz w:val="15"/>
          <w:szCs w:val="15"/>
          <w:color w:val="auto"/>
        </w:rPr>
        <w:t>10.1.1.</w:t>
      </w:r>
      <w:r>
        <w:rPr>
          <w:sz w:val="20"/>
          <w:szCs w:val="20"/>
          <w:color w:val="auto"/>
        </w:rPr>
        <w:tab/>
      </w:r>
      <w:r>
        <w:rPr>
          <w:rFonts w:ascii="Arial" w:cs="Arial" w:eastAsia="Arial" w:hAnsi="Arial"/>
          <w:sz w:val="13"/>
          <w:szCs w:val="13"/>
          <w:color w:val="auto"/>
        </w:rPr>
        <w:t>An item that is found not to be in compliance with the Supplier's requirements shall be reported soon after discovery of the problem by the Supplier and shall be returned to the Customer with a credit to the Supplier for return of the item, in the sum of the relevant purchase price as set out in section 20 of this Agreement.</w:t>
      </w:r>
    </w:p>
    <w:p>
      <w:pPr>
        <w:spacing w:after="0" w:line="101" w:lineRule="exact"/>
        <w:rPr>
          <w:sz w:val="20"/>
          <w:szCs w:val="20"/>
          <w:color w:val="auto"/>
        </w:rPr>
      </w:pPr>
    </w:p>
    <w:p>
      <w:pPr>
        <w:ind w:left="-9" w:firstLine="9"/>
        <w:spacing w:after="0" w:line="272" w:lineRule="auto"/>
        <w:tabs>
          <w:tab w:leader="none" w:pos="252" w:val="left"/>
        </w:tabs>
        <w:numPr>
          <w:ilvl w:val="0"/>
          <w:numId w:val="20"/>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193040</wp:posOffset>
            </wp:positionV>
            <wp:extent cx="7198360"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31"/>
          </w:cols>
          <w:pgMar w:left="289" w:top="779" w:right="279" w:bottom="1440" w:gutter="0" w:footer="0" w:header="0"/>
        </w:sectPr>
      </w:pPr>
    </w:p>
    <w:bookmarkStart w:id="13" w:name="page14"/>
    <w:bookmarkEnd w:id="13"/>
    <w:p>
      <w:pPr>
        <w:jc w:val="both"/>
        <w:ind w:left="1611" w:hanging="537"/>
        <w:spacing w:after="0" w:line="300" w:lineRule="auto"/>
        <w:tabs>
          <w:tab w:leader="none" w:pos="1590" w:val="left"/>
        </w:tabs>
        <w:rPr>
          <w:sz w:val="20"/>
          <w:szCs w:val="20"/>
          <w:color w:val="auto"/>
        </w:rPr>
      </w:pPr>
      <w:r>
        <w:rPr>
          <w:rFonts w:ascii="Arial" w:cs="Arial" w:eastAsia="Arial" w:hAnsi="Arial"/>
          <w:sz w:val="15"/>
          <w:szCs w:val="15"/>
          <w:color w:val="auto"/>
        </w:rPr>
        <w:t>10.1.2.</w:t>
      </w:r>
      <w:r>
        <w:rPr>
          <w:sz w:val="20"/>
          <w:szCs w:val="20"/>
          <w:color w:val="auto"/>
        </w:rPr>
        <w:tab/>
      </w:r>
      <w:r>
        <w:rPr>
          <w:rFonts w:ascii="Arial" w:cs="Arial" w:eastAsia="Arial" w:hAnsi="Arial"/>
          <w:sz w:val="13"/>
          <w:szCs w:val="13"/>
          <w:color w:val="auto"/>
        </w:rPr>
        <w:t>The Customer undertakes that all of the items of Inventory provided to or sold by it and/or a person acting on its behalf to the Supplier shall be in good and proper condition, in compliance with the production standard and the warranty of the manufacturer who manufactured the aforesaid items, and are suitable to be included among the Products the subject of this Agreement. The Customer shall be liable for any damage that may be caused to the Supplier and/or the Product and/or the Machine for any fault and/or problem and/or defect and/or damage to the items of Inventory and/or to any item or component whatsoever sold and/or delivered by the Customer and/or a person acting on its behalf to the Supplier. Items of Inventory shall be purchased in such quantities, on such dates of supply and payment in accordance with the Customer's Orders and subject to the performance of the Customer's undertakings under the provisions of this Agreement.</w:t>
      </w:r>
    </w:p>
    <w:p>
      <w:pPr>
        <w:spacing w:after="0" w:line="135" w:lineRule="exact"/>
        <w:rPr>
          <w:sz w:val="20"/>
          <w:szCs w:val="20"/>
          <w:color w:val="auto"/>
        </w:rPr>
      </w:pPr>
    </w:p>
    <w:p>
      <w:pPr>
        <w:jc w:val="both"/>
        <w:ind w:left="1611" w:hanging="537"/>
        <w:spacing w:after="0" w:line="254" w:lineRule="auto"/>
        <w:tabs>
          <w:tab w:leader="none" w:pos="1590" w:val="left"/>
        </w:tabs>
        <w:rPr>
          <w:sz w:val="20"/>
          <w:szCs w:val="20"/>
          <w:color w:val="auto"/>
        </w:rPr>
      </w:pPr>
      <w:r>
        <w:rPr>
          <w:rFonts w:ascii="Arial" w:cs="Arial" w:eastAsia="Arial" w:hAnsi="Arial"/>
          <w:sz w:val="15"/>
          <w:szCs w:val="15"/>
          <w:color w:val="auto"/>
        </w:rPr>
        <w:t>10.1.3.</w:t>
        <w:tab/>
        <w:t>The Customer shall, at its expense, collect from the Supplier items of Inventory that are damaged and/or faulty and/or not in order and/or in any other way not in accordance with the provisions of this Agreement, and shall immediately provide alternative items of Inventory to the Supplier, at its expense, that are in order and suitable and in compliance with all of the conditions set out in this Agreement. The Supplier undertakes to prepare for the Customer's collection faulty items supplied by the Customer and/or a person acting on its behalf and discovered by the Supplier within 10 business days of discovery of the faulty items, together with a disqualification report. The Customer undertakes to replace the faulty items with working items within 3 business days. This section shall not be relevant to machining, kits, beams and frames and other Make Items.</w:t>
      </w:r>
    </w:p>
    <w:p>
      <w:pPr>
        <w:spacing w:after="0" w:line="161" w:lineRule="exact"/>
        <w:rPr>
          <w:sz w:val="20"/>
          <w:szCs w:val="20"/>
          <w:color w:val="auto"/>
        </w:rPr>
      </w:pPr>
    </w:p>
    <w:p>
      <w:pPr>
        <w:jc w:val="both"/>
        <w:ind w:left="1611" w:hanging="537"/>
        <w:spacing w:after="0" w:line="272" w:lineRule="auto"/>
        <w:tabs>
          <w:tab w:leader="none" w:pos="1590" w:val="left"/>
        </w:tabs>
        <w:rPr>
          <w:sz w:val="20"/>
          <w:szCs w:val="20"/>
          <w:color w:val="auto"/>
        </w:rPr>
      </w:pPr>
      <w:r>
        <w:rPr>
          <w:rFonts w:ascii="Arial" w:cs="Arial" w:eastAsia="Arial" w:hAnsi="Arial"/>
          <w:sz w:val="15"/>
          <w:szCs w:val="15"/>
          <w:color w:val="auto"/>
        </w:rPr>
        <w:t>10.1.4.</w:t>
        <w:tab/>
        <w:t>The Customer shall provide the items at least two weeks prior to the start of the date of assembly planned by the Supplier, and not less than one month prior to the planned date of delivery.</w:t>
      </w:r>
    </w:p>
    <w:p>
      <w:pPr>
        <w:spacing w:after="0" w:line="143" w:lineRule="exact"/>
        <w:rPr>
          <w:sz w:val="20"/>
          <w:szCs w:val="20"/>
          <w:color w:val="auto"/>
        </w:rPr>
      </w:pPr>
    </w:p>
    <w:p>
      <w:pPr>
        <w:ind w:left="531" w:hanging="531"/>
        <w:spacing w:after="0"/>
        <w:tabs>
          <w:tab w:leader="none" w:pos="531" w:val="left"/>
        </w:tabs>
        <w:numPr>
          <w:ilvl w:val="0"/>
          <w:numId w:val="21"/>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Quality Assurance; Inspection and Review</w:t>
      </w:r>
    </w:p>
    <w:p>
      <w:pPr>
        <w:spacing w:after="0" w:line="190" w:lineRule="exact"/>
        <w:rPr>
          <w:rFonts w:ascii="Arial" w:cs="Arial" w:eastAsia="Arial" w:hAnsi="Arial"/>
          <w:sz w:val="15"/>
          <w:szCs w:val="15"/>
          <w:b w:val="1"/>
          <w:bCs w:val="1"/>
          <w:color w:val="auto"/>
        </w:rPr>
      </w:pPr>
    </w:p>
    <w:p>
      <w:pPr>
        <w:ind w:left="1071" w:hanging="538"/>
        <w:spacing w:after="0" w:line="272" w:lineRule="auto"/>
        <w:rPr>
          <w:rFonts w:ascii="Arial" w:cs="Arial" w:eastAsia="Arial" w:hAnsi="Arial"/>
          <w:sz w:val="15"/>
          <w:szCs w:val="15"/>
          <w:b w:val="1"/>
          <w:bCs w:val="1"/>
          <w:color w:val="auto"/>
        </w:rPr>
      </w:pPr>
      <w:r>
        <w:rPr>
          <w:rFonts w:ascii="Arial" w:cs="Arial" w:eastAsia="Arial" w:hAnsi="Arial"/>
          <w:sz w:val="15"/>
          <w:szCs w:val="15"/>
          <w:color w:val="auto"/>
        </w:rPr>
        <w:t>11.1. The Supplier shall manufacture the Product and the Components only from materials approved in the Customer's Production File. The Supplier shall not make any changes to the Product File without the prior written approval of the Customer.</w:t>
      </w:r>
    </w:p>
    <w:p>
      <w:pPr>
        <w:spacing w:after="0" w:line="147" w:lineRule="exact"/>
        <w:rPr>
          <w:sz w:val="20"/>
          <w:szCs w:val="20"/>
          <w:color w:val="auto"/>
        </w:rPr>
      </w:pPr>
    </w:p>
    <w:p>
      <w:pPr>
        <w:ind w:left="1071" w:right="20" w:hanging="537"/>
        <w:spacing w:after="0" w:line="272" w:lineRule="auto"/>
        <w:tabs>
          <w:tab w:leader="none" w:pos="1050" w:val="left"/>
        </w:tabs>
        <w:rPr>
          <w:sz w:val="20"/>
          <w:szCs w:val="20"/>
          <w:color w:val="auto"/>
        </w:rPr>
      </w:pPr>
      <w:r>
        <w:rPr>
          <w:rFonts w:ascii="Arial" w:cs="Arial" w:eastAsia="Arial" w:hAnsi="Arial"/>
          <w:sz w:val="15"/>
          <w:szCs w:val="15"/>
          <w:color w:val="auto"/>
        </w:rPr>
        <w:t>11.2.</w:t>
      </w:r>
      <w:r>
        <w:rPr>
          <w:sz w:val="20"/>
          <w:szCs w:val="20"/>
          <w:color w:val="auto"/>
        </w:rPr>
        <w:tab/>
      </w:r>
      <w:r>
        <w:rPr>
          <w:rFonts w:ascii="Arial" w:cs="Arial" w:eastAsia="Arial" w:hAnsi="Arial"/>
          <w:sz w:val="15"/>
          <w:szCs w:val="15"/>
          <w:color w:val="auto"/>
        </w:rPr>
        <w:t>The Supplier shall not make use of Products or Components that have not undergone acceptance review as set out in sections 11.3-11.5 below, and have been found to be perfect and precisely compliant with the specifications of the Product ordered.</w:t>
      </w:r>
    </w:p>
    <w:p>
      <w:pPr>
        <w:spacing w:after="0" w:line="147" w:lineRule="exact"/>
        <w:rPr>
          <w:sz w:val="20"/>
          <w:szCs w:val="20"/>
          <w:color w:val="auto"/>
        </w:rPr>
      </w:pPr>
    </w:p>
    <w:p>
      <w:pPr>
        <w:ind w:left="531"/>
        <w:spacing w:after="0"/>
        <w:tabs>
          <w:tab w:leader="none" w:pos="1050" w:val="left"/>
        </w:tabs>
        <w:rPr>
          <w:sz w:val="20"/>
          <w:szCs w:val="20"/>
          <w:color w:val="auto"/>
        </w:rPr>
      </w:pPr>
      <w:r>
        <w:rPr>
          <w:rFonts w:ascii="Arial" w:cs="Arial" w:eastAsia="Arial" w:hAnsi="Arial"/>
          <w:sz w:val="15"/>
          <w:szCs w:val="15"/>
          <w:color w:val="auto"/>
        </w:rPr>
        <w:t>11.3.</w:t>
      </w:r>
      <w:r>
        <w:rPr>
          <w:sz w:val="20"/>
          <w:szCs w:val="20"/>
          <w:color w:val="auto"/>
        </w:rPr>
        <w:tab/>
      </w:r>
      <w:r>
        <w:rPr>
          <w:rFonts w:ascii="Arial" w:cs="Arial" w:eastAsia="Arial" w:hAnsi="Arial"/>
          <w:sz w:val="13"/>
          <w:szCs w:val="13"/>
          <w:color w:val="auto"/>
        </w:rPr>
        <w:t>The Supplier shall implement such acceptance review as set out in section 11.4 except for OSP Items for which no acceptance review shall be implemented.</w:t>
      </w:r>
    </w:p>
    <w:p>
      <w:pPr>
        <w:spacing w:after="0" w:line="186" w:lineRule="exact"/>
        <w:rPr>
          <w:sz w:val="20"/>
          <w:szCs w:val="20"/>
          <w:color w:val="auto"/>
        </w:rPr>
      </w:pPr>
    </w:p>
    <w:p>
      <w:pPr>
        <w:ind w:left="531"/>
        <w:spacing w:after="0"/>
        <w:tabs>
          <w:tab w:leader="none" w:pos="1050" w:val="left"/>
        </w:tabs>
        <w:rPr>
          <w:sz w:val="20"/>
          <w:szCs w:val="20"/>
          <w:color w:val="auto"/>
        </w:rPr>
      </w:pPr>
      <w:r>
        <w:rPr>
          <w:rFonts w:ascii="Arial" w:cs="Arial" w:eastAsia="Arial" w:hAnsi="Arial"/>
          <w:sz w:val="15"/>
          <w:szCs w:val="15"/>
          <w:color w:val="auto"/>
        </w:rPr>
        <w:t>11.4.</w:t>
      </w:r>
      <w:r>
        <w:rPr>
          <w:sz w:val="20"/>
          <w:szCs w:val="20"/>
          <w:color w:val="auto"/>
        </w:rPr>
        <w:tab/>
      </w:r>
      <w:r>
        <w:rPr>
          <w:rFonts w:ascii="Arial" w:cs="Arial" w:eastAsia="Arial" w:hAnsi="Arial"/>
          <w:sz w:val="13"/>
          <w:szCs w:val="13"/>
          <w:color w:val="auto"/>
        </w:rPr>
        <w:t>Acceptance review shall be implemented on:</w:t>
      </w:r>
    </w:p>
    <w:p>
      <w:pPr>
        <w:spacing w:after="0" w:line="186" w:lineRule="exact"/>
        <w:rPr>
          <w:sz w:val="20"/>
          <w:szCs w:val="20"/>
          <w:color w:val="auto"/>
        </w:rPr>
      </w:pPr>
    </w:p>
    <w:p>
      <w:pPr>
        <w:ind w:left="1611" w:hanging="534"/>
        <w:spacing w:after="0"/>
        <w:tabs>
          <w:tab w:leader="none" w:pos="1611" w:val="left"/>
        </w:tabs>
        <w:numPr>
          <w:ilvl w:val="0"/>
          <w:numId w:val="22"/>
        </w:numPr>
        <w:rPr>
          <w:rFonts w:ascii="Arial" w:cs="Arial" w:eastAsia="Arial" w:hAnsi="Arial"/>
          <w:sz w:val="14"/>
          <w:szCs w:val="14"/>
          <w:color w:val="auto"/>
        </w:rPr>
      </w:pPr>
      <w:r>
        <w:rPr>
          <w:rFonts w:ascii="Arial" w:cs="Arial" w:eastAsia="Arial" w:hAnsi="Arial"/>
          <w:sz w:val="14"/>
          <w:szCs w:val="14"/>
          <w:color w:val="auto"/>
        </w:rPr>
        <w:t>Items manufactured by the Supplier – visual review, testing of measurements, supply and raw material tests shall be implemented on 100% of items.</w:t>
      </w:r>
    </w:p>
    <w:p>
      <w:pPr>
        <w:spacing w:after="0" w:line="197" w:lineRule="exact"/>
        <w:rPr>
          <w:rFonts w:ascii="Arial" w:cs="Arial" w:eastAsia="Arial" w:hAnsi="Arial"/>
          <w:sz w:val="14"/>
          <w:szCs w:val="14"/>
          <w:color w:val="auto"/>
        </w:rPr>
      </w:pPr>
    </w:p>
    <w:p>
      <w:pPr>
        <w:ind w:left="1611" w:hanging="534"/>
        <w:spacing w:after="0"/>
        <w:tabs>
          <w:tab w:leader="none" w:pos="1611" w:val="left"/>
        </w:tabs>
        <w:numPr>
          <w:ilvl w:val="0"/>
          <w:numId w:val="22"/>
        </w:numPr>
        <w:rPr>
          <w:rFonts w:ascii="Arial" w:cs="Arial" w:eastAsia="Arial" w:hAnsi="Arial"/>
          <w:sz w:val="13"/>
          <w:szCs w:val="13"/>
          <w:color w:val="auto"/>
        </w:rPr>
      </w:pPr>
      <w:r>
        <w:rPr>
          <w:rFonts w:ascii="Arial" w:cs="Arial" w:eastAsia="Arial" w:hAnsi="Arial"/>
          <w:sz w:val="13"/>
          <w:szCs w:val="13"/>
          <w:color w:val="auto"/>
        </w:rPr>
        <w:t>Shelf items not specifically manufactured for Kornit – a visual inspection shall be implemented together with verification of the manufacturer's catalog number.</w:t>
      </w:r>
    </w:p>
    <w:p>
      <w:pPr>
        <w:spacing w:after="0" w:line="209" w:lineRule="exact"/>
        <w:rPr>
          <w:sz w:val="20"/>
          <w:szCs w:val="20"/>
          <w:color w:val="auto"/>
        </w:rPr>
      </w:pPr>
    </w:p>
    <w:p>
      <w:pPr>
        <w:jc w:val="both"/>
        <w:ind w:left="1071" w:right="20" w:hanging="537"/>
        <w:spacing w:after="0" w:line="261" w:lineRule="auto"/>
        <w:tabs>
          <w:tab w:leader="none" w:pos="1050" w:val="left"/>
        </w:tabs>
        <w:rPr>
          <w:sz w:val="20"/>
          <w:szCs w:val="20"/>
          <w:color w:val="auto"/>
        </w:rPr>
      </w:pPr>
      <w:r>
        <w:rPr>
          <w:rFonts w:ascii="Arial" w:cs="Arial" w:eastAsia="Arial" w:hAnsi="Arial"/>
          <w:sz w:val="15"/>
          <w:szCs w:val="15"/>
          <w:color w:val="auto"/>
        </w:rPr>
        <w:t>11.5.</w:t>
      </w:r>
      <w:r>
        <w:rPr>
          <w:sz w:val="20"/>
          <w:szCs w:val="20"/>
          <w:color w:val="auto"/>
        </w:rPr>
        <w:tab/>
      </w:r>
      <w:r>
        <w:rPr>
          <w:rFonts w:ascii="Arial" w:cs="Arial" w:eastAsia="Arial" w:hAnsi="Arial"/>
          <w:sz w:val="15"/>
          <w:szCs w:val="15"/>
          <w:color w:val="auto"/>
        </w:rPr>
        <w:t>With respect to a disqualified item, or in the event of any quality problem the treatment of which needs to be decided upon (destruction, return to the Supplier, etc.) (hereinafter: MRD treatment). For OSP items, the Supplier shall be responsible for MRB reporting of OSP items to the Customer within 3 business days, together with an MRB form.</w:t>
      </w:r>
    </w:p>
    <w:p>
      <w:pPr>
        <w:spacing w:after="0" w:line="177" w:lineRule="exact"/>
        <w:rPr>
          <w:sz w:val="20"/>
          <w:szCs w:val="20"/>
          <w:color w:val="auto"/>
        </w:rPr>
      </w:pPr>
    </w:p>
    <w:p>
      <w:pPr>
        <w:ind w:left="-9" w:firstLine="9"/>
        <w:spacing w:after="0" w:line="272" w:lineRule="auto"/>
        <w:tabs>
          <w:tab w:leader="none" w:pos="252" w:val="left"/>
        </w:tabs>
        <w:numPr>
          <w:ilvl w:val="0"/>
          <w:numId w:val="23"/>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193040</wp:posOffset>
            </wp:positionV>
            <wp:extent cx="7198360"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31"/>
          </w:cols>
          <w:pgMar w:left="289" w:top="779" w:right="279" w:bottom="1440" w:gutter="0" w:footer="0" w:header="0"/>
        </w:sectPr>
      </w:pPr>
    </w:p>
    <w:bookmarkStart w:id="14" w:name="page15"/>
    <w:bookmarkEnd w:id="14"/>
    <w:p>
      <w:pPr>
        <w:jc w:val="both"/>
        <w:ind w:left="1071" w:hanging="537"/>
        <w:spacing w:after="0" w:line="272" w:lineRule="auto"/>
        <w:tabs>
          <w:tab w:leader="none" w:pos="1050" w:val="left"/>
        </w:tabs>
        <w:rPr>
          <w:sz w:val="20"/>
          <w:szCs w:val="20"/>
          <w:color w:val="auto"/>
        </w:rPr>
      </w:pPr>
      <w:r>
        <w:rPr>
          <w:rFonts w:ascii="Arial" w:cs="Arial" w:eastAsia="Arial" w:hAnsi="Arial"/>
          <w:sz w:val="15"/>
          <w:szCs w:val="15"/>
          <w:color w:val="auto"/>
        </w:rPr>
        <w:t>11.6.</w:t>
      </w:r>
      <w:r>
        <w:rPr>
          <w:sz w:val="20"/>
          <w:szCs w:val="20"/>
          <w:color w:val="auto"/>
        </w:rPr>
        <w:tab/>
      </w:r>
      <w:r>
        <w:rPr>
          <w:rFonts w:ascii="Arial" w:cs="Arial" w:eastAsia="Arial" w:hAnsi="Arial"/>
          <w:sz w:val="15"/>
          <w:szCs w:val="15"/>
          <w:color w:val="auto"/>
        </w:rPr>
        <w:t>Once a month, the Supplier shall provide the Customer with a concentrated MRB report, i.e., a report that contains all of the items found in quality control to be faulty or disqualified.</w:t>
      </w:r>
    </w:p>
    <w:p>
      <w:pPr>
        <w:spacing w:after="0" w:line="147" w:lineRule="exact"/>
        <w:rPr>
          <w:sz w:val="20"/>
          <w:szCs w:val="20"/>
          <w:color w:val="auto"/>
        </w:rPr>
      </w:pPr>
    </w:p>
    <w:p>
      <w:pPr>
        <w:jc w:val="both"/>
        <w:ind w:left="1071" w:hanging="537"/>
        <w:spacing w:after="0" w:line="261" w:lineRule="auto"/>
        <w:tabs>
          <w:tab w:leader="none" w:pos="1050" w:val="left"/>
        </w:tabs>
        <w:rPr>
          <w:sz w:val="20"/>
          <w:szCs w:val="20"/>
          <w:color w:val="auto"/>
        </w:rPr>
      </w:pPr>
      <w:r>
        <w:rPr>
          <w:rFonts w:ascii="Arial" w:cs="Arial" w:eastAsia="Arial" w:hAnsi="Arial"/>
          <w:sz w:val="15"/>
          <w:szCs w:val="15"/>
          <w:color w:val="auto"/>
        </w:rPr>
        <w:t>11.7.</w:t>
      </w:r>
      <w:r>
        <w:rPr>
          <w:sz w:val="20"/>
          <w:szCs w:val="20"/>
          <w:color w:val="auto"/>
        </w:rPr>
        <w:tab/>
      </w:r>
      <w:r>
        <w:rPr>
          <w:rFonts w:ascii="Arial" w:cs="Arial" w:eastAsia="Arial" w:hAnsi="Arial"/>
          <w:sz w:val="15"/>
          <w:szCs w:val="15"/>
          <w:color w:val="auto"/>
        </w:rPr>
        <w:t>In the event that a problem or fault is found in one of the parts or mechanisms of the Product caused as the result of an act or omission on the part of the Supplier, the Supplier's Quality Manager shall send a report to the Customer's Engineering Department describing the flaw, the remedial operations and the preventative operations taken in order to prevent recurrence of the incident.</w:t>
      </w:r>
    </w:p>
    <w:p>
      <w:pPr>
        <w:spacing w:after="0" w:line="155" w:lineRule="exact"/>
        <w:rPr>
          <w:sz w:val="20"/>
          <w:szCs w:val="20"/>
          <w:color w:val="auto"/>
        </w:rPr>
      </w:pPr>
    </w:p>
    <w:p>
      <w:pPr>
        <w:jc w:val="both"/>
        <w:ind w:left="1071" w:hanging="537"/>
        <w:spacing w:after="0" w:line="274" w:lineRule="auto"/>
        <w:tabs>
          <w:tab w:leader="none" w:pos="1050" w:val="left"/>
        </w:tabs>
        <w:rPr>
          <w:sz w:val="20"/>
          <w:szCs w:val="20"/>
          <w:color w:val="auto"/>
        </w:rPr>
      </w:pPr>
      <w:r>
        <w:rPr>
          <w:rFonts w:ascii="Arial" w:cs="Arial" w:eastAsia="Arial" w:hAnsi="Arial"/>
          <w:sz w:val="15"/>
          <w:szCs w:val="15"/>
          <w:color w:val="auto"/>
        </w:rPr>
        <w:t>11.8.</w:t>
      </w:r>
      <w:r>
        <w:rPr>
          <w:sz w:val="20"/>
          <w:szCs w:val="20"/>
          <w:color w:val="auto"/>
        </w:rPr>
        <w:tab/>
      </w:r>
      <w:r>
        <w:rPr>
          <w:rFonts w:ascii="Arial" w:cs="Arial" w:eastAsia="Arial" w:hAnsi="Arial"/>
          <w:sz w:val="14"/>
          <w:szCs w:val="14"/>
          <w:color w:val="auto"/>
        </w:rPr>
        <w:t>The Products shall be subject to final testing and examination at the Supplier's facility (ATP) as such final tests are set out in Appendix 6 to this Agreement, notwithstanding any test or examination having been originally conducted by the Supplier. The process of testing by the Customer, as set out in Appendix 6 to this Agreement, shall be implemented by the Customer at its expense, prior to the process of preparation for packaging which is done by the Supplier. The Customer shall conduct its own tests within 3 business days of receipt of appropriate notice in writing or by email from the Supplier. The Supplier shall participate, advise and assist, in a reasonable manner and on the basis of good will, in the design and performance of the tests by the Customer, where necessary. Should any faults be discovered in the Products, the Supplier shall take care to remedy such at its expense and immediately, quickly, efficiently and continuously. No test by the Customer shall release the Supplier from its liability for any incompatibility of the Product to the items in the technical specifications in the Production File.</w:t>
      </w:r>
    </w:p>
    <w:p>
      <w:pPr>
        <w:spacing w:after="0" w:line="149" w:lineRule="exact"/>
        <w:rPr>
          <w:sz w:val="20"/>
          <w:szCs w:val="20"/>
          <w:color w:val="auto"/>
        </w:rPr>
      </w:pPr>
    </w:p>
    <w:p>
      <w:pPr>
        <w:jc w:val="both"/>
        <w:ind w:left="1071" w:hanging="537"/>
        <w:spacing w:after="0" w:line="319" w:lineRule="auto"/>
        <w:tabs>
          <w:tab w:leader="none" w:pos="1050" w:val="left"/>
        </w:tabs>
        <w:rPr>
          <w:sz w:val="20"/>
          <w:szCs w:val="20"/>
          <w:color w:val="auto"/>
        </w:rPr>
      </w:pPr>
      <w:r>
        <w:rPr>
          <w:rFonts w:ascii="Arial" w:cs="Arial" w:eastAsia="Arial" w:hAnsi="Arial"/>
          <w:sz w:val="15"/>
          <w:szCs w:val="15"/>
          <w:color w:val="auto"/>
        </w:rPr>
        <w:t>11.9.</w:t>
      </w:r>
      <w:r>
        <w:rPr>
          <w:sz w:val="20"/>
          <w:szCs w:val="20"/>
          <w:color w:val="auto"/>
        </w:rPr>
        <w:tab/>
      </w:r>
      <w:r>
        <w:rPr>
          <w:rFonts w:ascii="Arial" w:cs="Arial" w:eastAsia="Arial" w:hAnsi="Arial"/>
          <w:sz w:val="13"/>
          <w:szCs w:val="13"/>
          <w:color w:val="auto"/>
        </w:rPr>
        <w:t>The representatives of the Customer shall be entitled, upon prior coordination with the Supplier, to enter into the Supplier's factories where the Products are being manufactured, and to effect inspections and follow-up with respect to the production process and compliance thereof with the provisions of this Agreement, including with respect to the raw materials and inventory items used by the Supplier for manufacture of the Products, the production processes and the quality assurance processes.</w:t>
      </w:r>
    </w:p>
    <w:p>
      <w:pPr>
        <w:spacing w:after="0" w:line="118" w:lineRule="exact"/>
        <w:rPr>
          <w:sz w:val="20"/>
          <w:szCs w:val="20"/>
          <w:color w:val="auto"/>
        </w:rPr>
      </w:pPr>
    </w:p>
    <w:p>
      <w:pPr>
        <w:ind w:left="531" w:hanging="531"/>
        <w:spacing w:after="0"/>
        <w:tabs>
          <w:tab w:leader="none" w:pos="531" w:val="left"/>
        </w:tabs>
        <w:numPr>
          <w:ilvl w:val="0"/>
          <w:numId w:val="24"/>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Definition of Purchase Data</w:t>
      </w:r>
    </w:p>
    <w:p>
      <w:pPr>
        <w:spacing w:after="0" w:line="190" w:lineRule="exact"/>
        <w:rPr>
          <w:rFonts w:ascii="Arial" w:cs="Arial" w:eastAsia="Arial" w:hAnsi="Arial"/>
          <w:sz w:val="15"/>
          <w:szCs w:val="15"/>
          <w:b w:val="1"/>
          <w:bCs w:val="1"/>
          <w:color w:val="auto"/>
        </w:rPr>
      </w:pPr>
    </w:p>
    <w:p>
      <w:pPr>
        <w:ind w:left="1071" w:hanging="538"/>
        <w:spacing w:after="0" w:line="257" w:lineRule="auto"/>
        <w:rPr>
          <w:rFonts w:ascii="Arial" w:cs="Arial" w:eastAsia="Arial" w:hAnsi="Arial"/>
          <w:sz w:val="15"/>
          <w:szCs w:val="15"/>
          <w:b w:val="1"/>
          <w:bCs w:val="1"/>
          <w:color w:val="auto"/>
        </w:rPr>
      </w:pPr>
      <w:r>
        <w:rPr>
          <w:rFonts w:ascii="Arial" w:cs="Arial" w:eastAsia="Arial" w:hAnsi="Arial"/>
          <w:sz w:val="15"/>
          <w:szCs w:val="15"/>
          <w:color w:val="auto"/>
        </w:rPr>
        <w:t>12.1. “Obsolete Items”, within the meaning of this Agreement, are items or components whose manufacturer or an authorized representative of them gave notice to the Supplier and/or published a notice that the manufacture of them has been stopped on a given date (hereinafter: the “</w:t>
      </w:r>
      <w:r>
        <w:rPr>
          <w:rFonts w:ascii="Arial" w:cs="Arial" w:eastAsia="Arial" w:hAnsi="Arial"/>
          <w:sz w:val="15"/>
          <w:szCs w:val="15"/>
          <w:b w:val="1"/>
          <w:bCs w:val="1"/>
          <w:color w:val="auto"/>
        </w:rPr>
        <w:t>Obsolete Notice</w:t>
      </w:r>
      <w:r>
        <w:rPr>
          <w:rFonts w:ascii="Arial" w:cs="Arial" w:eastAsia="Arial" w:hAnsi="Arial"/>
          <w:sz w:val="15"/>
          <w:szCs w:val="15"/>
          <w:color w:val="auto"/>
        </w:rPr>
        <w:t>”). The Supplier undertakes to give notice to the Customer within 2 business days of the date of receipt by the Supplier of an Obsolete Notice as aforesaid from the manufacturer, with respect to any relevant item. The Customer shall confirm in writing to the Supplier receipt of the Obsolete Notice from the Supplier.</w:t>
      </w:r>
    </w:p>
    <w:p>
      <w:pPr>
        <w:spacing w:after="0" w:line="158" w:lineRule="exact"/>
        <w:rPr>
          <w:rFonts w:ascii="Arial" w:cs="Arial" w:eastAsia="Arial" w:hAnsi="Arial"/>
          <w:sz w:val="15"/>
          <w:szCs w:val="15"/>
          <w:b w:val="1"/>
          <w:bCs w:val="1"/>
          <w:color w:val="auto"/>
        </w:rPr>
      </w:pPr>
    </w:p>
    <w:p>
      <w:pPr>
        <w:ind w:left="1071" w:hanging="538"/>
        <w:spacing w:after="0" w:line="257" w:lineRule="auto"/>
        <w:rPr>
          <w:rFonts w:ascii="Arial" w:cs="Arial" w:eastAsia="Arial" w:hAnsi="Arial"/>
          <w:sz w:val="15"/>
          <w:szCs w:val="15"/>
          <w:b w:val="1"/>
          <w:bCs w:val="1"/>
          <w:color w:val="auto"/>
        </w:rPr>
      </w:pPr>
      <w:r>
        <w:rPr>
          <w:rFonts w:ascii="Arial" w:cs="Arial" w:eastAsia="Arial" w:hAnsi="Arial"/>
          <w:sz w:val="15"/>
          <w:szCs w:val="15"/>
          <w:color w:val="auto"/>
        </w:rPr>
        <w:t>12.2. Once a year, the Supplier shall provide the Customer with an Excel File (Appendix 2) which shall contain all of the items of the Machine including MOQ, Lead Time, and security inventory, which shall be approved by the Customer. If a new item is added, the file shall be updated in accordance with data that will be provided by the Customer. The provisions of the Excel file as aforesaid shall not serve to amend the Product File or any of the appendixes thereof. Any amendment of the Product File may only be made in accordance with the procedures set out in this Agreement.</w:t>
      </w:r>
    </w:p>
    <w:p>
      <w:pPr>
        <w:spacing w:after="0" w:line="158" w:lineRule="exact"/>
        <w:rPr>
          <w:sz w:val="20"/>
          <w:szCs w:val="20"/>
          <w:color w:val="auto"/>
        </w:rPr>
      </w:pPr>
    </w:p>
    <w:p>
      <w:pPr>
        <w:ind w:left="-9" w:firstLine="9"/>
        <w:spacing w:after="0" w:line="272" w:lineRule="auto"/>
        <w:tabs>
          <w:tab w:leader="none" w:pos="252" w:val="left"/>
        </w:tabs>
        <w:numPr>
          <w:ilvl w:val="0"/>
          <w:numId w:val="25"/>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193040</wp:posOffset>
            </wp:positionV>
            <wp:extent cx="7198360"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31"/>
          </w:cols>
          <w:pgMar w:left="289" w:top="757" w:right="279" w:bottom="1440" w:gutter="0" w:footer="0" w:header="0"/>
        </w:sectPr>
      </w:pPr>
    </w:p>
    <w:bookmarkStart w:id="15" w:name="page16"/>
    <w:bookmarkEnd w:id="15"/>
    <w:p>
      <w:pPr>
        <w:jc w:val="both"/>
        <w:ind w:left="1071" w:hanging="537"/>
        <w:spacing w:after="0" w:line="254" w:lineRule="auto"/>
        <w:tabs>
          <w:tab w:leader="none" w:pos="1050" w:val="left"/>
        </w:tabs>
        <w:rPr>
          <w:sz w:val="20"/>
          <w:szCs w:val="20"/>
          <w:color w:val="auto"/>
        </w:rPr>
      </w:pPr>
      <w:r>
        <w:rPr>
          <w:rFonts w:ascii="Arial" w:cs="Arial" w:eastAsia="Arial" w:hAnsi="Arial"/>
          <w:sz w:val="15"/>
          <w:szCs w:val="15"/>
          <w:color w:val="auto"/>
        </w:rPr>
        <w:t>12.3</w:t>
      </w:r>
      <w:r>
        <w:rPr>
          <w:sz w:val="20"/>
          <w:szCs w:val="20"/>
          <w:color w:val="auto"/>
        </w:rPr>
        <w:tab/>
      </w:r>
      <w:r>
        <w:rPr>
          <w:rFonts w:ascii="Arial" w:cs="Arial" w:eastAsia="Arial" w:hAnsi="Arial"/>
          <w:sz w:val="15"/>
          <w:szCs w:val="15"/>
          <w:color w:val="auto"/>
        </w:rPr>
        <w:t>The Supplier shall be entitled to purchase items from alternative sources of supply, i.e., sources of supply that are not set out in the Product File, and that may be chosen exclusively by the Supplier, provided that the prices set out in this Agreement shall not be changed to the Customer’s detriment as a result of such change. The Supplier shall be liable for the quality of the items. The Supplier shall provide the Customer with documentation if requested. The Supplier shall not be entitled to replace OEM manufacturers without the Customer's consent. In any event, the price offered by the Supplier shall not be greater than any alternative price that the Customer may find for the same item, of the same quality. At the Customer's request, the Supplier shall provide a list of all suppliers of the manufactured items, the Customer shall be entitled to approve this list periodically but not more than once every six months.</w:t>
      </w:r>
    </w:p>
    <w:p>
      <w:pPr>
        <w:spacing w:after="0" w:line="157" w:lineRule="exact"/>
        <w:rPr>
          <w:sz w:val="20"/>
          <w:szCs w:val="20"/>
          <w:color w:val="auto"/>
        </w:rPr>
      </w:pPr>
    </w:p>
    <w:p>
      <w:pPr>
        <w:ind w:left="531" w:hanging="531"/>
        <w:spacing w:after="0"/>
        <w:tabs>
          <w:tab w:leader="none" w:pos="531" w:val="left"/>
        </w:tabs>
        <w:numPr>
          <w:ilvl w:val="0"/>
          <w:numId w:val="26"/>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OSP Items</w:t>
      </w:r>
    </w:p>
    <w:p>
      <w:pPr>
        <w:spacing w:after="0" w:line="190" w:lineRule="exact"/>
        <w:rPr>
          <w:rFonts w:ascii="Arial" w:cs="Arial" w:eastAsia="Arial" w:hAnsi="Arial"/>
          <w:sz w:val="15"/>
          <w:szCs w:val="15"/>
          <w:b w:val="1"/>
          <w:bCs w:val="1"/>
          <w:color w:val="auto"/>
        </w:rPr>
      </w:pPr>
    </w:p>
    <w:p>
      <w:pPr>
        <w:ind w:left="1071" w:right="20" w:hanging="538"/>
        <w:spacing w:after="0" w:line="272" w:lineRule="auto"/>
        <w:rPr>
          <w:rFonts w:ascii="Arial" w:cs="Arial" w:eastAsia="Arial" w:hAnsi="Arial"/>
          <w:sz w:val="15"/>
          <w:szCs w:val="15"/>
          <w:b w:val="1"/>
          <w:bCs w:val="1"/>
          <w:color w:val="auto"/>
        </w:rPr>
      </w:pPr>
      <w:r>
        <w:rPr>
          <w:rFonts w:ascii="Arial" w:cs="Arial" w:eastAsia="Arial" w:hAnsi="Arial"/>
          <w:sz w:val="15"/>
          <w:szCs w:val="15"/>
          <w:color w:val="auto"/>
        </w:rPr>
        <w:t>13.1. The Supplier shall not be liable for the quality of OSP Items or their condition and they are not included in the warranty that the Supplier grants the Customer for the Machine.</w:t>
      </w:r>
    </w:p>
    <w:p>
      <w:pPr>
        <w:spacing w:after="0" w:line="147" w:lineRule="exact"/>
        <w:rPr>
          <w:rFonts w:ascii="Arial" w:cs="Arial" w:eastAsia="Arial" w:hAnsi="Arial"/>
          <w:sz w:val="15"/>
          <w:szCs w:val="15"/>
          <w:b w:val="1"/>
          <w:bCs w:val="1"/>
          <w:color w:val="auto"/>
        </w:rPr>
      </w:pPr>
    </w:p>
    <w:p>
      <w:pPr>
        <w:ind w:left="531"/>
        <w:spacing w:after="0"/>
        <w:rPr>
          <w:rFonts w:ascii="Arial" w:cs="Arial" w:eastAsia="Arial" w:hAnsi="Arial"/>
          <w:sz w:val="15"/>
          <w:szCs w:val="15"/>
          <w:b w:val="1"/>
          <w:bCs w:val="1"/>
          <w:color w:val="auto"/>
        </w:rPr>
      </w:pPr>
      <w:r>
        <w:rPr>
          <w:rFonts w:ascii="Arial" w:cs="Arial" w:eastAsia="Arial" w:hAnsi="Arial"/>
          <w:sz w:val="15"/>
          <w:szCs w:val="15"/>
          <w:color w:val="auto"/>
        </w:rPr>
        <w:t>13.2.    OSP items shall be defined in the Production File.</w:t>
      </w:r>
    </w:p>
    <w:p>
      <w:pPr>
        <w:spacing w:after="0" w:line="186" w:lineRule="exact"/>
        <w:rPr>
          <w:rFonts w:ascii="Arial" w:cs="Arial" w:eastAsia="Arial" w:hAnsi="Arial"/>
          <w:sz w:val="15"/>
          <w:szCs w:val="15"/>
          <w:b w:val="1"/>
          <w:bCs w:val="1"/>
          <w:color w:val="auto"/>
        </w:rPr>
      </w:pPr>
    </w:p>
    <w:p>
      <w:pPr>
        <w:ind w:left="531"/>
        <w:spacing w:after="0"/>
        <w:rPr>
          <w:rFonts w:ascii="Arial" w:cs="Arial" w:eastAsia="Arial" w:hAnsi="Arial"/>
          <w:sz w:val="15"/>
          <w:szCs w:val="15"/>
          <w:b w:val="1"/>
          <w:bCs w:val="1"/>
          <w:color w:val="auto"/>
        </w:rPr>
      </w:pPr>
      <w:r>
        <w:rPr>
          <w:rFonts w:ascii="Arial" w:cs="Arial" w:eastAsia="Arial" w:hAnsi="Arial"/>
          <w:sz w:val="15"/>
          <w:szCs w:val="15"/>
          <w:color w:val="auto"/>
        </w:rPr>
        <w:t>13.3.    The Supplier shall assemble and install the OSP Items in accordance with the Production File and/or the Customer's written instructions.</w:t>
      </w:r>
    </w:p>
    <w:p>
      <w:pPr>
        <w:spacing w:after="0" w:line="186" w:lineRule="exact"/>
        <w:rPr>
          <w:rFonts w:ascii="Arial" w:cs="Arial" w:eastAsia="Arial" w:hAnsi="Arial"/>
          <w:sz w:val="15"/>
          <w:szCs w:val="15"/>
          <w:b w:val="1"/>
          <w:bCs w:val="1"/>
          <w:color w:val="auto"/>
        </w:rPr>
      </w:pPr>
    </w:p>
    <w:p>
      <w:pPr>
        <w:ind w:left="1071" w:hanging="538"/>
        <w:spacing w:after="0" w:line="272" w:lineRule="auto"/>
        <w:rPr>
          <w:rFonts w:ascii="Arial" w:cs="Arial" w:eastAsia="Arial" w:hAnsi="Arial"/>
          <w:sz w:val="15"/>
          <w:szCs w:val="15"/>
          <w:b w:val="1"/>
          <w:bCs w:val="1"/>
          <w:color w:val="auto"/>
        </w:rPr>
      </w:pPr>
      <w:r>
        <w:rPr>
          <w:rFonts w:ascii="Arial" w:cs="Arial" w:eastAsia="Arial" w:hAnsi="Arial"/>
          <w:sz w:val="15"/>
          <w:szCs w:val="15"/>
          <w:color w:val="auto"/>
        </w:rPr>
        <w:t>13.4. The Customer shall supply all of the OSP Items required for assembling the Product up to 45 days prior to the ate of supply of the Machine approved by the Supplier, and upon coordination with the Supplier.</w:t>
      </w:r>
    </w:p>
    <w:p>
      <w:pPr>
        <w:spacing w:after="0" w:line="147" w:lineRule="exact"/>
        <w:rPr>
          <w:rFonts w:ascii="Arial" w:cs="Arial" w:eastAsia="Arial" w:hAnsi="Arial"/>
          <w:sz w:val="15"/>
          <w:szCs w:val="15"/>
          <w:b w:val="1"/>
          <w:bCs w:val="1"/>
          <w:color w:val="auto"/>
        </w:rPr>
      </w:pPr>
    </w:p>
    <w:p>
      <w:pPr>
        <w:ind w:left="1071" w:hanging="538"/>
        <w:spacing w:after="0" w:line="253" w:lineRule="auto"/>
        <w:rPr>
          <w:rFonts w:ascii="Arial" w:cs="Arial" w:eastAsia="Arial" w:hAnsi="Arial"/>
          <w:sz w:val="15"/>
          <w:szCs w:val="15"/>
          <w:b w:val="1"/>
          <w:bCs w:val="1"/>
          <w:color w:val="auto"/>
        </w:rPr>
      </w:pPr>
      <w:r>
        <w:rPr>
          <w:rFonts w:ascii="Arial" w:cs="Arial" w:eastAsia="Arial" w:hAnsi="Arial"/>
          <w:sz w:val="15"/>
          <w:szCs w:val="15"/>
          <w:color w:val="auto"/>
        </w:rPr>
        <w:t>13.5. A delay in the supply of OSP Items up to 15 days prior to the date of supply shall entitle the Supplier to demand that the Customer pay the entire price of the Machine on the date of supply, in accordance with the Order, and in accordance with the agreed payment conditions, notwithstanding the fact that the date of actual supply of the Machine may be deferred by the Supplier due to the delay in supply of the OSP Items, on condition that the delay in supply of them contributed to the delay in supplying the Machine. By way of example, if the Customer ordered a Machine on February 20, and the date of supply approved by the Supplier was set for June 20, but the Customer only supplied the heads for installation in the Machine on June 19, the Supplier may supply the Machine on a later date, however since the delay in supply of the heads was what caused the delay in supply of the Order, the Customer shall be charged on June 20 and shall pay the price of the Machine to the Supplier on the date so required by the Supplier.</w:t>
      </w:r>
    </w:p>
    <w:p>
      <w:pPr>
        <w:spacing w:after="0" w:line="162" w:lineRule="exact"/>
        <w:rPr>
          <w:rFonts w:ascii="Arial" w:cs="Arial" w:eastAsia="Arial" w:hAnsi="Arial"/>
          <w:sz w:val="15"/>
          <w:szCs w:val="15"/>
          <w:b w:val="1"/>
          <w:bCs w:val="1"/>
          <w:color w:val="auto"/>
        </w:rPr>
      </w:pPr>
    </w:p>
    <w:p>
      <w:pPr>
        <w:ind w:left="531"/>
        <w:spacing w:after="0"/>
        <w:rPr>
          <w:rFonts w:ascii="Arial" w:cs="Arial" w:eastAsia="Arial" w:hAnsi="Arial"/>
          <w:sz w:val="15"/>
          <w:szCs w:val="15"/>
          <w:b w:val="1"/>
          <w:bCs w:val="1"/>
          <w:color w:val="auto"/>
        </w:rPr>
      </w:pPr>
      <w:r>
        <w:rPr>
          <w:rFonts w:ascii="Arial" w:cs="Arial" w:eastAsia="Arial" w:hAnsi="Arial"/>
          <w:sz w:val="15"/>
          <w:szCs w:val="15"/>
          <w:color w:val="auto"/>
        </w:rPr>
        <w:t>13.6.    OSP Items found to be faulty in the assembly process shall be replaced by the Customer within three business days.</w:t>
      </w:r>
    </w:p>
    <w:p>
      <w:pPr>
        <w:spacing w:after="0" w:line="186" w:lineRule="exact"/>
        <w:rPr>
          <w:rFonts w:ascii="Arial" w:cs="Arial" w:eastAsia="Arial" w:hAnsi="Arial"/>
          <w:sz w:val="15"/>
          <w:szCs w:val="15"/>
          <w:b w:val="1"/>
          <w:bCs w:val="1"/>
          <w:color w:val="auto"/>
        </w:rPr>
      </w:pPr>
    </w:p>
    <w:p>
      <w:pPr>
        <w:ind w:left="531"/>
        <w:spacing w:after="0"/>
        <w:rPr>
          <w:rFonts w:ascii="Arial" w:cs="Arial" w:eastAsia="Arial" w:hAnsi="Arial"/>
          <w:sz w:val="15"/>
          <w:szCs w:val="15"/>
          <w:b w:val="1"/>
          <w:bCs w:val="1"/>
          <w:color w:val="auto"/>
        </w:rPr>
      </w:pPr>
      <w:r>
        <w:rPr>
          <w:rFonts w:ascii="Arial" w:cs="Arial" w:eastAsia="Arial" w:hAnsi="Arial"/>
          <w:sz w:val="15"/>
          <w:szCs w:val="15"/>
          <w:color w:val="auto"/>
        </w:rPr>
        <w:t>13.7.    The Customer shall be liable for the working order and quality of the OSP components.</w:t>
      </w:r>
    </w:p>
    <w:p>
      <w:pPr>
        <w:spacing w:after="0" w:line="186" w:lineRule="exact"/>
        <w:rPr>
          <w:rFonts w:ascii="Arial" w:cs="Arial" w:eastAsia="Arial" w:hAnsi="Arial"/>
          <w:sz w:val="15"/>
          <w:szCs w:val="15"/>
          <w:b w:val="1"/>
          <w:bCs w:val="1"/>
          <w:color w:val="auto"/>
        </w:rPr>
      </w:pPr>
    </w:p>
    <w:p>
      <w:pPr>
        <w:ind w:left="1071" w:hanging="538"/>
        <w:spacing w:after="0" w:line="303" w:lineRule="auto"/>
        <w:rPr>
          <w:rFonts w:ascii="Arial" w:cs="Arial" w:eastAsia="Arial" w:hAnsi="Arial"/>
          <w:sz w:val="15"/>
          <w:szCs w:val="15"/>
          <w:b w:val="1"/>
          <w:bCs w:val="1"/>
          <w:color w:val="auto"/>
        </w:rPr>
      </w:pPr>
      <w:r>
        <w:rPr>
          <w:rFonts w:ascii="Arial" w:cs="Arial" w:eastAsia="Arial" w:hAnsi="Arial"/>
          <w:sz w:val="13"/>
          <w:szCs w:val="13"/>
          <w:color w:val="auto"/>
        </w:rPr>
        <w:t xml:space="preserve">13.8. The Supplier shall handle the OSP Items responsibly and carefully. Only the Supplier's human resources who have undergone training to construct the Products the subject of this Agreement and staff in the warehouse and quality assurance shall be entitled to handle OSP Items. </w:t>
      </w:r>
      <w:r>
        <w:rPr>
          <w:rFonts w:ascii="Arial" w:cs="Arial" w:eastAsia="Arial" w:hAnsi="Arial"/>
          <w:sz w:val="13"/>
          <w:szCs w:val="13"/>
          <w:b w:val="1"/>
          <w:bCs w:val="1"/>
          <w:color w:val="auto"/>
        </w:rPr>
        <w:t>The Supplier shall not be liable for any damage that might</w:t>
      </w:r>
      <w:r>
        <w:rPr>
          <w:rFonts w:ascii="Arial" w:cs="Arial" w:eastAsia="Arial" w:hAnsi="Arial"/>
          <w:sz w:val="13"/>
          <w:szCs w:val="13"/>
          <w:color w:val="auto"/>
        </w:rPr>
        <w:t xml:space="preserve"> </w:t>
      </w:r>
      <w:r>
        <w:rPr>
          <w:rFonts w:ascii="Arial" w:cs="Arial" w:eastAsia="Arial" w:hAnsi="Arial"/>
          <w:sz w:val="13"/>
          <w:szCs w:val="13"/>
          <w:b w:val="1"/>
          <w:bCs w:val="1"/>
          <w:color w:val="auto"/>
        </w:rPr>
        <w:t>be caused to OSP Items</w:t>
      </w:r>
      <w:r>
        <w:rPr>
          <w:rFonts w:ascii="Arial" w:cs="Arial" w:eastAsia="Arial" w:hAnsi="Arial"/>
          <w:sz w:val="13"/>
          <w:szCs w:val="13"/>
          <w:color w:val="auto"/>
        </w:rPr>
        <w:t>, from receipt thereof by the Customer to completion of assembly of the Machine, including during the warranty period of the Machine.</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Notwithstanding the aforesaid, if the Supplier's information system, </w:t>
      </w:r>
      <w:r>
        <w:rPr>
          <w:rFonts w:ascii="Arial" w:cs="Arial" w:eastAsia="Arial" w:hAnsi="Arial"/>
          <w:sz w:val="13"/>
          <w:szCs w:val="13"/>
          <w:b w:val="1"/>
          <w:bCs w:val="1"/>
          <w:color w:val="auto"/>
        </w:rPr>
        <w:t>when compared with Orders from the Supplier only</w:t>
      </w:r>
      <w:r>
        <w:rPr>
          <w:rFonts w:ascii="Arial" w:cs="Arial" w:eastAsia="Arial" w:hAnsi="Arial"/>
          <w:sz w:val="13"/>
          <w:szCs w:val="13"/>
          <w:color w:val="auto"/>
        </w:rPr>
        <w:t>, and following a stock take at the Supplier, encounters a situation in which OSP Items provided to the Supplier are discovered to be missing, the Supplier shall pay the cost of the missing items to the Customer.</w:t>
      </w:r>
    </w:p>
    <w:p>
      <w:pPr>
        <w:spacing w:after="0" w:line="155" w:lineRule="exact"/>
        <w:rPr>
          <w:sz w:val="20"/>
          <w:szCs w:val="20"/>
          <w:color w:val="auto"/>
        </w:rPr>
      </w:pPr>
    </w:p>
    <w:p>
      <w:pPr>
        <w:ind w:left="-9" w:firstLine="9"/>
        <w:spacing w:after="0" w:line="272" w:lineRule="auto"/>
        <w:tabs>
          <w:tab w:leader="none" w:pos="252" w:val="left"/>
        </w:tabs>
        <w:numPr>
          <w:ilvl w:val="0"/>
          <w:numId w:val="27"/>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193040</wp:posOffset>
            </wp:positionV>
            <wp:extent cx="7198360"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31"/>
          </w:cols>
          <w:pgMar w:left="289" w:top="779" w:right="279" w:bottom="1440" w:gutter="0" w:footer="0" w:header="0"/>
        </w:sectPr>
      </w:pPr>
    </w:p>
    <w:bookmarkStart w:id="16" w:name="page17"/>
    <w:bookmarkEnd w:id="16"/>
    <w:p>
      <w:pPr>
        <w:ind w:left="531" w:hanging="531"/>
        <w:spacing w:after="0"/>
        <w:tabs>
          <w:tab w:leader="none" w:pos="531" w:val="left"/>
        </w:tabs>
        <w:numPr>
          <w:ilvl w:val="0"/>
          <w:numId w:val="28"/>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Changes</w:t>
      </w:r>
    </w:p>
    <w:p>
      <w:pPr>
        <w:spacing w:after="0" w:line="190" w:lineRule="exact"/>
        <w:rPr>
          <w:rFonts w:ascii="Arial" w:cs="Arial" w:eastAsia="Arial" w:hAnsi="Arial"/>
          <w:sz w:val="15"/>
          <w:szCs w:val="15"/>
          <w:b w:val="1"/>
          <w:bCs w:val="1"/>
          <w:color w:val="auto"/>
        </w:rPr>
      </w:pPr>
    </w:p>
    <w:p>
      <w:pPr>
        <w:ind w:left="1071" w:right="20" w:hanging="538"/>
        <w:spacing w:after="0" w:line="261" w:lineRule="auto"/>
        <w:rPr>
          <w:rFonts w:ascii="Arial" w:cs="Arial" w:eastAsia="Arial" w:hAnsi="Arial"/>
          <w:sz w:val="15"/>
          <w:szCs w:val="15"/>
          <w:b w:val="1"/>
          <w:bCs w:val="1"/>
          <w:color w:val="auto"/>
        </w:rPr>
      </w:pPr>
      <w:r>
        <w:rPr>
          <w:rFonts w:ascii="Arial" w:cs="Arial" w:eastAsia="Arial" w:hAnsi="Arial"/>
          <w:sz w:val="15"/>
          <w:szCs w:val="15"/>
          <w:color w:val="auto"/>
        </w:rPr>
        <w:t>14.1. The Customer shall be entitled, at any time and by notice in advance and in writing, to make changes to the Production File. The Customer shall bear all of the costs involved in any such change, in accordance with this Agreement. The Parties shall reach understandings, in good faith, with respect to possible changes in timetables and with respect to the application of the costs of such changes to the price of the Product and the Inventory to the Parties.</w:t>
      </w:r>
    </w:p>
    <w:p>
      <w:pPr>
        <w:spacing w:after="0" w:line="154" w:lineRule="exact"/>
        <w:rPr>
          <w:rFonts w:ascii="Arial" w:cs="Arial" w:eastAsia="Arial" w:hAnsi="Arial"/>
          <w:sz w:val="15"/>
          <w:szCs w:val="15"/>
          <w:b w:val="1"/>
          <w:bCs w:val="1"/>
          <w:color w:val="auto"/>
        </w:rPr>
      </w:pPr>
    </w:p>
    <w:p>
      <w:pPr>
        <w:ind w:left="531"/>
        <w:spacing w:after="0"/>
        <w:rPr>
          <w:rFonts w:ascii="Arial" w:cs="Arial" w:eastAsia="Arial" w:hAnsi="Arial"/>
          <w:sz w:val="15"/>
          <w:szCs w:val="15"/>
          <w:b w:val="1"/>
          <w:bCs w:val="1"/>
          <w:color w:val="auto"/>
        </w:rPr>
      </w:pPr>
      <w:r>
        <w:rPr>
          <w:rFonts w:ascii="Arial" w:cs="Arial" w:eastAsia="Arial" w:hAnsi="Arial"/>
          <w:sz w:val="15"/>
          <w:szCs w:val="15"/>
          <w:color w:val="auto"/>
        </w:rPr>
        <w:t>14.2.    It is emphasized that the Supplier shall not have any authority to make any changes to the Product File without the prior written approval of the Customer.</w:t>
      </w:r>
    </w:p>
    <w:p>
      <w:pPr>
        <w:spacing w:after="0" w:line="186" w:lineRule="exact"/>
        <w:rPr>
          <w:rFonts w:ascii="Arial" w:cs="Arial" w:eastAsia="Arial" w:hAnsi="Arial"/>
          <w:sz w:val="15"/>
          <w:szCs w:val="15"/>
          <w:b w:val="1"/>
          <w:bCs w:val="1"/>
          <w:color w:val="auto"/>
        </w:rPr>
      </w:pPr>
    </w:p>
    <w:p>
      <w:pPr>
        <w:ind w:left="1071" w:hanging="538"/>
        <w:spacing w:after="0" w:line="257" w:lineRule="auto"/>
        <w:rPr>
          <w:rFonts w:ascii="Arial" w:cs="Arial" w:eastAsia="Arial" w:hAnsi="Arial"/>
          <w:sz w:val="15"/>
          <w:szCs w:val="15"/>
          <w:b w:val="1"/>
          <w:bCs w:val="1"/>
          <w:color w:val="auto"/>
        </w:rPr>
      </w:pPr>
      <w:r>
        <w:rPr>
          <w:rFonts w:ascii="Arial" w:cs="Arial" w:eastAsia="Arial" w:hAnsi="Arial"/>
          <w:sz w:val="15"/>
          <w:szCs w:val="15"/>
          <w:color w:val="auto"/>
        </w:rPr>
        <w:t>14.3. In the event of any change whatsoever in the Product File, the Customer shall be responsible for providing the Supplier with an document setting out engineering changes to the Product File (hereinabove and hereinafter: “</w:t>
      </w:r>
      <w:r>
        <w:rPr>
          <w:rFonts w:ascii="Arial" w:cs="Arial" w:eastAsia="Arial" w:hAnsi="Arial"/>
          <w:sz w:val="15"/>
          <w:szCs w:val="15"/>
          <w:b w:val="1"/>
          <w:bCs w:val="1"/>
          <w:color w:val="auto"/>
        </w:rPr>
        <w:t>Engineering Changes</w:t>
      </w:r>
      <w:r>
        <w:rPr>
          <w:rFonts w:ascii="Arial" w:cs="Arial" w:eastAsia="Arial" w:hAnsi="Arial"/>
          <w:sz w:val="15"/>
          <w:szCs w:val="15"/>
          <w:color w:val="auto"/>
        </w:rPr>
        <w:t>” or “</w:t>
      </w:r>
      <w:r>
        <w:rPr>
          <w:rFonts w:ascii="Arial" w:cs="Arial" w:eastAsia="Arial" w:hAnsi="Arial"/>
          <w:sz w:val="15"/>
          <w:szCs w:val="15"/>
          <w:b w:val="1"/>
          <w:bCs w:val="1"/>
          <w:color w:val="auto"/>
        </w:rPr>
        <w:t>ECO</w:t>
      </w:r>
      <w:r>
        <w:rPr>
          <w:rFonts w:ascii="Arial" w:cs="Arial" w:eastAsia="Arial" w:hAnsi="Arial"/>
          <w:sz w:val="15"/>
          <w:szCs w:val="15"/>
          <w:color w:val="auto"/>
        </w:rPr>
        <w:t>”) within 3 business days of the date of imposition of any such change. The ECO document shall be submitted to the Supplier's Engineering Department for orderly receiving and implementation in the Production File. Confirmation that the ECO has been received and is being handled shall be provided by the Supplier within 2 business days of receipt.</w:t>
      </w:r>
    </w:p>
    <w:p>
      <w:pPr>
        <w:spacing w:after="0" w:line="158" w:lineRule="exact"/>
        <w:rPr>
          <w:rFonts w:ascii="Arial" w:cs="Arial" w:eastAsia="Arial" w:hAnsi="Arial"/>
          <w:sz w:val="15"/>
          <w:szCs w:val="15"/>
          <w:b w:val="1"/>
          <w:bCs w:val="1"/>
          <w:color w:val="auto"/>
        </w:rPr>
      </w:pPr>
    </w:p>
    <w:p>
      <w:pPr>
        <w:ind w:left="1071" w:right="20" w:hanging="538"/>
        <w:spacing w:after="0" w:line="272" w:lineRule="auto"/>
        <w:rPr>
          <w:rFonts w:ascii="Arial" w:cs="Arial" w:eastAsia="Arial" w:hAnsi="Arial"/>
          <w:sz w:val="15"/>
          <w:szCs w:val="15"/>
          <w:b w:val="1"/>
          <w:bCs w:val="1"/>
          <w:color w:val="auto"/>
        </w:rPr>
      </w:pPr>
      <w:r>
        <w:rPr>
          <w:rFonts w:ascii="Arial" w:cs="Arial" w:eastAsia="Arial" w:hAnsi="Arial"/>
          <w:sz w:val="15"/>
          <w:szCs w:val="15"/>
          <w:color w:val="auto"/>
        </w:rPr>
        <w:t>14.4. Implementation of the ECO in assembly shall apply in accordance with the Customer's instruction, i.e., the Customer shall set out to the Supplier, in writing, the Machine in which ECO implementation is to commence.</w:t>
      </w:r>
    </w:p>
    <w:p>
      <w:pPr>
        <w:spacing w:after="0" w:line="147" w:lineRule="exact"/>
        <w:rPr>
          <w:rFonts w:ascii="Arial" w:cs="Arial" w:eastAsia="Arial" w:hAnsi="Arial"/>
          <w:sz w:val="15"/>
          <w:szCs w:val="15"/>
          <w:b w:val="1"/>
          <w:bCs w:val="1"/>
          <w:color w:val="auto"/>
        </w:rPr>
      </w:pPr>
    </w:p>
    <w:p>
      <w:pPr>
        <w:ind w:left="1071" w:right="20" w:hanging="538"/>
        <w:spacing w:after="0" w:line="272" w:lineRule="auto"/>
        <w:rPr>
          <w:rFonts w:ascii="Arial" w:cs="Arial" w:eastAsia="Arial" w:hAnsi="Arial"/>
          <w:sz w:val="15"/>
          <w:szCs w:val="15"/>
          <w:b w:val="1"/>
          <w:bCs w:val="1"/>
          <w:color w:val="auto"/>
        </w:rPr>
      </w:pPr>
      <w:r>
        <w:rPr>
          <w:rFonts w:ascii="Arial" w:cs="Arial" w:eastAsia="Arial" w:hAnsi="Arial"/>
          <w:sz w:val="15"/>
          <w:szCs w:val="15"/>
          <w:color w:val="auto"/>
        </w:rPr>
        <w:t>14.5. The process of implementation of ECO includes the following Departments: Engineering, Configuration Control, Production Design and Supervision, Purchasing, and Warehouse.</w:t>
      </w:r>
    </w:p>
    <w:p>
      <w:pPr>
        <w:spacing w:after="0" w:line="147" w:lineRule="exact"/>
        <w:rPr>
          <w:rFonts w:ascii="Arial" w:cs="Arial" w:eastAsia="Arial" w:hAnsi="Arial"/>
          <w:sz w:val="15"/>
          <w:szCs w:val="15"/>
          <w:b w:val="1"/>
          <w:bCs w:val="1"/>
          <w:color w:val="auto"/>
        </w:rPr>
      </w:pPr>
    </w:p>
    <w:p>
      <w:pPr>
        <w:ind w:left="1071" w:hanging="538"/>
        <w:spacing w:after="0" w:line="288" w:lineRule="auto"/>
        <w:rPr>
          <w:rFonts w:ascii="Arial" w:cs="Arial" w:eastAsia="Arial" w:hAnsi="Arial"/>
          <w:sz w:val="15"/>
          <w:szCs w:val="15"/>
          <w:b w:val="1"/>
          <w:bCs w:val="1"/>
          <w:color w:val="auto"/>
        </w:rPr>
      </w:pPr>
      <w:r>
        <w:rPr>
          <w:rFonts w:ascii="Arial" w:cs="Arial" w:eastAsia="Arial" w:hAnsi="Arial"/>
          <w:sz w:val="14"/>
          <w:szCs w:val="14"/>
          <w:color w:val="auto"/>
        </w:rPr>
        <w:t>14.6. The ECO shall be updated and implemented in products by the Supplier within 15 business days of the date of receipt of it, subject to the Supplier being able to obtain all of the necessary components within such timeframe. If this is not possible, the Customer shall choose whether to defer the date of implementation of the Engineering Change or to supply the components required in order to implement the Change to the Supplier itself, on the date prescribed in writing by the Supplier.</w:t>
      </w:r>
    </w:p>
    <w:p>
      <w:pPr>
        <w:spacing w:after="0" w:line="138" w:lineRule="exact"/>
        <w:rPr>
          <w:rFonts w:ascii="Arial" w:cs="Arial" w:eastAsia="Arial" w:hAnsi="Arial"/>
          <w:sz w:val="15"/>
          <w:szCs w:val="15"/>
          <w:b w:val="1"/>
          <w:bCs w:val="1"/>
          <w:color w:val="auto"/>
        </w:rPr>
      </w:pPr>
    </w:p>
    <w:p>
      <w:pPr>
        <w:ind w:left="1071" w:hanging="538"/>
        <w:spacing w:after="0" w:line="309" w:lineRule="auto"/>
        <w:rPr>
          <w:rFonts w:ascii="Arial" w:cs="Arial" w:eastAsia="Arial" w:hAnsi="Arial"/>
          <w:sz w:val="15"/>
          <w:szCs w:val="15"/>
          <w:b w:val="1"/>
          <w:bCs w:val="1"/>
          <w:color w:val="auto"/>
        </w:rPr>
      </w:pPr>
      <w:r>
        <w:rPr>
          <w:rFonts w:ascii="Arial" w:cs="Arial" w:eastAsia="Arial" w:hAnsi="Arial"/>
          <w:sz w:val="13"/>
          <w:szCs w:val="13"/>
          <w:color w:val="auto"/>
        </w:rPr>
        <w:t>14.7. The Customer shall be responsible for providing the Supplier, in writing, with purchasing details for new items contained in the ECO (including price, supplier, MOQ). If the Customer gives notice to the Supplier in writing that the ECO is mandatory, i.e., critical and urgent, update and implementation of the ECO in Products shall be executed within 7 business days, subject to the Parties reaching a written agreement with respect to the change that may be required in the price, and in the payment conditions. In such a case, the Customer shall supply the components required for updating the ECO at its expense, immediately upon the date required by the Supplier.</w:t>
      </w:r>
    </w:p>
    <w:p>
      <w:pPr>
        <w:spacing w:after="0" w:line="127" w:lineRule="exact"/>
        <w:rPr>
          <w:rFonts w:ascii="Arial" w:cs="Arial" w:eastAsia="Arial" w:hAnsi="Arial"/>
          <w:sz w:val="15"/>
          <w:szCs w:val="15"/>
          <w:b w:val="1"/>
          <w:bCs w:val="1"/>
          <w:color w:val="auto"/>
        </w:rPr>
      </w:pPr>
    </w:p>
    <w:p>
      <w:pPr>
        <w:ind w:left="1071" w:hanging="538"/>
        <w:spacing w:after="0" w:line="288" w:lineRule="auto"/>
        <w:rPr>
          <w:rFonts w:ascii="Arial" w:cs="Arial" w:eastAsia="Arial" w:hAnsi="Arial"/>
          <w:sz w:val="15"/>
          <w:szCs w:val="15"/>
          <w:b w:val="1"/>
          <w:bCs w:val="1"/>
          <w:color w:val="auto"/>
        </w:rPr>
      </w:pPr>
      <w:r>
        <w:rPr>
          <w:rFonts w:ascii="Arial" w:cs="Arial" w:eastAsia="Arial" w:hAnsi="Arial"/>
          <w:sz w:val="14"/>
          <w:szCs w:val="14"/>
          <w:color w:val="auto"/>
        </w:rPr>
        <w:t>14.8. If there is surplus Inventory as a result of the Engineering Change and this is purchased by the Supplier in accordance with the Orders provided by the Customer, all such surplus Inventory shall be purchased by the Customer, within 7 business days of the date of the notice in writing regarding the Engineering Changes, at the price agreed for pricing the Machine, plus [***]% (cost + [***]%) (cost + [***]% as set out in the price list in section 19.3), plus VAT at law.</w:t>
      </w:r>
    </w:p>
    <w:p>
      <w:pPr>
        <w:spacing w:after="0" w:line="160" w:lineRule="exact"/>
        <w:rPr>
          <w:sz w:val="20"/>
          <w:szCs w:val="20"/>
          <w:color w:val="auto"/>
        </w:rPr>
      </w:pPr>
    </w:p>
    <w:p>
      <w:pPr>
        <w:ind w:left="-9" w:firstLine="9"/>
        <w:spacing w:after="0" w:line="272" w:lineRule="auto"/>
        <w:tabs>
          <w:tab w:leader="none" w:pos="252" w:val="left"/>
        </w:tabs>
        <w:numPr>
          <w:ilvl w:val="0"/>
          <w:numId w:val="29"/>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193040</wp:posOffset>
            </wp:positionV>
            <wp:extent cx="7198360"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31"/>
          </w:cols>
          <w:pgMar w:left="289" w:top="753" w:right="279" w:bottom="1440" w:gutter="0" w:footer="0" w:header="0"/>
        </w:sectPr>
      </w:pPr>
    </w:p>
    <w:bookmarkStart w:id="17" w:name="page18"/>
    <w:bookmarkEnd w:id="17"/>
    <w:p>
      <w:pPr>
        <w:ind w:left="531" w:hanging="531"/>
        <w:spacing w:after="0"/>
        <w:tabs>
          <w:tab w:leader="none" w:pos="531" w:val="left"/>
        </w:tabs>
        <w:numPr>
          <w:ilvl w:val="0"/>
          <w:numId w:val="30"/>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Supply</w:t>
      </w:r>
    </w:p>
    <w:p>
      <w:pPr>
        <w:spacing w:after="0" w:line="190" w:lineRule="exact"/>
        <w:rPr>
          <w:rFonts w:ascii="Arial" w:cs="Arial" w:eastAsia="Arial" w:hAnsi="Arial"/>
          <w:sz w:val="15"/>
          <w:szCs w:val="15"/>
          <w:b w:val="1"/>
          <w:bCs w:val="1"/>
          <w:color w:val="auto"/>
        </w:rPr>
      </w:pPr>
    </w:p>
    <w:p>
      <w:pPr>
        <w:ind w:left="1071" w:right="20" w:hanging="538"/>
        <w:spacing w:after="0" w:line="272" w:lineRule="auto"/>
        <w:rPr>
          <w:rFonts w:ascii="Arial" w:cs="Arial" w:eastAsia="Arial" w:hAnsi="Arial"/>
          <w:sz w:val="15"/>
          <w:szCs w:val="15"/>
          <w:b w:val="1"/>
          <w:bCs w:val="1"/>
          <w:color w:val="auto"/>
        </w:rPr>
      </w:pPr>
      <w:r>
        <w:rPr>
          <w:rFonts w:ascii="Arial" w:cs="Arial" w:eastAsia="Arial" w:hAnsi="Arial"/>
          <w:sz w:val="15"/>
          <w:szCs w:val="15"/>
          <w:color w:val="auto"/>
        </w:rPr>
        <w:t>15.1. Machines shall undergo integration (i.e., a process set out in the Production File and effected by the Supplier), ATP and preparation for packaging (cleaning, color corrections, etc.), defined by the Customer.</w:t>
      </w:r>
    </w:p>
    <w:p>
      <w:pPr>
        <w:spacing w:after="0" w:line="147" w:lineRule="exact"/>
        <w:rPr>
          <w:rFonts w:ascii="Arial" w:cs="Arial" w:eastAsia="Arial" w:hAnsi="Arial"/>
          <w:sz w:val="15"/>
          <w:szCs w:val="15"/>
          <w:b w:val="1"/>
          <w:bCs w:val="1"/>
          <w:color w:val="auto"/>
        </w:rPr>
      </w:pPr>
    </w:p>
    <w:p>
      <w:pPr>
        <w:ind w:left="1071" w:hanging="538"/>
        <w:spacing w:after="0" w:line="272" w:lineRule="auto"/>
        <w:rPr>
          <w:rFonts w:ascii="Arial" w:cs="Arial" w:eastAsia="Arial" w:hAnsi="Arial"/>
          <w:sz w:val="15"/>
          <w:szCs w:val="15"/>
          <w:b w:val="1"/>
          <w:bCs w:val="1"/>
          <w:color w:val="auto"/>
        </w:rPr>
      </w:pPr>
      <w:r>
        <w:rPr>
          <w:rFonts w:ascii="Arial" w:cs="Arial" w:eastAsia="Arial" w:hAnsi="Arial"/>
          <w:sz w:val="15"/>
          <w:szCs w:val="15"/>
          <w:color w:val="auto"/>
        </w:rPr>
        <w:t>15.2. After preparation of the Machine for packaging, the Supplier shall conduct a review of the packaging process, in coordination with the Customer and in accordance with the packaging procedures set out in the Production File.</w:t>
      </w:r>
    </w:p>
    <w:p>
      <w:pPr>
        <w:spacing w:after="0" w:line="147" w:lineRule="exact"/>
        <w:rPr>
          <w:rFonts w:ascii="Arial" w:cs="Arial" w:eastAsia="Arial" w:hAnsi="Arial"/>
          <w:sz w:val="15"/>
          <w:szCs w:val="15"/>
          <w:b w:val="1"/>
          <w:bCs w:val="1"/>
          <w:color w:val="auto"/>
        </w:rPr>
      </w:pPr>
    </w:p>
    <w:p>
      <w:pPr>
        <w:ind w:left="531"/>
        <w:spacing w:after="0"/>
        <w:rPr>
          <w:rFonts w:ascii="Arial" w:cs="Arial" w:eastAsia="Arial" w:hAnsi="Arial"/>
          <w:sz w:val="15"/>
          <w:szCs w:val="15"/>
          <w:b w:val="1"/>
          <w:bCs w:val="1"/>
          <w:color w:val="auto"/>
        </w:rPr>
      </w:pPr>
      <w:r>
        <w:rPr>
          <w:rFonts w:ascii="Arial" w:cs="Arial" w:eastAsia="Arial" w:hAnsi="Arial"/>
          <w:sz w:val="15"/>
          <w:szCs w:val="15"/>
          <w:color w:val="auto"/>
        </w:rPr>
        <w:t>15.3.    The Machines shall be supplied at the gates of the Supplier's factory.</w:t>
      </w:r>
    </w:p>
    <w:p>
      <w:pPr>
        <w:spacing w:after="0" w:line="186" w:lineRule="exact"/>
        <w:rPr>
          <w:rFonts w:ascii="Arial" w:cs="Arial" w:eastAsia="Arial" w:hAnsi="Arial"/>
          <w:sz w:val="15"/>
          <w:szCs w:val="15"/>
          <w:b w:val="1"/>
          <w:bCs w:val="1"/>
          <w:color w:val="auto"/>
        </w:rPr>
      </w:pPr>
    </w:p>
    <w:p>
      <w:pPr>
        <w:ind w:left="531"/>
        <w:spacing w:after="0"/>
        <w:rPr>
          <w:rFonts w:ascii="Arial" w:cs="Arial" w:eastAsia="Arial" w:hAnsi="Arial"/>
          <w:sz w:val="15"/>
          <w:szCs w:val="15"/>
          <w:b w:val="1"/>
          <w:bCs w:val="1"/>
          <w:color w:val="auto"/>
        </w:rPr>
      </w:pPr>
      <w:r>
        <w:rPr>
          <w:rFonts w:ascii="Arial" w:cs="Arial" w:eastAsia="Arial" w:hAnsi="Arial"/>
          <w:sz w:val="15"/>
          <w:szCs w:val="15"/>
          <w:color w:val="auto"/>
        </w:rPr>
        <w:t>15.4.    Packaged Machines shall be sent for storage by the Customer, at the Customer's expense, to a storage site selected by the Customer.</w:t>
      </w:r>
    </w:p>
    <w:p>
      <w:pPr>
        <w:spacing w:after="0" w:line="186" w:lineRule="exact"/>
        <w:rPr>
          <w:rFonts w:ascii="Arial" w:cs="Arial" w:eastAsia="Arial" w:hAnsi="Arial"/>
          <w:sz w:val="15"/>
          <w:szCs w:val="15"/>
          <w:b w:val="1"/>
          <w:bCs w:val="1"/>
          <w:color w:val="auto"/>
        </w:rPr>
      </w:pPr>
    </w:p>
    <w:p>
      <w:pPr>
        <w:ind w:left="1071" w:right="20" w:hanging="538"/>
        <w:spacing w:after="0" w:line="272" w:lineRule="auto"/>
        <w:rPr>
          <w:rFonts w:ascii="Arial" w:cs="Arial" w:eastAsia="Arial" w:hAnsi="Arial"/>
          <w:sz w:val="15"/>
          <w:szCs w:val="15"/>
          <w:b w:val="1"/>
          <w:bCs w:val="1"/>
          <w:color w:val="auto"/>
        </w:rPr>
      </w:pPr>
      <w:r>
        <w:rPr>
          <w:rFonts w:ascii="Arial" w:cs="Arial" w:eastAsia="Arial" w:hAnsi="Arial"/>
          <w:sz w:val="15"/>
          <w:szCs w:val="15"/>
          <w:color w:val="auto"/>
        </w:rPr>
        <w:t>15.5. Machines that do not contain all of the items defined in the exit kit as such term is defined in the Production File shall not be packaged and shall not leave the gates of the Supplier's factory without the written consent of the Customer.</w:t>
      </w:r>
    </w:p>
    <w:p>
      <w:pPr>
        <w:spacing w:after="0" w:line="147" w:lineRule="exact"/>
        <w:rPr>
          <w:rFonts w:ascii="Arial" w:cs="Arial" w:eastAsia="Arial" w:hAnsi="Arial"/>
          <w:sz w:val="15"/>
          <w:szCs w:val="15"/>
          <w:b w:val="1"/>
          <w:bCs w:val="1"/>
          <w:color w:val="auto"/>
        </w:rPr>
      </w:pPr>
    </w:p>
    <w:p>
      <w:pPr>
        <w:ind w:left="1071" w:hanging="538"/>
        <w:spacing w:after="0" w:line="272" w:lineRule="auto"/>
        <w:rPr>
          <w:rFonts w:ascii="Arial" w:cs="Arial" w:eastAsia="Arial" w:hAnsi="Arial"/>
          <w:sz w:val="15"/>
          <w:szCs w:val="15"/>
          <w:b w:val="1"/>
          <w:bCs w:val="1"/>
          <w:color w:val="auto"/>
        </w:rPr>
      </w:pPr>
      <w:r>
        <w:rPr>
          <w:rFonts w:ascii="Arial" w:cs="Arial" w:eastAsia="Arial" w:hAnsi="Arial"/>
          <w:sz w:val="15"/>
          <w:szCs w:val="15"/>
          <w:color w:val="auto"/>
        </w:rPr>
        <w:t>15.6. The Supplier shall be liable for the completion and orderly functioning of the Products up to delivery thereof to the Customer or to the packaging company at the gate of the Supplier's factory.</w:t>
      </w:r>
    </w:p>
    <w:p>
      <w:pPr>
        <w:spacing w:after="0" w:line="147" w:lineRule="exact"/>
        <w:rPr>
          <w:rFonts w:ascii="Arial" w:cs="Arial" w:eastAsia="Arial" w:hAnsi="Arial"/>
          <w:sz w:val="15"/>
          <w:szCs w:val="15"/>
          <w:b w:val="1"/>
          <w:bCs w:val="1"/>
          <w:color w:val="auto"/>
        </w:rPr>
      </w:pPr>
    </w:p>
    <w:p>
      <w:pPr>
        <w:ind w:left="1071" w:hanging="538"/>
        <w:spacing w:after="0" w:line="257" w:lineRule="auto"/>
        <w:rPr>
          <w:rFonts w:ascii="Arial" w:cs="Arial" w:eastAsia="Arial" w:hAnsi="Arial"/>
          <w:sz w:val="15"/>
          <w:szCs w:val="15"/>
          <w:b w:val="1"/>
          <w:bCs w:val="1"/>
          <w:color w:val="auto"/>
        </w:rPr>
      </w:pPr>
      <w:r>
        <w:rPr>
          <w:rFonts w:ascii="Arial" w:cs="Arial" w:eastAsia="Arial" w:hAnsi="Arial"/>
          <w:sz w:val="15"/>
          <w:szCs w:val="15"/>
          <w:color w:val="auto"/>
        </w:rPr>
        <w:t>15.7. If there is a delay in the supply plan, the Supplier must, within one week of the date requested in the Purchase Order, submit a renewed supply plan, setting out the method for closing the gap for subsequent Machines in line for Supply (a Recovery Plan) during the following month. In other words, if there is a delay in the supply of one Machine, the Supplier must send an updated supply plan containing an up-to-date date of supply for such Machine and for all subsequent Machines the supply of which is also delayed due to the delay in supplying the first Machine.</w:t>
      </w:r>
    </w:p>
    <w:p>
      <w:pPr>
        <w:spacing w:after="0" w:line="154" w:lineRule="exact"/>
        <w:rPr>
          <w:rFonts w:ascii="Arial" w:cs="Arial" w:eastAsia="Arial" w:hAnsi="Arial"/>
          <w:sz w:val="15"/>
          <w:szCs w:val="15"/>
          <w:b w:val="1"/>
          <w:bCs w:val="1"/>
          <w:color w:val="auto"/>
        </w:rPr>
      </w:pPr>
    </w:p>
    <w:p>
      <w:pPr>
        <w:ind w:left="531" w:hanging="531"/>
        <w:spacing w:after="0"/>
        <w:tabs>
          <w:tab w:leader="none" w:pos="531" w:val="left"/>
        </w:tabs>
        <w:numPr>
          <w:ilvl w:val="0"/>
          <w:numId w:val="30"/>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Cancellations, Deferrals and Advancements:</w:t>
      </w:r>
    </w:p>
    <w:p>
      <w:pPr>
        <w:spacing w:after="0" w:line="190" w:lineRule="exact"/>
        <w:rPr>
          <w:rFonts w:ascii="Arial" w:cs="Arial" w:eastAsia="Arial" w:hAnsi="Arial"/>
          <w:sz w:val="15"/>
          <w:szCs w:val="15"/>
          <w:b w:val="1"/>
          <w:bCs w:val="1"/>
          <w:color w:val="auto"/>
        </w:rPr>
      </w:pPr>
    </w:p>
    <w:p>
      <w:pPr>
        <w:ind w:left="531" w:right="5020"/>
        <w:spacing w:after="0" w:line="499" w:lineRule="auto"/>
        <w:rPr>
          <w:rFonts w:ascii="Arial" w:cs="Arial" w:eastAsia="Arial" w:hAnsi="Arial"/>
          <w:sz w:val="15"/>
          <w:szCs w:val="15"/>
          <w:b w:val="1"/>
          <w:bCs w:val="1"/>
          <w:color w:val="auto"/>
        </w:rPr>
      </w:pPr>
      <w:r>
        <w:rPr>
          <w:rFonts w:ascii="Arial" w:cs="Arial" w:eastAsia="Arial" w:hAnsi="Arial"/>
          <w:sz w:val="15"/>
          <w:szCs w:val="15"/>
          <w:color w:val="auto"/>
        </w:rPr>
        <w:t xml:space="preserve">The Customer shall have the right to advance, defer or cancel the supply of Products, as follows: 16.1. </w:t>
      </w:r>
      <w:r>
        <w:rPr>
          <w:rFonts w:ascii="Arial" w:cs="Arial" w:eastAsia="Arial" w:hAnsi="Arial"/>
          <w:sz w:val="15"/>
          <w:szCs w:val="15"/>
          <w:u w:val="single" w:color="auto"/>
          <w:color w:val="auto"/>
        </w:rPr>
        <w:t>Cancellations</w:t>
      </w:r>
    </w:p>
    <w:p>
      <w:pPr>
        <w:jc w:val="both"/>
        <w:ind w:left="1071"/>
        <w:spacing w:after="0" w:line="272" w:lineRule="auto"/>
        <w:rPr>
          <w:sz w:val="20"/>
          <w:szCs w:val="20"/>
          <w:color w:val="auto"/>
        </w:rPr>
      </w:pPr>
      <w:r>
        <w:rPr>
          <w:rFonts w:ascii="Arial" w:cs="Arial" w:eastAsia="Arial" w:hAnsi="Arial"/>
          <w:sz w:val="15"/>
          <w:szCs w:val="15"/>
          <w:color w:val="auto"/>
        </w:rPr>
        <w:t>Orders may be cancelled at no cost, except for the payments set out in this Agreement below, by way of written notice which shall be given to the Supplier at least three months prior to the date set out in the Work Order.</w:t>
      </w:r>
    </w:p>
    <w:p>
      <w:pPr>
        <w:spacing w:after="0" w:line="147" w:lineRule="exact"/>
        <w:rPr>
          <w:sz w:val="20"/>
          <w:szCs w:val="20"/>
          <w:color w:val="auto"/>
        </w:rPr>
      </w:pPr>
    </w:p>
    <w:p>
      <w:pPr>
        <w:jc w:val="both"/>
        <w:ind w:left="1071"/>
        <w:spacing w:after="0" w:line="351" w:lineRule="auto"/>
        <w:rPr>
          <w:sz w:val="20"/>
          <w:szCs w:val="20"/>
          <w:color w:val="auto"/>
        </w:rPr>
      </w:pPr>
      <w:r>
        <w:rPr>
          <w:rFonts w:ascii="Arial" w:cs="Arial" w:eastAsia="Arial" w:hAnsi="Arial"/>
          <w:sz w:val="13"/>
          <w:szCs w:val="13"/>
          <w:color w:val="auto"/>
        </w:rPr>
        <w:t>In the event of any cancellation of an Order, the Customer shall pay for any Inventory that the Supplier purchased in accordance with the Customer's Orders / undertakings and which cannot be cancelled without payment after the Supplier has made reasonable efforts to cancel them, plus [***]% plus VAT at law (cost + [***]% + VAT).</w:t>
      </w:r>
    </w:p>
    <w:p>
      <w:pPr>
        <w:spacing w:after="0" w:line="101" w:lineRule="exact"/>
        <w:rPr>
          <w:sz w:val="20"/>
          <w:szCs w:val="20"/>
          <w:color w:val="auto"/>
        </w:rPr>
      </w:pPr>
    </w:p>
    <w:p>
      <w:pPr>
        <w:ind w:left="531"/>
        <w:spacing w:after="0"/>
        <w:tabs>
          <w:tab w:leader="none" w:pos="1050" w:val="left"/>
        </w:tabs>
        <w:rPr>
          <w:sz w:val="20"/>
          <w:szCs w:val="20"/>
          <w:color w:val="auto"/>
        </w:rPr>
      </w:pPr>
      <w:r>
        <w:rPr>
          <w:rFonts w:ascii="Arial" w:cs="Arial" w:eastAsia="Arial" w:hAnsi="Arial"/>
          <w:sz w:val="15"/>
          <w:szCs w:val="15"/>
          <w:color w:val="auto"/>
        </w:rPr>
        <w:t>16.2.</w:t>
      </w:r>
      <w:r>
        <w:rPr>
          <w:sz w:val="20"/>
          <w:szCs w:val="20"/>
          <w:color w:val="auto"/>
        </w:rPr>
        <w:tab/>
      </w:r>
      <w:r>
        <w:rPr>
          <w:rFonts w:ascii="Arial" w:cs="Arial" w:eastAsia="Arial" w:hAnsi="Arial"/>
          <w:sz w:val="13"/>
          <w:szCs w:val="13"/>
          <w:u w:val="single" w:color="auto"/>
          <w:color w:val="auto"/>
        </w:rPr>
        <w:t>Deferrals</w:t>
      </w:r>
    </w:p>
    <w:p>
      <w:pPr>
        <w:spacing w:after="0" w:line="186" w:lineRule="exact"/>
        <w:rPr>
          <w:sz w:val="20"/>
          <w:szCs w:val="20"/>
          <w:color w:val="auto"/>
        </w:rPr>
      </w:pPr>
    </w:p>
    <w:p>
      <w:pPr>
        <w:jc w:val="both"/>
        <w:ind w:left="1071"/>
        <w:spacing w:after="0" w:line="261" w:lineRule="auto"/>
        <w:rPr>
          <w:sz w:val="20"/>
          <w:szCs w:val="20"/>
          <w:color w:val="auto"/>
        </w:rPr>
      </w:pPr>
      <w:r>
        <w:rPr>
          <w:rFonts w:ascii="Arial" w:cs="Arial" w:eastAsia="Arial" w:hAnsi="Arial"/>
          <w:sz w:val="15"/>
          <w:szCs w:val="15"/>
          <w:color w:val="auto"/>
        </w:rPr>
        <w:t>The Customer shall be entitled to defer the dates of supply set out in the Work Order provided that the Supplier receive a written notice of deferral from the Customer at least 30 days prior to the date of supply set out in the Work Order, the deferral shall be for a period of not more than 30 days, in an advance written notice to the Supplier in accordance with the following conditions and details:</w:t>
      </w:r>
    </w:p>
    <w:p>
      <w:pPr>
        <w:spacing w:after="0" w:line="155" w:lineRule="exact"/>
        <w:rPr>
          <w:sz w:val="20"/>
          <w:szCs w:val="20"/>
          <w:color w:val="auto"/>
        </w:rPr>
      </w:pPr>
    </w:p>
    <w:p>
      <w:pPr>
        <w:ind w:left="-9" w:firstLine="9"/>
        <w:spacing w:after="0" w:line="272" w:lineRule="auto"/>
        <w:tabs>
          <w:tab w:leader="none" w:pos="252" w:val="left"/>
        </w:tabs>
        <w:numPr>
          <w:ilvl w:val="0"/>
          <w:numId w:val="31"/>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193040</wp:posOffset>
            </wp:positionV>
            <wp:extent cx="7198360"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31"/>
          </w:cols>
          <w:pgMar w:left="289" w:top="753" w:right="279" w:bottom="1440" w:gutter="0" w:footer="0" w:header="0"/>
        </w:sectPr>
      </w:pPr>
    </w:p>
    <w:bookmarkStart w:id="18" w:name="page19"/>
    <w:bookmarkEnd w:id="18"/>
    <w:tbl>
      <w:tblPr>
        <w:tblLayout w:type="fixed"/>
        <w:tblInd w:w="1071" w:type="dxa"/>
        <w:tblCellMar>
          <w:top w:w="0" w:type="dxa"/>
          <w:left w:w="0" w:type="dxa"/>
          <w:bottom w:w="0" w:type="dxa"/>
          <w:right w:w="0" w:type="dxa"/>
        </w:tblCellMar>
      </w:tblPr>
      <w:tr>
        <w:trPr>
          <w:trHeight w:val="179"/>
        </w:trPr>
        <w:tc>
          <w:tcPr>
            <w:tcW w:w="6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Arial" w:cs="Arial" w:eastAsia="Arial" w:hAnsi="Arial"/>
                <w:sz w:val="15"/>
                <w:szCs w:val="15"/>
                <w:b w:val="1"/>
                <w:bCs w:val="1"/>
                <w:color w:val="auto"/>
                <w:w w:val="90"/>
              </w:rPr>
              <w:t>Period Prior to Date of</w:t>
            </w:r>
          </w:p>
        </w:tc>
      </w:tr>
      <w:tr>
        <w:trPr>
          <w:trHeight w:val="179"/>
        </w:trPr>
        <w:tc>
          <w:tcPr>
            <w:tcW w:w="6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Arial" w:cs="Arial" w:eastAsia="Arial" w:hAnsi="Arial"/>
                <w:sz w:val="15"/>
                <w:szCs w:val="15"/>
                <w:b w:val="1"/>
                <w:bCs w:val="1"/>
                <w:color w:val="auto"/>
                <w:w w:val="90"/>
              </w:rPr>
              <w:t>Supply set out in the Work</w:t>
            </w:r>
          </w:p>
        </w:tc>
      </w:tr>
      <w:tr>
        <w:trPr>
          <w:trHeight w:val="194"/>
        </w:trPr>
        <w:tc>
          <w:tcPr>
            <w:tcW w:w="638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5"/>
              </w:rPr>
              <w:t>Deferral Option</w:t>
            </w:r>
          </w:p>
        </w:tc>
        <w:tc>
          <w:tcPr>
            <w:tcW w:w="3600" w:type="dxa"/>
            <w:vAlign w:val="bottom"/>
          </w:tcPr>
          <w:p>
            <w:pPr>
              <w:jc w:val="center"/>
              <w:spacing w:after="0"/>
              <w:rPr>
                <w:sz w:val="20"/>
                <w:szCs w:val="20"/>
                <w:color w:val="auto"/>
              </w:rPr>
            </w:pPr>
            <w:r>
              <w:rPr>
                <w:rFonts w:ascii="Arial" w:cs="Arial" w:eastAsia="Arial" w:hAnsi="Arial"/>
                <w:sz w:val="15"/>
                <w:szCs w:val="15"/>
                <w:b w:val="1"/>
                <w:bCs w:val="1"/>
                <w:color w:val="auto"/>
                <w:w w:val="97"/>
              </w:rPr>
              <w:t>Order</w:t>
            </w:r>
          </w:p>
        </w:tc>
      </w:tr>
      <w:tr>
        <w:trPr>
          <w:trHeight w:val="160"/>
        </w:trPr>
        <w:tc>
          <w:tcPr>
            <w:tcW w:w="620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3"/>
                <w:szCs w:val="13"/>
                <w:color w:val="auto"/>
              </w:rPr>
            </w:pPr>
          </w:p>
        </w:tc>
        <w:tc>
          <w:tcPr>
            <w:tcW w:w="360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5"/>
                <w:szCs w:val="15"/>
                <w:color w:val="auto"/>
                <w:w w:val="90"/>
              </w:rPr>
              <w:t>Up to 30 days</w:t>
            </w:r>
          </w:p>
        </w:tc>
      </w:tr>
      <w:tr>
        <w:trPr>
          <w:trHeight w:val="179"/>
        </w:trPr>
        <w:tc>
          <w:tcPr>
            <w:tcW w:w="6380" w:type="dxa"/>
            <w:vAlign w:val="bottom"/>
            <w:gridSpan w:val="2"/>
          </w:tcPr>
          <w:p>
            <w:pPr>
              <w:jc w:val="center"/>
              <w:ind w:right="180"/>
              <w:spacing w:after="0"/>
              <w:rPr>
                <w:sz w:val="20"/>
                <w:szCs w:val="20"/>
                <w:color w:val="auto"/>
              </w:rPr>
            </w:pPr>
            <w:r>
              <w:rPr>
                <w:rFonts w:ascii="Arial" w:cs="Arial" w:eastAsia="Arial" w:hAnsi="Arial"/>
                <w:sz w:val="15"/>
                <w:szCs w:val="15"/>
                <w:color w:val="auto"/>
                <w:w w:val="91"/>
              </w:rPr>
              <w:t>[***]% of the quantity of the Machines intended to be supplied in the coming month (i.e., the calendar</w:t>
            </w:r>
          </w:p>
        </w:tc>
        <w:tc>
          <w:tcPr>
            <w:tcW w:w="3600" w:type="dxa"/>
            <w:vAlign w:val="bottom"/>
          </w:tcPr>
          <w:p>
            <w:pPr>
              <w:jc w:val="center"/>
              <w:spacing w:after="0"/>
              <w:rPr>
                <w:sz w:val="20"/>
                <w:szCs w:val="20"/>
                <w:color w:val="auto"/>
              </w:rPr>
            </w:pPr>
            <w:r>
              <w:rPr>
                <w:rFonts w:ascii="Arial" w:cs="Arial" w:eastAsia="Arial" w:hAnsi="Arial"/>
                <w:sz w:val="15"/>
                <w:szCs w:val="15"/>
                <w:color w:val="auto"/>
                <w:w w:val="89"/>
              </w:rPr>
              <w:t>Between 31-60 days</w:t>
            </w:r>
          </w:p>
        </w:tc>
      </w:tr>
      <w:tr>
        <w:trPr>
          <w:trHeight w:val="179"/>
        </w:trPr>
        <w:tc>
          <w:tcPr>
            <w:tcW w:w="6380" w:type="dxa"/>
            <w:vAlign w:val="bottom"/>
            <w:gridSpan w:val="2"/>
          </w:tcPr>
          <w:p>
            <w:pPr>
              <w:jc w:val="center"/>
              <w:ind w:right="180"/>
              <w:spacing w:after="0"/>
              <w:rPr>
                <w:sz w:val="20"/>
                <w:szCs w:val="20"/>
                <w:color w:val="auto"/>
              </w:rPr>
            </w:pPr>
            <w:r>
              <w:rPr>
                <w:rFonts w:ascii="Arial" w:cs="Arial" w:eastAsia="Arial" w:hAnsi="Arial"/>
                <w:sz w:val="15"/>
                <w:szCs w:val="15"/>
                <w:color w:val="auto"/>
                <w:w w:val="92"/>
              </w:rPr>
              <w:t>month following the original date of supply set out in the original Order)</w:t>
            </w:r>
          </w:p>
        </w:tc>
        <w:tc>
          <w:tcPr>
            <w:tcW w:w="3600" w:type="dxa"/>
            <w:vAlign w:val="bottom"/>
          </w:tcPr>
          <w:p>
            <w:pPr>
              <w:spacing w:after="0"/>
              <w:rPr>
                <w:sz w:val="15"/>
                <w:szCs w:val="15"/>
                <w:color w:val="auto"/>
              </w:rPr>
            </w:pPr>
          </w:p>
        </w:tc>
      </w:tr>
      <w:tr>
        <w:trPr>
          <w:trHeight w:val="179"/>
        </w:trPr>
        <w:tc>
          <w:tcPr>
            <w:tcW w:w="6380" w:type="dxa"/>
            <w:vAlign w:val="bottom"/>
            <w:gridSpan w:val="2"/>
          </w:tcPr>
          <w:p>
            <w:pPr>
              <w:jc w:val="center"/>
              <w:ind w:right="180"/>
              <w:spacing w:after="0"/>
              <w:rPr>
                <w:sz w:val="20"/>
                <w:szCs w:val="20"/>
                <w:color w:val="auto"/>
              </w:rPr>
            </w:pPr>
            <w:r>
              <w:rPr>
                <w:rFonts w:ascii="Arial" w:cs="Arial" w:eastAsia="Arial" w:hAnsi="Arial"/>
                <w:sz w:val="15"/>
                <w:szCs w:val="15"/>
                <w:color w:val="auto"/>
                <w:w w:val="91"/>
              </w:rPr>
              <w:t>[***]% of the quantity of the Machines intended to be supplied in the coming month (i.e., the calendar</w:t>
            </w:r>
          </w:p>
        </w:tc>
        <w:tc>
          <w:tcPr>
            <w:tcW w:w="3600" w:type="dxa"/>
            <w:vAlign w:val="bottom"/>
          </w:tcPr>
          <w:p>
            <w:pPr>
              <w:jc w:val="center"/>
              <w:spacing w:after="0"/>
              <w:rPr>
                <w:sz w:val="20"/>
                <w:szCs w:val="20"/>
                <w:color w:val="auto"/>
              </w:rPr>
            </w:pPr>
            <w:r>
              <w:rPr>
                <w:rFonts w:ascii="Arial" w:cs="Arial" w:eastAsia="Arial" w:hAnsi="Arial"/>
                <w:sz w:val="15"/>
                <w:szCs w:val="15"/>
                <w:color w:val="auto"/>
                <w:w w:val="89"/>
              </w:rPr>
              <w:t>Between 61-90 days</w:t>
            </w:r>
          </w:p>
        </w:tc>
      </w:tr>
      <w:tr>
        <w:trPr>
          <w:trHeight w:val="189"/>
        </w:trPr>
        <w:tc>
          <w:tcPr>
            <w:tcW w:w="6380" w:type="dxa"/>
            <w:vAlign w:val="bottom"/>
            <w:gridSpan w:val="2"/>
          </w:tcPr>
          <w:p>
            <w:pPr>
              <w:jc w:val="center"/>
              <w:ind w:right="180"/>
              <w:spacing w:after="0"/>
              <w:rPr>
                <w:sz w:val="20"/>
                <w:szCs w:val="20"/>
                <w:color w:val="auto"/>
              </w:rPr>
            </w:pPr>
            <w:r>
              <w:rPr>
                <w:rFonts w:ascii="Arial" w:cs="Arial" w:eastAsia="Arial" w:hAnsi="Arial"/>
                <w:sz w:val="15"/>
                <w:szCs w:val="15"/>
                <w:color w:val="auto"/>
                <w:w w:val="92"/>
              </w:rPr>
              <w:t>month following the original date of supply set out in the original Order)</w:t>
            </w:r>
          </w:p>
        </w:tc>
        <w:tc>
          <w:tcPr>
            <w:tcW w:w="3600" w:type="dxa"/>
            <w:vAlign w:val="bottom"/>
          </w:tcPr>
          <w:p>
            <w:pPr>
              <w:spacing w:after="0"/>
              <w:rPr>
                <w:sz w:val="16"/>
                <w:szCs w:val="16"/>
                <w:color w:val="auto"/>
              </w:rPr>
            </w:pPr>
          </w:p>
        </w:tc>
      </w:tr>
    </w:tbl>
    <w:p>
      <w:pPr>
        <w:spacing w:after="0" w:line="170" w:lineRule="exact"/>
        <w:rPr>
          <w:sz w:val="20"/>
          <w:szCs w:val="20"/>
          <w:color w:val="auto"/>
        </w:rPr>
      </w:pPr>
    </w:p>
    <w:p>
      <w:pPr>
        <w:jc w:val="both"/>
        <w:ind w:left="1071"/>
        <w:spacing w:after="0" w:line="272" w:lineRule="auto"/>
        <w:rPr>
          <w:sz w:val="20"/>
          <w:szCs w:val="20"/>
          <w:color w:val="auto"/>
        </w:rPr>
      </w:pPr>
      <w:r>
        <w:rPr>
          <w:rFonts w:ascii="Arial" w:cs="Arial" w:eastAsia="Arial" w:hAnsi="Arial"/>
          <w:sz w:val="15"/>
          <w:szCs w:val="15"/>
          <w:color w:val="auto"/>
        </w:rPr>
        <w:t>A notice of deferral as aforesaid may be given only once for each Machine (i.e., the Customer shall be entitled to give only one notice of deferral for each of the Machines in the Order).</w:t>
      </w:r>
    </w:p>
    <w:p>
      <w:pPr>
        <w:spacing w:after="0" w:line="147" w:lineRule="exact"/>
        <w:rPr>
          <w:sz w:val="20"/>
          <w:szCs w:val="20"/>
          <w:color w:val="auto"/>
        </w:rPr>
      </w:pPr>
    </w:p>
    <w:p>
      <w:pPr>
        <w:jc w:val="both"/>
        <w:ind w:left="1071"/>
        <w:spacing w:after="0" w:line="257" w:lineRule="auto"/>
        <w:rPr>
          <w:sz w:val="20"/>
          <w:szCs w:val="20"/>
          <w:color w:val="auto"/>
        </w:rPr>
      </w:pPr>
      <w:r>
        <w:rPr>
          <w:rFonts w:ascii="Arial" w:cs="Arial" w:eastAsia="Arial" w:hAnsi="Arial"/>
          <w:sz w:val="15"/>
          <w:szCs w:val="15"/>
          <w:color w:val="auto"/>
        </w:rPr>
        <w:t>Delivery of a notice of deferral within a period of less than 30 days prior to the date of supply set out in the Work Order shall require the Customer to pay [***] set out in the Work Order for the relevant Machine at the time of supply agreed upon in the original Order, and as of the date set out in the original Work Order, on the date on which the Machine is prepared for dispatch to the Customer, the Customer shall be required to send the Machine for storage immediately, at the Customer's expense and liability, at the storage site prescribed by the Customer.</w:t>
      </w:r>
    </w:p>
    <w:p>
      <w:pPr>
        <w:spacing w:after="0" w:line="158" w:lineRule="exact"/>
        <w:rPr>
          <w:sz w:val="20"/>
          <w:szCs w:val="20"/>
          <w:color w:val="auto"/>
        </w:rPr>
      </w:pPr>
    </w:p>
    <w:p>
      <w:pPr>
        <w:jc w:val="both"/>
        <w:ind w:left="1071"/>
        <w:spacing w:after="0" w:line="261" w:lineRule="auto"/>
        <w:rPr>
          <w:sz w:val="20"/>
          <w:szCs w:val="20"/>
          <w:color w:val="auto"/>
        </w:rPr>
      </w:pPr>
      <w:r>
        <w:rPr>
          <w:rFonts w:ascii="Arial" w:cs="Arial" w:eastAsia="Arial" w:hAnsi="Arial"/>
          <w:sz w:val="15"/>
          <w:szCs w:val="15"/>
          <w:color w:val="auto"/>
        </w:rPr>
        <w:t>In the event of deferral of the date of supply by more than 7 days due to the performance of development works by the Customer, the Customer shall be charged with payment for the production floor area that will be required for performance of the development works in accordance with the size of the area required and the period of performance of the development works (and all in accordance with the price list as set out in section 19.3 below).</w:t>
      </w:r>
    </w:p>
    <w:p>
      <w:pPr>
        <w:spacing w:after="0" w:line="155" w:lineRule="exact"/>
        <w:rPr>
          <w:sz w:val="20"/>
          <w:szCs w:val="20"/>
          <w:color w:val="auto"/>
        </w:rPr>
      </w:pPr>
    </w:p>
    <w:p>
      <w:pPr>
        <w:ind w:left="531"/>
        <w:spacing w:after="0"/>
        <w:tabs>
          <w:tab w:leader="none" w:pos="1050" w:val="left"/>
        </w:tabs>
        <w:rPr>
          <w:sz w:val="20"/>
          <w:szCs w:val="20"/>
          <w:color w:val="auto"/>
        </w:rPr>
      </w:pPr>
      <w:r>
        <w:rPr>
          <w:rFonts w:ascii="Arial" w:cs="Arial" w:eastAsia="Arial" w:hAnsi="Arial"/>
          <w:sz w:val="15"/>
          <w:szCs w:val="15"/>
          <w:color w:val="auto"/>
        </w:rPr>
        <w:t>16.3.</w:t>
      </w:r>
      <w:r>
        <w:rPr>
          <w:sz w:val="20"/>
          <w:szCs w:val="20"/>
          <w:color w:val="auto"/>
        </w:rPr>
        <w:tab/>
      </w:r>
      <w:r>
        <w:rPr>
          <w:rFonts w:ascii="Arial" w:cs="Arial" w:eastAsia="Arial" w:hAnsi="Arial"/>
          <w:sz w:val="13"/>
          <w:szCs w:val="13"/>
          <w:u w:val="single" w:color="auto"/>
          <w:color w:val="auto"/>
        </w:rPr>
        <w:t>Advancement of Supply of the Machine to the Customer</w:t>
      </w:r>
    </w:p>
    <w:p>
      <w:pPr>
        <w:spacing w:after="0" w:line="186" w:lineRule="exact"/>
        <w:rPr>
          <w:sz w:val="20"/>
          <w:szCs w:val="20"/>
          <w:color w:val="auto"/>
        </w:rPr>
      </w:pPr>
    </w:p>
    <w:p>
      <w:pPr>
        <w:jc w:val="both"/>
        <w:ind w:left="1071"/>
        <w:spacing w:after="0" w:line="261" w:lineRule="auto"/>
        <w:rPr>
          <w:sz w:val="20"/>
          <w:szCs w:val="20"/>
          <w:color w:val="auto"/>
        </w:rPr>
      </w:pPr>
      <w:r>
        <w:rPr>
          <w:rFonts w:ascii="Arial" w:cs="Arial" w:eastAsia="Arial" w:hAnsi="Arial"/>
          <w:sz w:val="15"/>
          <w:szCs w:val="15"/>
          <w:color w:val="auto"/>
        </w:rPr>
        <w:t>Advancement of Supply of a Machine to the Customer relates both to existing Orders and to new Orders that are required to be supplied within a shorter time than the Lead Time. The Supplier shall act, to the extent that such is reasonably possible, to bring forward the date of supply set out in the Order, in accordance with the written request of the Customer.</w:t>
      </w:r>
    </w:p>
    <w:p>
      <w:pPr>
        <w:spacing w:after="0" w:line="155" w:lineRule="exact"/>
        <w:rPr>
          <w:sz w:val="20"/>
          <w:szCs w:val="20"/>
          <w:color w:val="auto"/>
        </w:rPr>
      </w:pPr>
    </w:p>
    <w:p>
      <w:pPr>
        <w:jc w:val="both"/>
        <w:ind w:left="1071"/>
        <w:spacing w:after="0" w:line="303" w:lineRule="auto"/>
        <w:rPr>
          <w:sz w:val="20"/>
          <w:szCs w:val="20"/>
          <w:color w:val="auto"/>
        </w:rPr>
      </w:pPr>
      <w:r>
        <w:rPr>
          <w:rFonts w:ascii="Arial" w:cs="Arial" w:eastAsia="Arial" w:hAnsi="Arial"/>
          <w:sz w:val="13"/>
          <w:szCs w:val="13"/>
          <w:color w:val="auto"/>
        </w:rPr>
        <w:t>The Customer shall bear all of the costs directly incurred by the Supplier for bringing forward the date of supply (if any), including for: flying in parts and/or components and/or human resources, manufacture by an alternative supplier, sub-supplier requests for price supplements, and any other actual expense that may be incurred by the Supplier. The Supplier shall present invoices to the Customer for independent production (an agreed price list shall be presented in this case) for any such additional expenses. Every expense shall be approved in advance and in writing (including by email) by the Customer and shall be paid by the Customer on the date of payment for the Machine set out in the Order, together with the payment for the Machine, or on such other date as may be agreed upon in writing by the Parties.</w:t>
      </w:r>
    </w:p>
    <w:p>
      <w:pPr>
        <w:spacing w:after="0" w:line="155" w:lineRule="exact"/>
        <w:rPr>
          <w:sz w:val="20"/>
          <w:szCs w:val="20"/>
          <w:color w:val="auto"/>
        </w:rPr>
      </w:pPr>
    </w:p>
    <w:p>
      <w:pPr>
        <w:ind w:left="-9" w:firstLine="9"/>
        <w:spacing w:after="0" w:line="272" w:lineRule="auto"/>
        <w:tabs>
          <w:tab w:leader="none" w:pos="252" w:val="left"/>
        </w:tabs>
        <w:numPr>
          <w:ilvl w:val="0"/>
          <w:numId w:val="32"/>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193040</wp:posOffset>
            </wp:positionV>
            <wp:extent cx="7198360"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31"/>
          </w:cols>
          <w:pgMar w:left="289" w:top="753" w:right="279" w:bottom="1440" w:gutter="0" w:footer="0" w:header="0"/>
        </w:sectPr>
      </w:pPr>
    </w:p>
    <w:bookmarkStart w:id="19" w:name="page20"/>
    <w:bookmarkEnd w:id="19"/>
    <w:p>
      <w:pPr>
        <w:jc w:val="both"/>
        <w:ind w:left="1071"/>
        <w:spacing w:after="0" w:line="261" w:lineRule="auto"/>
        <w:rPr>
          <w:sz w:val="20"/>
          <w:szCs w:val="20"/>
          <w:color w:val="auto"/>
        </w:rPr>
      </w:pPr>
      <w:r>
        <w:rPr>
          <w:rFonts w:ascii="Arial" w:cs="Arial" w:eastAsia="Arial" w:hAnsi="Arial"/>
          <w:sz w:val="15"/>
          <w:szCs w:val="15"/>
          <w:color w:val="auto"/>
        </w:rPr>
        <w:t>If, for the purpose of bringing forward the date of supply, the Supplier is required to deviate from ordinary operating hours, subject to the prior written approval of the Customer, the Customer shall be charged for all additional work hours invested by the Supplier, including its employees and contractors, in order to bring forward the date of supply, in accordance with the special work hour tariff under the price list set out in section 19.3.</w:t>
      </w:r>
    </w:p>
    <w:p>
      <w:pPr>
        <w:spacing w:after="0" w:line="151" w:lineRule="exact"/>
        <w:rPr>
          <w:sz w:val="20"/>
          <w:szCs w:val="20"/>
          <w:color w:val="auto"/>
        </w:rPr>
      </w:pPr>
    </w:p>
    <w:p>
      <w:pPr>
        <w:ind w:left="531" w:hanging="531"/>
        <w:spacing w:after="0"/>
        <w:tabs>
          <w:tab w:leader="none" w:pos="531" w:val="left"/>
        </w:tabs>
        <w:numPr>
          <w:ilvl w:val="0"/>
          <w:numId w:val="33"/>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Production File</w:t>
      </w:r>
    </w:p>
    <w:p>
      <w:pPr>
        <w:spacing w:after="0" w:line="190" w:lineRule="exact"/>
        <w:rPr>
          <w:rFonts w:ascii="Arial" w:cs="Arial" w:eastAsia="Arial" w:hAnsi="Arial"/>
          <w:sz w:val="15"/>
          <w:szCs w:val="15"/>
          <w:b w:val="1"/>
          <w:bCs w:val="1"/>
          <w:color w:val="auto"/>
        </w:rPr>
      </w:pPr>
    </w:p>
    <w:p>
      <w:pPr>
        <w:jc w:val="both"/>
        <w:ind w:left="531"/>
        <w:spacing w:after="0" w:line="252" w:lineRule="auto"/>
        <w:rPr>
          <w:rFonts w:ascii="Arial" w:cs="Arial" w:eastAsia="Arial" w:hAnsi="Arial"/>
          <w:sz w:val="15"/>
          <w:szCs w:val="15"/>
          <w:b w:val="1"/>
          <w:bCs w:val="1"/>
          <w:color w:val="auto"/>
        </w:rPr>
      </w:pPr>
      <w:r>
        <w:rPr>
          <w:rFonts w:ascii="Arial" w:cs="Arial" w:eastAsia="Arial" w:hAnsi="Arial"/>
          <w:sz w:val="15"/>
          <w:szCs w:val="15"/>
          <w:color w:val="auto"/>
        </w:rPr>
        <w:t>The Production File or Files and all information and intellectual property rights of the Customer that are contained therein and/or that are related thereto, including as defined above, shall be and shall remain the property of the Customer alone, and there is and shall be no claim, right or argument of any kind whatsoever against the Customer for the Customer's intellectual property that is in the Production File, in whole or in part. The Production File or Files, and all of the aforesaid information, shall be returned to the Customer by the Supplier upon termination of this Agreement for any reason whatsoever, or upon termination of the orderly manufacture of the Product the subject of the Production File, whichever is the earlier. The Supplier undertakes to make no use, except as set out explicitly in this Agreement, of the Production File or Files and any of the above information, or any other equipment belonging to the Customer and/or any intellectual property right belonging to the Customer. The aforesaid shall not derogate from the Supplier's right to keep a copy of the Production File in its possession in order to perform its undertakings under this Agreement and/or in order to document the reason for the Supplier's actions, provided that the Production File, as aforesaid, and all of the portions of it, shall be subject to all of the Supplier's non-disclosure undertakings as set out in this Agreement.</w:t>
      </w:r>
    </w:p>
    <w:p>
      <w:pPr>
        <w:spacing w:after="0" w:line="160" w:lineRule="exact"/>
        <w:rPr>
          <w:rFonts w:ascii="Arial" w:cs="Arial" w:eastAsia="Arial" w:hAnsi="Arial"/>
          <w:sz w:val="15"/>
          <w:szCs w:val="15"/>
          <w:b w:val="1"/>
          <w:bCs w:val="1"/>
          <w:color w:val="auto"/>
        </w:rPr>
      </w:pPr>
    </w:p>
    <w:p>
      <w:pPr>
        <w:ind w:left="531" w:hanging="531"/>
        <w:spacing w:after="0"/>
        <w:tabs>
          <w:tab w:leader="none" w:pos="531" w:val="left"/>
        </w:tabs>
        <w:numPr>
          <w:ilvl w:val="0"/>
          <w:numId w:val="33"/>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Production Tools</w:t>
      </w:r>
    </w:p>
    <w:p>
      <w:pPr>
        <w:spacing w:after="0" w:line="190" w:lineRule="exact"/>
        <w:rPr>
          <w:rFonts w:ascii="Arial" w:cs="Arial" w:eastAsia="Arial" w:hAnsi="Arial"/>
          <w:sz w:val="15"/>
          <w:szCs w:val="15"/>
          <w:b w:val="1"/>
          <w:bCs w:val="1"/>
          <w:color w:val="auto"/>
        </w:rPr>
      </w:pPr>
    </w:p>
    <w:p>
      <w:pPr>
        <w:ind w:left="1071" w:right="20" w:hanging="538"/>
        <w:spacing w:after="0" w:line="254" w:lineRule="auto"/>
        <w:rPr>
          <w:rFonts w:ascii="Arial" w:cs="Arial" w:eastAsia="Arial" w:hAnsi="Arial"/>
          <w:sz w:val="15"/>
          <w:szCs w:val="15"/>
          <w:b w:val="1"/>
          <w:bCs w:val="1"/>
          <w:color w:val="auto"/>
        </w:rPr>
      </w:pPr>
      <w:r>
        <w:rPr>
          <w:rFonts w:ascii="Arial" w:cs="Arial" w:eastAsia="Arial" w:hAnsi="Arial"/>
          <w:sz w:val="15"/>
          <w:szCs w:val="15"/>
          <w:color w:val="auto"/>
        </w:rPr>
        <w:t>18.1. With respect to all of the production tools which the Product Tree prescribes are to be supplied by the Customer and at its expense, but which will in fact be supplied to the Supplier by the Customer and at its expense (hereinafter: the “</w:t>
      </w:r>
      <w:r>
        <w:rPr>
          <w:rFonts w:ascii="Arial" w:cs="Arial" w:eastAsia="Arial" w:hAnsi="Arial"/>
          <w:sz w:val="15"/>
          <w:szCs w:val="15"/>
          <w:b w:val="1"/>
          <w:bCs w:val="1"/>
          <w:color w:val="auto"/>
        </w:rPr>
        <w:t>Production Tools</w:t>
      </w:r>
      <w:r>
        <w:rPr>
          <w:rFonts w:ascii="Arial" w:cs="Arial" w:eastAsia="Arial" w:hAnsi="Arial"/>
          <w:sz w:val="15"/>
          <w:szCs w:val="15"/>
          <w:color w:val="auto"/>
        </w:rPr>
        <w:t>”), the Supplier undertakes: (a) To keep and maintain all of the Production Tools and to store them in the Supplier's warehouses, all at the Supplier's expense; (b) to store the Production Tools at its own facility separate from materials that are not related to the performance of this Agreement and/or that belong to any third party whatsoever, and to mark them clearly as being the property of the Customer; (c) to keep the Production Tools in good order, with the exception of reasonable wear and tear, and to replace and repair them at its expense, if they are damaged as a result of an act of malice or negligence of the Supplier.</w:t>
      </w:r>
    </w:p>
    <w:p>
      <w:pPr>
        <w:spacing w:after="0" w:line="160" w:lineRule="exact"/>
        <w:rPr>
          <w:rFonts w:ascii="Arial" w:cs="Arial" w:eastAsia="Arial" w:hAnsi="Arial"/>
          <w:sz w:val="15"/>
          <w:szCs w:val="15"/>
          <w:b w:val="1"/>
          <w:bCs w:val="1"/>
          <w:color w:val="auto"/>
        </w:rPr>
      </w:pPr>
    </w:p>
    <w:p>
      <w:pPr>
        <w:ind w:left="1071" w:right="20" w:hanging="538"/>
        <w:spacing w:after="0" w:line="272" w:lineRule="auto"/>
        <w:rPr>
          <w:rFonts w:ascii="Arial" w:cs="Arial" w:eastAsia="Arial" w:hAnsi="Arial"/>
          <w:sz w:val="15"/>
          <w:szCs w:val="15"/>
          <w:b w:val="1"/>
          <w:bCs w:val="1"/>
          <w:color w:val="auto"/>
        </w:rPr>
      </w:pPr>
      <w:r>
        <w:rPr>
          <w:rFonts w:ascii="Arial" w:cs="Arial" w:eastAsia="Arial" w:hAnsi="Arial"/>
          <w:sz w:val="15"/>
          <w:szCs w:val="15"/>
          <w:color w:val="auto"/>
        </w:rPr>
        <w:t>18.2. Immediately upon the rescission or termination of this Agreement, the Supplier shall return the Production Tools in full to the Customer, in working order, except for reasonable wear and tear. The Customer shall bear the costs of transfer.</w:t>
      </w:r>
    </w:p>
    <w:p>
      <w:pPr>
        <w:spacing w:after="0" w:line="143" w:lineRule="exact"/>
        <w:rPr>
          <w:rFonts w:ascii="Arial" w:cs="Arial" w:eastAsia="Arial" w:hAnsi="Arial"/>
          <w:sz w:val="15"/>
          <w:szCs w:val="15"/>
          <w:b w:val="1"/>
          <w:bCs w:val="1"/>
          <w:color w:val="auto"/>
        </w:rPr>
      </w:pPr>
    </w:p>
    <w:p>
      <w:pPr>
        <w:ind w:left="531" w:hanging="531"/>
        <w:spacing w:after="0"/>
        <w:tabs>
          <w:tab w:leader="none" w:pos="531" w:val="left"/>
        </w:tabs>
        <w:numPr>
          <w:ilvl w:val="0"/>
          <w:numId w:val="33"/>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Prices</w:t>
      </w:r>
    </w:p>
    <w:p>
      <w:pPr>
        <w:spacing w:after="0" w:line="190" w:lineRule="exact"/>
        <w:rPr>
          <w:sz w:val="20"/>
          <w:szCs w:val="20"/>
          <w:color w:val="auto"/>
        </w:rPr>
      </w:pPr>
    </w:p>
    <w:p>
      <w:pPr>
        <w:ind w:left="531" w:right="20"/>
        <w:spacing w:after="0" w:line="272" w:lineRule="auto"/>
        <w:rPr>
          <w:sz w:val="20"/>
          <w:szCs w:val="20"/>
          <w:color w:val="auto"/>
        </w:rPr>
      </w:pPr>
      <w:r>
        <w:rPr>
          <w:rFonts w:ascii="Arial" w:cs="Arial" w:eastAsia="Arial" w:hAnsi="Arial"/>
          <w:sz w:val="15"/>
          <w:szCs w:val="15"/>
          <w:color w:val="auto"/>
        </w:rPr>
        <w:t>The Machines shall be priced in the following way, and the Customer shall pay the payments set out below to the Supplier. For each Machine, the Customer shall pay the Supplier all of the following components:</w:t>
      </w:r>
    </w:p>
    <w:p>
      <w:pPr>
        <w:spacing w:after="0" w:line="147" w:lineRule="exact"/>
        <w:rPr>
          <w:sz w:val="20"/>
          <w:szCs w:val="20"/>
          <w:color w:val="auto"/>
        </w:rPr>
      </w:pPr>
    </w:p>
    <w:p>
      <w:pPr>
        <w:ind w:left="-9" w:firstLine="9"/>
        <w:spacing w:after="0" w:line="272" w:lineRule="auto"/>
        <w:tabs>
          <w:tab w:leader="none" w:pos="252" w:val="left"/>
        </w:tabs>
        <w:numPr>
          <w:ilvl w:val="0"/>
          <w:numId w:val="34"/>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193040</wp:posOffset>
            </wp:positionV>
            <wp:extent cx="7198360"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31"/>
          </w:cols>
          <w:pgMar w:left="289" w:top="757" w:right="279" w:bottom="1440" w:gutter="0" w:footer="0" w:header="0"/>
        </w:sectPr>
      </w:pPr>
    </w:p>
    <w:bookmarkStart w:id="20" w:name="page21"/>
    <w:bookmarkEnd w:id="20"/>
    <w:p>
      <w:pPr>
        <w:ind w:left="531"/>
        <w:spacing w:after="0"/>
        <w:tabs>
          <w:tab w:leader="none" w:pos="1050" w:val="left"/>
        </w:tabs>
        <w:rPr>
          <w:sz w:val="20"/>
          <w:szCs w:val="20"/>
          <w:color w:val="auto"/>
        </w:rPr>
      </w:pPr>
      <w:r>
        <w:rPr>
          <w:rFonts w:ascii="Arial" w:cs="Arial" w:eastAsia="Arial" w:hAnsi="Arial"/>
          <w:sz w:val="15"/>
          <w:szCs w:val="15"/>
          <w:color w:val="auto"/>
        </w:rPr>
        <w:t>19.1.</w:t>
      </w:r>
      <w:r>
        <w:rPr>
          <w:sz w:val="20"/>
          <w:szCs w:val="20"/>
          <w:color w:val="auto"/>
        </w:rPr>
        <w:tab/>
      </w:r>
      <w:r>
        <w:rPr>
          <w:rFonts w:ascii="Arial" w:cs="Arial" w:eastAsia="Arial" w:hAnsi="Arial"/>
          <w:sz w:val="13"/>
          <w:szCs w:val="13"/>
          <w:u w:val="single" w:color="auto"/>
          <w:color w:val="auto"/>
        </w:rPr>
        <w:t>Payment for Raw Material:</w:t>
      </w:r>
    </w:p>
    <w:p>
      <w:pPr>
        <w:spacing w:after="0" w:line="186" w:lineRule="exact"/>
        <w:rPr>
          <w:sz w:val="20"/>
          <w:szCs w:val="20"/>
          <w:color w:val="auto"/>
        </w:rPr>
      </w:pPr>
    </w:p>
    <w:p>
      <w:pPr>
        <w:jc w:val="both"/>
        <w:ind w:left="1071"/>
        <w:spacing w:after="0" w:line="261" w:lineRule="auto"/>
        <w:rPr>
          <w:sz w:val="20"/>
          <w:szCs w:val="20"/>
          <w:color w:val="auto"/>
        </w:rPr>
      </w:pPr>
      <w:r>
        <w:rPr>
          <w:rFonts w:ascii="Arial" w:cs="Arial" w:eastAsia="Arial" w:hAnsi="Arial"/>
          <w:sz w:val="15"/>
          <w:szCs w:val="15"/>
          <w:color w:val="auto"/>
        </w:rPr>
        <w:t>The Customer shall pay the Supplier for the raw material as set out in the BOM, in accordance with the pricing for raw materials which shall be provided from time to time (and for each product that will be ordered separately) by the Supplier to the Customer, in accordance with the list of components (BOM) which will be provided by the Customer to the Supplier, plus payment for work and loading as set out in the Table below.</w:t>
      </w:r>
    </w:p>
    <w:p>
      <w:pPr>
        <w:spacing w:after="0" w:line="155" w:lineRule="exact"/>
        <w:rPr>
          <w:sz w:val="20"/>
          <w:szCs w:val="20"/>
          <w:color w:val="auto"/>
        </w:rPr>
      </w:pPr>
    </w:p>
    <w:p>
      <w:pPr>
        <w:ind w:left="531"/>
        <w:spacing w:after="0"/>
        <w:tabs>
          <w:tab w:leader="none" w:pos="1050" w:val="left"/>
        </w:tabs>
        <w:rPr>
          <w:sz w:val="20"/>
          <w:szCs w:val="20"/>
          <w:color w:val="auto"/>
        </w:rPr>
      </w:pPr>
      <w:r>
        <w:rPr>
          <w:rFonts w:ascii="Arial" w:cs="Arial" w:eastAsia="Arial" w:hAnsi="Arial"/>
          <w:sz w:val="15"/>
          <w:szCs w:val="15"/>
          <w:color w:val="auto"/>
        </w:rPr>
        <w:t>19.2.</w:t>
      </w:r>
      <w:r>
        <w:rPr>
          <w:sz w:val="20"/>
          <w:szCs w:val="20"/>
          <w:color w:val="auto"/>
        </w:rPr>
        <w:tab/>
      </w:r>
      <w:r>
        <w:rPr>
          <w:rFonts w:ascii="Arial" w:cs="Arial" w:eastAsia="Arial" w:hAnsi="Arial"/>
          <w:sz w:val="13"/>
          <w:szCs w:val="13"/>
          <w:u w:val="single" w:color="auto"/>
          <w:color w:val="auto"/>
        </w:rPr>
        <w:t>Payment for Work and Loading:</w:t>
      </w:r>
    </w:p>
    <w:p>
      <w:pPr>
        <w:spacing w:after="0" w:line="186" w:lineRule="exact"/>
        <w:rPr>
          <w:sz w:val="20"/>
          <w:szCs w:val="20"/>
          <w:color w:val="auto"/>
        </w:rPr>
      </w:pPr>
    </w:p>
    <w:p>
      <w:pPr>
        <w:jc w:val="both"/>
        <w:ind w:left="1071"/>
        <w:spacing w:after="0" w:line="255" w:lineRule="auto"/>
        <w:rPr>
          <w:sz w:val="20"/>
          <w:szCs w:val="20"/>
          <w:color w:val="auto"/>
        </w:rPr>
      </w:pPr>
      <w:r>
        <w:rPr>
          <w:rFonts w:ascii="Arial" w:cs="Arial" w:eastAsia="Arial" w:hAnsi="Arial"/>
          <w:sz w:val="15"/>
          <w:szCs w:val="15"/>
          <w:color w:val="auto"/>
        </w:rPr>
        <w:t>In addition to the payment that the Customer shall pay to the Supplier as set out in section 19.1, and to the extent that the matter relates to the specific machines set out in the Table below, the payment that the Customer shall make for loading and all work hours that the Supplier and/or a person acting on its behalf may invest in the construction and/or production and/or assembly of each of the Machines that may be ordered by the Customer shall be in accordance with the tariff appearing in the Table below. With respect to Machines that are not set out in the Table, the Parties shall agree on a price and conditions between them, in writing, and until the date of such agreement, the provisions of section 19.3 shall apply.</w:t>
      </w:r>
    </w:p>
    <w:p>
      <w:pPr>
        <w:spacing w:after="0" w:line="160" w:lineRule="exact"/>
        <w:rPr>
          <w:sz w:val="20"/>
          <w:szCs w:val="20"/>
          <w:color w:val="auto"/>
        </w:rPr>
      </w:pPr>
    </w:p>
    <w:p>
      <w:pPr>
        <w:jc w:val="both"/>
        <w:ind w:left="1071" w:right="20"/>
        <w:spacing w:after="0" w:line="272" w:lineRule="auto"/>
        <w:rPr>
          <w:sz w:val="20"/>
          <w:szCs w:val="20"/>
          <w:color w:val="auto"/>
        </w:rPr>
      </w:pPr>
      <w:r>
        <w:rPr>
          <w:rFonts w:ascii="Arial" w:cs="Arial" w:eastAsia="Arial" w:hAnsi="Arial"/>
          <w:sz w:val="15"/>
          <w:szCs w:val="15"/>
          <w:color w:val="auto"/>
        </w:rPr>
        <w:t xml:space="preserve">The level of prices set out in the Table has been set given the situation in which </w:t>
      </w:r>
      <w:r>
        <w:rPr>
          <w:rFonts w:ascii="Arial" w:cs="Arial" w:eastAsia="Arial" w:hAnsi="Arial"/>
          <w:sz w:val="15"/>
          <w:szCs w:val="15"/>
          <w:u w:val="single" w:color="auto"/>
          <w:color w:val="auto"/>
        </w:rPr>
        <w:t>the Supplier is the manufacturer of at least [***]% of the Machines that it will sell to the</w:t>
      </w:r>
      <w:r>
        <w:rPr>
          <w:rFonts w:ascii="Arial" w:cs="Arial" w:eastAsia="Arial" w:hAnsi="Arial"/>
          <w:sz w:val="15"/>
          <w:szCs w:val="15"/>
          <w:color w:val="auto"/>
        </w:rPr>
        <w:t xml:space="preserve"> </w:t>
      </w:r>
      <w:r>
        <w:rPr>
          <w:rFonts w:ascii="Arial" w:cs="Arial" w:eastAsia="Arial" w:hAnsi="Arial"/>
          <w:sz w:val="15"/>
          <w:szCs w:val="15"/>
          <w:u w:val="single" w:color="auto"/>
          <w:color w:val="auto"/>
        </w:rPr>
        <w:t>Customer</w:t>
      </w:r>
      <w:r>
        <w:rPr>
          <w:rFonts w:ascii="Arial" w:cs="Arial" w:eastAsia="Arial" w:hAnsi="Arial"/>
          <w:sz w:val="15"/>
          <w:szCs w:val="15"/>
          <w:color w:val="auto"/>
        </w:rPr>
        <w:t>, with respect to the aforesaid Machines during the Term of the Agreement.</w:t>
      </w:r>
    </w:p>
    <w:p>
      <w:pPr>
        <w:spacing w:after="0" w:line="143" w:lineRule="exact"/>
        <w:rPr>
          <w:sz w:val="20"/>
          <w:szCs w:val="20"/>
          <w:color w:val="auto"/>
        </w:rPr>
      </w:pPr>
    </w:p>
    <w:tbl>
      <w:tblPr>
        <w:tblLayout w:type="fixed"/>
        <w:tblInd w:w="531" w:type="dxa"/>
        <w:tblCellMar>
          <w:top w:w="0" w:type="dxa"/>
          <w:left w:w="0" w:type="dxa"/>
          <w:bottom w:w="0" w:type="dxa"/>
          <w:right w:w="0" w:type="dxa"/>
        </w:tblCellMar>
      </w:tblPr>
      <w:tr>
        <w:trPr>
          <w:trHeight w:val="179"/>
        </w:trPr>
        <w:tc>
          <w:tcPr>
            <w:tcW w:w="13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60" w:type="dxa"/>
            <w:vAlign w:val="bottom"/>
          </w:tcPr>
          <w:p>
            <w:pPr>
              <w:jc w:val="center"/>
              <w:spacing w:after="0"/>
              <w:rPr>
                <w:sz w:val="20"/>
                <w:szCs w:val="20"/>
                <w:color w:val="auto"/>
              </w:rPr>
            </w:pPr>
            <w:r>
              <w:rPr>
                <w:rFonts w:ascii="Arial" w:cs="Arial" w:eastAsia="Arial" w:hAnsi="Arial"/>
                <w:sz w:val="15"/>
                <w:szCs w:val="15"/>
                <w:b w:val="1"/>
                <w:bCs w:val="1"/>
                <w:color w:val="auto"/>
                <w:w w:val="87"/>
              </w:rPr>
              <w:t>952 (Avalanche</w:t>
            </w:r>
          </w:p>
        </w:tc>
        <w:tc>
          <w:tcPr>
            <w:tcW w:w="0" w:type="dxa"/>
            <w:vAlign w:val="bottom"/>
          </w:tcPr>
          <w:p>
            <w:pPr>
              <w:spacing w:after="0"/>
              <w:rPr>
                <w:sz w:val="1"/>
                <w:szCs w:val="1"/>
                <w:color w:val="auto"/>
              </w:rPr>
            </w:pPr>
          </w:p>
        </w:tc>
      </w:tr>
      <w:tr>
        <w:trPr>
          <w:trHeight w:val="194"/>
        </w:trPr>
        <w:tc>
          <w:tcPr>
            <w:tcW w:w="1360" w:type="dxa"/>
            <w:vAlign w:val="bottom"/>
            <w:vMerge w:val="restart"/>
          </w:tcPr>
          <w:p>
            <w:pPr>
              <w:spacing w:after="0"/>
              <w:rPr>
                <w:sz w:val="20"/>
                <w:szCs w:val="20"/>
                <w:color w:val="auto"/>
              </w:rPr>
            </w:pPr>
            <w:r>
              <w:rPr>
                <w:rFonts w:ascii="Arial" w:cs="Arial" w:eastAsia="Arial" w:hAnsi="Arial"/>
                <w:sz w:val="15"/>
                <w:szCs w:val="15"/>
                <w:color w:val="auto"/>
              </w:rPr>
              <w:t>Loading</w:t>
            </w:r>
          </w:p>
        </w:tc>
        <w:tc>
          <w:tcPr>
            <w:tcW w:w="232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w w:val="96"/>
              </w:rPr>
              <w:t>931 (Storm II)</w:t>
            </w:r>
          </w:p>
        </w:tc>
        <w:tc>
          <w:tcPr>
            <w:tcW w:w="268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w w:val="91"/>
              </w:rPr>
              <w:t>951 (Avalanche)</w:t>
            </w:r>
          </w:p>
        </w:tc>
        <w:tc>
          <w:tcPr>
            <w:tcW w:w="3260" w:type="dxa"/>
            <w:vAlign w:val="bottom"/>
          </w:tcPr>
          <w:p>
            <w:pPr>
              <w:jc w:val="center"/>
              <w:spacing w:after="0"/>
              <w:rPr>
                <w:sz w:val="20"/>
                <w:szCs w:val="20"/>
                <w:color w:val="auto"/>
              </w:rPr>
            </w:pPr>
            <w:r>
              <w:rPr>
                <w:rFonts w:ascii="Arial" w:cs="Arial" w:eastAsia="Arial" w:hAnsi="Arial"/>
                <w:sz w:val="15"/>
                <w:szCs w:val="15"/>
                <w:b w:val="1"/>
                <w:bCs w:val="1"/>
                <w:color w:val="auto"/>
                <w:w w:val="93"/>
              </w:rPr>
              <w:t>1000)</w:t>
            </w:r>
          </w:p>
        </w:tc>
        <w:tc>
          <w:tcPr>
            <w:tcW w:w="0" w:type="dxa"/>
            <w:vAlign w:val="bottom"/>
          </w:tcPr>
          <w:p>
            <w:pPr>
              <w:spacing w:after="0"/>
              <w:rPr>
                <w:sz w:val="1"/>
                <w:szCs w:val="1"/>
                <w:color w:val="auto"/>
              </w:rPr>
            </w:pPr>
          </w:p>
        </w:tc>
      </w:tr>
      <w:tr>
        <w:trPr>
          <w:trHeight w:val="160"/>
        </w:trPr>
        <w:tc>
          <w:tcPr>
            <w:tcW w:w="1360" w:type="dxa"/>
            <w:vAlign w:val="bottom"/>
            <w:vMerge w:val="continue"/>
          </w:tcPr>
          <w:p>
            <w:pPr>
              <w:spacing w:after="0"/>
              <w:rPr>
                <w:sz w:val="13"/>
                <w:szCs w:val="13"/>
                <w:color w:val="auto"/>
              </w:rPr>
            </w:pPr>
          </w:p>
        </w:tc>
        <w:tc>
          <w:tcPr>
            <w:tcW w:w="222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5"/>
                <w:szCs w:val="15"/>
                <w:color w:val="auto"/>
              </w:rPr>
              <w:t>NIS [***]</w:t>
            </w:r>
          </w:p>
        </w:tc>
        <w:tc>
          <w:tcPr>
            <w:tcW w:w="100" w:type="dxa"/>
            <w:vAlign w:val="bottom"/>
          </w:tcPr>
          <w:p>
            <w:pPr>
              <w:spacing w:after="0"/>
              <w:rPr>
                <w:sz w:val="13"/>
                <w:szCs w:val="13"/>
                <w:color w:val="auto"/>
              </w:rPr>
            </w:pPr>
          </w:p>
        </w:tc>
        <w:tc>
          <w:tcPr>
            <w:tcW w:w="260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5"/>
                <w:szCs w:val="15"/>
                <w:color w:val="auto"/>
              </w:rPr>
              <w:t>NIS [***]</w:t>
            </w:r>
          </w:p>
        </w:tc>
        <w:tc>
          <w:tcPr>
            <w:tcW w:w="80" w:type="dxa"/>
            <w:vAlign w:val="bottom"/>
          </w:tcPr>
          <w:p>
            <w:pPr>
              <w:spacing w:after="0"/>
              <w:rPr>
                <w:sz w:val="13"/>
                <w:szCs w:val="13"/>
                <w:color w:val="auto"/>
              </w:rPr>
            </w:pPr>
          </w:p>
        </w:tc>
        <w:tc>
          <w:tcPr>
            <w:tcW w:w="326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5"/>
                <w:szCs w:val="15"/>
                <w:color w:val="auto"/>
              </w:rPr>
              <w:t>NIS [***]</w:t>
            </w:r>
          </w:p>
        </w:tc>
        <w:tc>
          <w:tcPr>
            <w:tcW w:w="0" w:type="dxa"/>
            <w:vAlign w:val="bottom"/>
          </w:tcPr>
          <w:p>
            <w:pPr>
              <w:spacing w:after="0"/>
              <w:rPr>
                <w:sz w:val="1"/>
                <w:szCs w:val="1"/>
                <w:color w:val="auto"/>
              </w:rPr>
            </w:pPr>
          </w:p>
        </w:tc>
      </w:tr>
      <w:tr>
        <w:trPr>
          <w:trHeight w:val="175"/>
        </w:trPr>
        <w:tc>
          <w:tcPr>
            <w:tcW w:w="1360" w:type="dxa"/>
            <w:vAlign w:val="bottom"/>
          </w:tcPr>
          <w:p>
            <w:pPr>
              <w:spacing w:after="0"/>
              <w:rPr>
                <w:sz w:val="20"/>
                <w:szCs w:val="20"/>
                <w:color w:val="auto"/>
              </w:rPr>
            </w:pPr>
            <w:r>
              <w:rPr>
                <w:rFonts w:ascii="Arial" w:cs="Arial" w:eastAsia="Arial" w:hAnsi="Arial"/>
                <w:sz w:val="15"/>
                <w:szCs w:val="15"/>
                <w:color w:val="auto"/>
              </w:rPr>
              <w:t>Work</w:t>
            </w:r>
          </w:p>
        </w:tc>
        <w:tc>
          <w:tcPr>
            <w:tcW w:w="2320" w:type="dxa"/>
            <w:vAlign w:val="bottom"/>
            <w:gridSpan w:val="2"/>
          </w:tcPr>
          <w:p>
            <w:pPr>
              <w:jc w:val="center"/>
              <w:ind w:right="80"/>
              <w:spacing w:after="0"/>
              <w:rPr>
                <w:sz w:val="20"/>
                <w:szCs w:val="20"/>
                <w:color w:val="auto"/>
              </w:rPr>
            </w:pPr>
            <w:r>
              <w:rPr>
                <w:rFonts w:ascii="Arial" w:cs="Arial" w:eastAsia="Arial" w:hAnsi="Arial"/>
                <w:sz w:val="15"/>
                <w:szCs w:val="15"/>
                <w:color w:val="auto"/>
              </w:rPr>
              <w:t>NIS [***]</w:t>
            </w:r>
          </w:p>
        </w:tc>
        <w:tc>
          <w:tcPr>
            <w:tcW w:w="2680" w:type="dxa"/>
            <w:vAlign w:val="bottom"/>
            <w:gridSpan w:val="2"/>
          </w:tcPr>
          <w:p>
            <w:pPr>
              <w:jc w:val="center"/>
              <w:ind w:right="80"/>
              <w:spacing w:after="0"/>
              <w:rPr>
                <w:sz w:val="20"/>
                <w:szCs w:val="20"/>
                <w:color w:val="auto"/>
              </w:rPr>
            </w:pPr>
            <w:r>
              <w:rPr>
                <w:rFonts w:ascii="Arial" w:cs="Arial" w:eastAsia="Arial" w:hAnsi="Arial"/>
                <w:sz w:val="15"/>
                <w:szCs w:val="15"/>
                <w:color w:val="auto"/>
              </w:rPr>
              <w:t>NIS [***]</w:t>
            </w:r>
          </w:p>
        </w:tc>
        <w:tc>
          <w:tcPr>
            <w:tcW w:w="3260" w:type="dxa"/>
            <w:vAlign w:val="bottom"/>
          </w:tcPr>
          <w:p>
            <w:pPr>
              <w:jc w:val="center"/>
              <w:spacing w:after="0"/>
              <w:rPr>
                <w:sz w:val="20"/>
                <w:szCs w:val="20"/>
                <w:color w:val="auto"/>
              </w:rPr>
            </w:pPr>
            <w:r>
              <w:rPr>
                <w:rFonts w:ascii="Arial" w:cs="Arial" w:eastAsia="Arial" w:hAnsi="Arial"/>
                <w:sz w:val="15"/>
                <w:szCs w:val="15"/>
                <w:color w:val="auto"/>
              </w:rPr>
              <w:t>NIS [***]</w:t>
            </w:r>
          </w:p>
        </w:tc>
        <w:tc>
          <w:tcPr>
            <w:tcW w:w="0" w:type="dxa"/>
            <w:vAlign w:val="bottom"/>
          </w:tcPr>
          <w:p>
            <w:pPr>
              <w:spacing w:after="0"/>
              <w:rPr>
                <w:sz w:val="1"/>
                <w:szCs w:val="1"/>
                <w:color w:val="auto"/>
              </w:rPr>
            </w:pPr>
          </w:p>
        </w:tc>
      </w:tr>
      <w:tr>
        <w:trPr>
          <w:trHeight w:val="193"/>
        </w:trPr>
        <w:tc>
          <w:tcPr>
            <w:tcW w:w="1360" w:type="dxa"/>
            <w:vAlign w:val="bottom"/>
          </w:tcPr>
          <w:p>
            <w:pPr>
              <w:spacing w:after="0"/>
              <w:rPr>
                <w:sz w:val="20"/>
                <w:szCs w:val="20"/>
                <w:color w:val="auto"/>
              </w:rPr>
            </w:pPr>
            <w:r>
              <w:rPr>
                <w:rFonts w:ascii="Arial" w:cs="Arial" w:eastAsia="Arial" w:hAnsi="Arial"/>
                <w:sz w:val="15"/>
                <w:szCs w:val="15"/>
                <w:b w:val="1"/>
                <w:bCs w:val="1"/>
                <w:color w:val="auto"/>
              </w:rPr>
              <w:t>Total</w:t>
            </w:r>
          </w:p>
        </w:tc>
        <w:tc>
          <w:tcPr>
            <w:tcW w:w="232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rPr>
              <w:t>NIS [***]</w:t>
            </w:r>
          </w:p>
        </w:tc>
        <w:tc>
          <w:tcPr>
            <w:tcW w:w="268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rPr>
              <w:t>NIS [***]</w:t>
            </w:r>
          </w:p>
        </w:tc>
        <w:tc>
          <w:tcPr>
            <w:tcW w:w="3260" w:type="dxa"/>
            <w:vAlign w:val="bottom"/>
          </w:tcPr>
          <w:p>
            <w:pPr>
              <w:jc w:val="center"/>
              <w:spacing w:after="0"/>
              <w:rPr>
                <w:sz w:val="20"/>
                <w:szCs w:val="20"/>
                <w:color w:val="auto"/>
              </w:rPr>
            </w:pPr>
            <w:r>
              <w:rPr>
                <w:rFonts w:ascii="Arial" w:cs="Arial" w:eastAsia="Arial" w:hAnsi="Arial"/>
                <w:sz w:val="15"/>
                <w:szCs w:val="15"/>
                <w:b w:val="1"/>
                <w:bCs w:val="1"/>
                <w:color w:val="auto"/>
              </w:rPr>
              <w:t>NIS [***] ****</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1071"/>
        <w:spacing w:after="0"/>
        <w:rPr>
          <w:sz w:val="20"/>
          <w:szCs w:val="20"/>
          <w:color w:val="auto"/>
        </w:rPr>
      </w:pPr>
      <w:r>
        <w:rPr>
          <w:rFonts w:ascii="Arial" w:cs="Arial" w:eastAsia="Arial" w:hAnsi="Arial"/>
          <w:sz w:val="15"/>
          <w:szCs w:val="15"/>
          <w:color w:val="auto"/>
        </w:rPr>
        <w:t>Additional agreements between the Parties with respect to the pricing of the Machines:</w:t>
      </w:r>
    </w:p>
    <w:p>
      <w:pPr>
        <w:spacing w:after="0" w:line="186" w:lineRule="exact"/>
        <w:rPr>
          <w:sz w:val="20"/>
          <w:szCs w:val="20"/>
          <w:color w:val="auto"/>
        </w:rPr>
      </w:pPr>
    </w:p>
    <w:p>
      <w:pPr>
        <w:ind w:left="1071"/>
        <w:spacing w:after="0"/>
        <w:rPr>
          <w:sz w:val="20"/>
          <w:szCs w:val="20"/>
          <w:color w:val="auto"/>
        </w:rPr>
      </w:pPr>
      <w:r>
        <w:rPr>
          <w:rFonts w:ascii="Arial" w:cs="Arial" w:eastAsia="Arial" w:hAnsi="Arial"/>
          <w:sz w:val="15"/>
          <w:szCs w:val="15"/>
          <w:color w:val="auto"/>
        </w:rPr>
        <w:t>The price set out in the Table above is for the manufacture of one Machine and does not include VAT.</w:t>
      </w:r>
    </w:p>
    <w:p>
      <w:pPr>
        <w:spacing w:after="0" w:line="186" w:lineRule="exact"/>
        <w:rPr>
          <w:sz w:val="20"/>
          <w:szCs w:val="20"/>
          <w:color w:val="auto"/>
        </w:rPr>
      </w:pPr>
    </w:p>
    <w:p>
      <w:pPr>
        <w:ind w:left="1071" w:firstLine="6"/>
        <w:spacing w:after="0" w:line="272" w:lineRule="auto"/>
        <w:tabs>
          <w:tab w:leader="none" w:pos="1407" w:val="left"/>
        </w:tabs>
        <w:numPr>
          <w:ilvl w:val="0"/>
          <w:numId w:val="35"/>
        </w:numPr>
        <w:rPr>
          <w:rFonts w:ascii="Arial" w:cs="Arial" w:eastAsia="Arial" w:hAnsi="Arial"/>
          <w:sz w:val="15"/>
          <w:szCs w:val="15"/>
          <w:color w:val="auto"/>
        </w:rPr>
      </w:pPr>
      <w:r>
        <w:rPr>
          <w:rFonts w:ascii="Arial" w:cs="Arial" w:eastAsia="Arial" w:hAnsi="Arial"/>
          <w:sz w:val="15"/>
          <w:szCs w:val="15"/>
          <w:u w:val="single" w:color="auto"/>
          <w:color w:val="auto"/>
        </w:rPr>
        <w:t>The price of Machine 952 does not include costs for [***] hours of work, in the sum of NIS [***]</w:t>
      </w:r>
      <w:r>
        <w:rPr>
          <w:rFonts w:ascii="Arial" w:cs="Arial" w:eastAsia="Arial" w:hAnsi="Arial"/>
          <w:sz w:val="15"/>
          <w:szCs w:val="15"/>
          <w:color w:val="auto"/>
        </w:rPr>
        <w:t xml:space="preserve"> for the assembly of a [***] system. These costs, plus VAT, will be added to the cost of that Machine.</w:t>
      </w:r>
    </w:p>
    <w:p>
      <w:pPr>
        <w:spacing w:after="0" w:line="147" w:lineRule="exact"/>
        <w:rPr>
          <w:sz w:val="20"/>
          <w:szCs w:val="20"/>
          <w:color w:val="auto"/>
        </w:rPr>
      </w:pPr>
    </w:p>
    <w:p>
      <w:pPr>
        <w:jc w:val="both"/>
        <w:ind w:left="1071"/>
        <w:spacing w:after="0" w:line="272" w:lineRule="auto"/>
        <w:rPr>
          <w:sz w:val="20"/>
          <w:szCs w:val="20"/>
          <w:color w:val="auto"/>
        </w:rPr>
      </w:pPr>
      <w:r>
        <w:rPr>
          <w:rFonts w:ascii="Arial" w:cs="Arial" w:eastAsia="Arial" w:hAnsi="Arial"/>
          <w:sz w:val="15"/>
          <w:szCs w:val="15"/>
          <w:color w:val="auto"/>
        </w:rPr>
        <w:t xml:space="preserve">If a total of </w:t>
      </w:r>
      <w:r>
        <w:rPr>
          <w:rFonts w:ascii="Arial" w:cs="Arial" w:eastAsia="Arial" w:hAnsi="Arial"/>
          <w:sz w:val="15"/>
          <w:szCs w:val="15"/>
          <w:u w:val="single" w:color="auto"/>
          <w:color w:val="auto"/>
        </w:rPr>
        <w:t>fewer than [***] Machines</w:t>
      </w:r>
      <w:r>
        <w:rPr>
          <w:rFonts w:ascii="Arial" w:cs="Arial" w:eastAsia="Arial" w:hAnsi="Arial"/>
          <w:sz w:val="15"/>
          <w:szCs w:val="15"/>
          <w:color w:val="auto"/>
        </w:rPr>
        <w:t xml:space="preserve"> are manufactured during one calendar month, an additional NIS [***] plus VAT at law shall be added to the price for each of the Machines manufactured during such calendar month.</w:t>
      </w:r>
    </w:p>
    <w:p>
      <w:pPr>
        <w:spacing w:after="0" w:line="147" w:lineRule="exact"/>
        <w:rPr>
          <w:sz w:val="20"/>
          <w:szCs w:val="20"/>
          <w:color w:val="auto"/>
        </w:rPr>
      </w:pPr>
    </w:p>
    <w:p>
      <w:pPr>
        <w:jc w:val="both"/>
        <w:ind w:left="1071"/>
        <w:spacing w:after="0" w:line="261" w:lineRule="auto"/>
        <w:rPr>
          <w:sz w:val="20"/>
          <w:szCs w:val="20"/>
          <w:color w:val="auto"/>
        </w:rPr>
      </w:pPr>
      <w:r>
        <w:rPr>
          <w:rFonts w:ascii="Arial" w:cs="Arial" w:eastAsia="Arial" w:hAnsi="Arial"/>
          <w:sz w:val="15"/>
          <w:szCs w:val="15"/>
          <w:color w:val="auto"/>
        </w:rPr>
        <w:t>So long as the actual BOM of the Machine, compared with the BOM which will be agreed upon in writing by the parties to this Agreement, alters by a sum of not more than NIS [***] plus VAT, the rate of the load on the Machine shall remain unchanged. In other words, a difference of up to NIS [***] shall not give rise to a change in the price of the Machine.</w:t>
      </w:r>
    </w:p>
    <w:p>
      <w:pPr>
        <w:spacing w:after="0" w:line="155" w:lineRule="exact"/>
        <w:rPr>
          <w:sz w:val="20"/>
          <w:szCs w:val="20"/>
          <w:color w:val="auto"/>
        </w:rPr>
      </w:pPr>
    </w:p>
    <w:p>
      <w:pPr>
        <w:jc w:val="both"/>
        <w:ind w:left="1071"/>
        <w:spacing w:after="0" w:line="272" w:lineRule="auto"/>
        <w:rPr>
          <w:sz w:val="20"/>
          <w:szCs w:val="20"/>
          <w:color w:val="auto"/>
        </w:rPr>
      </w:pPr>
      <w:r>
        <w:rPr>
          <w:rFonts w:ascii="Arial" w:cs="Arial" w:eastAsia="Arial" w:hAnsi="Arial"/>
          <w:sz w:val="15"/>
          <w:szCs w:val="15"/>
          <w:color w:val="auto"/>
        </w:rPr>
        <w:t>(The BOM of a Machine pursuant to which will be agreed upon in writing by the parties, less the actual requested BOM of a Machine shall hereinafter be known as: the “</w:t>
      </w:r>
      <w:r>
        <w:rPr>
          <w:rFonts w:ascii="Arial" w:cs="Arial" w:eastAsia="Arial" w:hAnsi="Arial"/>
          <w:sz w:val="15"/>
          <w:szCs w:val="15"/>
          <w:b w:val="1"/>
          <w:bCs w:val="1"/>
          <w:color w:val="auto"/>
        </w:rPr>
        <w:t>Difference</w:t>
      </w:r>
      <w:r>
        <w:rPr>
          <w:rFonts w:ascii="Arial" w:cs="Arial" w:eastAsia="Arial" w:hAnsi="Arial"/>
          <w:sz w:val="15"/>
          <w:szCs w:val="15"/>
          <w:color w:val="auto"/>
        </w:rPr>
        <w:t>”).</w:t>
      </w:r>
    </w:p>
    <w:p>
      <w:pPr>
        <w:spacing w:after="0" w:line="147" w:lineRule="exact"/>
        <w:rPr>
          <w:sz w:val="20"/>
          <w:szCs w:val="20"/>
          <w:color w:val="auto"/>
        </w:rPr>
      </w:pPr>
    </w:p>
    <w:p>
      <w:pPr>
        <w:jc w:val="both"/>
        <w:ind w:left="1071"/>
        <w:spacing w:after="0" w:line="257" w:lineRule="auto"/>
        <w:rPr>
          <w:sz w:val="20"/>
          <w:szCs w:val="20"/>
          <w:color w:val="auto"/>
        </w:rPr>
      </w:pPr>
      <w:r>
        <w:rPr>
          <w:rFonts w:ascii="Arial" w:cs="Arial" w:eastAsia="Arial" w:hAnsi="Arial"/>
          <w:sz w:val="15"/>
          <w:szCs w:val="15"/>
          <w:color w:val="auto"/>
        </w:rPr>
        <w:t>If the Difference is greater than NIS [***] plus VAT, the rate of the load paid for the relevant machine shall increase by [***]% of the Difference, plus VAT at law. If the Difference is negative, and is lower than minus NIS [***] plus VAT at law, the load price shall be reduced by [***]% of the Difference. A numerical example for the purpose of illustration: If, following Engineering Changes, the price of Machine 931 drops by NIS [***], the load cost shall drop by NIS [***] ([***]% x [***]), and the final price of Machine 931 will be NIS [***].</w:t>
      </w:r>
    </w:p>
    <w:p>
      <w:pPr>
        <w:spacing w:after="0" w:line="181" w:lineRule="exact"/>
        <w:rPr>
          <w:sz w:val="20"/>
          <w:szCs w:val="20"/>
          <w:color w:val="auto"/>
        </w:rPr>
      </w:pPr>
    </w:p>
    <w:p>
      <w:pPr>
        <w:ind w:left="-9" w:firstLine="9"/>
        <w:spacing w:after="0" w:line="272" w:lineRule="auto"/>
        <w:tabs>
          <w:tab w:leader="none" w:pos="252" w:val="left"/>
        </w:tabs>
        <w:numPr>
          <w:ilvl w:val="0"/>
          <w:numId w:val="36"/>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193040</wp:posOffset>
            </wp:positionV>
            <wp:extent cx="7198360"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31"/>
          </w:cols>
          <w:pgMar w:left="289" w:top="757" w:right="279" w:bottom="1440" w:gutter="0" w:footer="0" w:header="0"/>
        </w:sectPr>
      </w:pPr>
    </w:p>
    <w:bookmarkStart w:id="21" w:name="page22"/>
    <w:bookmarkEnd w:id="21"/>
    <w:p>
      <w:pPr>
        <w:jc w:val="both"/>
        <w:ind w:left="1071" w:right="20"/>
        <w:spacing w:after="0" w:line="288" w:lineRule="auto"/>
        <w:rPr>
          <w:sz w:val="20"/>
          <w:szCs w:val="20"/>
          <w:color w:val="auto"/>
        </w:rPr>
      </w:pPr>
      <w:r>
        <w:rPr>
          <w:rFonts w:ascii="Arial" w:cs="Arial" w:eastAsia="Arial" w:hAnsi="Arial"/>
          <w:sz w:val="14"/>
          <w:szCs w:val="14"/>
          <w:color w:val="auto"/>
        </w:rPr>
        <w:t>In pricing a new model machine that has not yet moved over to serial production, the estimated working hours of an engineer, at an agreed tariff for hourly engineering work (as set out in the price list for services in section 19.3 below), shall be added. For the avoidance of doubt, an Order of a new model machine that has not yet moved to serial production shall require the prior written consent of the Parties to this Agreement with respect to the price of such machine.</w:t>
      </w:r>
    </w:p>
    <w:p>
      <w:pPr>
        <w:spacing w:after="0" w:line="138" w:lineRule="exact"/>
        <w:rPr>
          <w:sz w:val="20"/>
          <w:szCs w:val="20"/>
          <w:color w:val="auto"/>
        </w:rPr>
      </w:pPr>
    </w:p>
    <w:p>
      <w:pPr>
        <w:ind w:left="1071"/>
        <w:spacing w:after="0"/>
        <w:rPr>
          <w:sz w:val="20"/>
          <w:szCs w:val="20"/>
          <w:color w:val="auto"/>
        </w:rPr>
      </w:pPr>
      <w:r>
        <w:rPr>
          <w:rFonts w:ascii="Arial" w:cs="Arial" w:eastAsia="Arial" w:hAnsi="Arial"/>
          <w:sz w:val="15"/>
          <w:szCs w:val="15"/>
          <w:color w:val="auto"/>
        </w:rPr>
        <w:t>All of the payments set out in this section 19.2 shall be valid for the entire term of the Agreement.</w:t>
      </w:r>
    </w:p>
    <w:p>
      <w:pPr>
        <w:spacing w:after="0" w:line="186" w:lineRule="exact"/>
        <w:rPr>
          <w:sz w:val="20"/>
          <w:szCs w:val="20"/>
          <w:color w:val="auto"/>
        </w:rPr>
      </w:pPr>
    </w:p>
    <w:p>
      <w:pPr>
        <w:ind w:left="531"/>
        <w:spacing w:after="0"/>
        <w:tabs>
          <w:tab w:leader="none" w:pos="1050" w:val="left"/>
        </w:tabs>
        <w:rPr>
          <w:sz w:val="20"/>
          <w:szCs w:val="20"/>
          <w:color w:val="auto"/>
        </w:rPr>
      </w:pPr>
      <w:r>
        <w:rPr>
          <w:rFonts w:ascii="Arial" w:cs="Arial" w:eastAsia="Arial" w:hAnsi="Arial"/>
          <w:sz w:val="15"/>
          <w:szCs w:val="15"/>
          <w:color w:val="auto"/>
        </w:rPr>
        <w:t>19.3.</w:t>
      </w:r>
      <w:r>
        <w:rPr>
          <w:sz w:val="20"/>
          <w:szCs w:val="20"/>
          <w:color w:val="auto"/>
        </w:rPr>
        <w:tab/>
      </w:r>
      <w:r>
        <w:rPr>
          <w:rFonts w:ascii="Arial" w:cs="Arial" w:eastAsia="Arial" w:hAnsi="Arial"/>
          <w:sz w:val="13"/>
          <w:szCs w:val="13"/>
          <w:u w:val="single" w:color="auto"/>
          <w:color w:val="auto"/>
        </w:rPr>
        <w:t>Price List for Services:</w:t>
      </w:r>
    </w:p>
    <w:p>
      <w:pPr>
        <w:spacing w:after="0" w:line="182" w:lineRule="exact"/>
        <w:rPr>
          <w:sz w:val="20"/>
          <w:szCs w:val="20"/>
          <w:color w:val="auto"/>
        </w:rPr>
      </w:pPr>
    </w:p>
    <w:tbl>
      <w:tblPr>
        <w:tblLayout w:type="fixed"/>
        <w:tblInd w:w="1071" w:type="dxa"/>
        <w:tblCellMar>
          <w:top w:w="0" w:type="dxa"/>
          <w:left w:w="0" w:type="dxa"/>
          <w:bottom w:w="0" w:type="dxa"/>
          <w:right w:w="0" w:type="dxa"/>
        </w:tblCellMar>
      </w:tblPr>
      <w:tr>
        <w:trPr>
          <w:trHeight w:val="194"/>
        </w:trPr>
        <w:tc>
          <w:tcPr>
            <w:tcW w:w="880" w:type="dxa"/>
            <w:vAlign w:val="bottom"/>
          </w:tcPr>
          <w:p>
            <w:pPr>
              <w:spacing w:after="0"/>
              <w:rPr>
                <w:sz w:val="20"/>
                <w:szCs w:val="20"/>
                <w:color w:val="auto"/>
              </w:rPr>
            </w:pPr>
            <w:r>
              <w:rPr>
                <w:rFonts w:ascii="Arial" w:cs="Arial" w:eastAsia="Arial" w:hAnsi="Arial"/>
                <w:sz w:val="15"/>
                <w:szCs w:val="15"/>
                <w:b w:val="1"/>
                <w:bCs w:val="1"/>
                <w:color w:val="auto"/>
              </w:rPr>
              <w:t>#</w:t>
            </w:r>
          </w:p>
        </w:tc>
        <w:tc>
          <w:tcPr>
            <w:tcW w:w="180" w:type="dxa"/>
            <w:vAlign w:val="bottom"/>
          </w:tcPr>
          <w:p>
            <w:pPr>
              <w:spacing w:after="0"/>
              <w:rPr>
                <w:sz w:val="16"/>
                <w:szCs w:val="16"/>
                <w:color w:val="auto"/>
              </w:rPr>
            </w:pPr>
          </w:p>
        </w:tc>
        <w:tc>
          <w:tcPr>
            <w:tcW w:w="4040" w:type="dxa"/>
            <w:vAlign w:val="bottom"/>
            <w:gridSpan w:val="2"/>
          </w:tcPr>
          <w:p>
            <w:pPr>
              <w:ind w:left="20"/>
              <w:spacing w:after="0"/>
              <w:rPr>
                <w:sz w:val="20"/>
                <w:szCs w:val="20"/>
                <w:color w:val="auto"/>
              </w:rPr>
            </w:pPr>
            <w:r>
              <w:rPr>
                <w:rFonts w:ascii="Arial" w:cs="Arial" w:eastAsia="Arial" w:hAnsi="Arial"/>
                <w:sz w:val="15"/>
                <w:szCs w:val="15"/>
                <w:b w:val="1"/>
                <w:bCs w:val="1"/>
                <w:color w:val="auto"/>
              </w:rPr>
              <w:t>Product</w:t>
            </w:r>
          </w:p>
        </w:tc>
        <w:tc>
          <w:tcPr>
            <w:tcW w:w="4520" w:type="dxa"/>
            <w:vAlign w:val="bottom"/>
          </w:tcPr>
          <w:p>
            <w:pPr>
              <w:spacing w:after="0"/>
              <w:rPr>
                <w:sz w:val="20"/>
                <w:szCs w:val="20"/>
                <w:color w:val="auto"/>
              </w:rPr>
            </w:pPr>
            <w:r>
              <w:rPr>
                <w:rFonts w:ascii="Arial" w:cs="Arial" w:eastAsia="Arial" w:hAnsi="Arial"/>
                <w:sz w:val="15"/>
                <w:szCs w:val="15"/>
                <w:b w:val="1"/>
                <w:bCs w:val="1"/>
                <w:color w:val="auto"/>
              </w:rPr>
              <w:t>Price per Unit before VAT</w:t>
            </w:r>
          </w:p>
        </w:tc>
      </w:tr>
      <w:tr>
        <w:trPr>
          <w:trHeight w:val="160"/>
        </w:trPr>
        <w:tc>
          <w:tcPr>
            <w:tcW w:w="880" w:type="dxa"/>
            <w:vAlign w:val="bottom"/>
            <w:tcBorders>
              <w:top w:val="single" w:sz="8" w:color="auto"/>
            </w:tcBorders>
          </w:tcPr>
          <w:p>
            <w:pPr>
              <w:spacing w:after="0" w:line="161" w:lineRule="exact"/>
              <w:rPr>
                <w:sz w:val="20"/>
                <w:szCs w:val="20"/>
                <w:color w:val="auto"/>
              </w:rPr>
            </w:pPr>
            <w:r>
              <w:rPr>
                <w:rFonts w:ascii="Arial" w:cs="Arial" w:eastAsia="Arial" w:hAnsi="Arial"/>
                <w:sz w:val="15"/>
                <w:szCs w:val="15"/>
                <w:color w:val="auto"/>
              </w:rPr>
              <w:t>1</w:t>
            </w:r>
          </w:p>
        </w:tc>
        <w:tc>
          <w:tcPr>
            <w:tcW w:w="180" w:type="dxa"/>
            <w:vAlign w:val="bottom"/>
          </w:tcPr>
          <w:p>
            <w:pPr>
              <w:spacing w:after="0"/>
              <w:rPr>
                <w:sz w:val="13"/>
                <w:szCs w:val="13"/>
                <w:color w:val="auto"/>
              </w:rPr>
            </w:pPr>
          </w:p>
        </w:tc>
        <w:tc>
          <w:tcPr>
            <w:tcW w:w="3860" w:type="dxa"/>
            <w:vAlign w:val="bottom"/>
            <w:tcBorders>
              <w:top w:val="single" w:sz="8" w:color="auto"/>
            </w:tcBorders>
          </w:tcPr>
          <w:p>
            <w:pPr>
              <w:ind w:left="20"/>
              <w:spacing w:after="0" w:line="161" w:lineRule="exact"/>
              <w:rPr>
                <w:sz w:val="20"/>
                <w:szCs w:val="20"/>
                <w:color w:val="auto"/>
              </w:rPr>
            </w:pPr>
            <w:r>
              <w:rPr>
                <w:rFonts w:ascii="Arial" w:cs="Arial" w:eastAsia="Arial" w:hAnsi="Arial"/>
                <w:sz w:val="15"/>
                <w:szCs w:val="15"/>
                <w:color w:val="auto"/>
              </w:rPr>
              <w:t>Loading on spare parts</w:t>
            </w:r>
          </w:p>
        </w:tc>
        <w:tc>
          <w:tcPr>
            <w:tcW w:w="180" w:type="dxa"/>
            <w:vAlign w:val="bottom"/>
          </w:tcPr>
          <w:p>
            <w:pPr>
              <w:spacing w:after="0"/>
              <w:rPr>
                <w:sz w:val="13"/>
                <w:szCs w:val="13"/>
                <w:color w:val="auto"/>
              </w:rPr>
            </w:pPr>
          </w:p>
        </w:tc>
        <w:tc>
          <w:tcPr>
            <w:tcW w:w="4520" w:type="dxa"/>
            <w:vAlign w:val="bottom"/>
            <w:tcBorders>
              <w:top w:val="single" w:sz="8" w:color="auto"/>
            </w:tcBorders>
          </w:tcPr>
          <w:p>
            <w:pPr>
              <w:spacing w:after="0" w:line="161" w:lineRule="exact"/>
              <w:rPr>
                <w:sz w:val="20"/>
                <w:szCs w:val="20"/>
                <w:color w:val="auto"/>
              </w:rPr>
            </w:pPr>
            <w:r>
              <w:rPr>
                <w:rFonts w:ascii="Arial" w:cs="Arial" w:eastAsia="Arial" w:hAnsi="Arial"/>
                <w:sz w:val="15"/>
                <w:szCs w:val="15"/>
                <w:color w:val="auto"/>
              </w:rPr>
              <w:t>[***]% of the agreed Machine price for each spare part.</w:t>
            </w:r>
          </w:p>
        </w:tc>
      </w:tr>
      <w:tr>
        <w:trPr>
          <w:trHeight w:val="179"/>
        </w:trPr>
        <w:tc>
          <w:tcPr>
            <w:tcW w:w="880" w:type="dxa"/>
            <w:vAlign w:val="bottom"/>
          </w:tcPr>
          <w:p>
            <w:pPr>
              <w:spacing w:after="0"/>
              <w:rPr>
                <w:sz w:val="20"/>
                <w:szCs w:val="20"/>
                <w:color w:val="auto"/>
              </w:rPr>
            </w:pPr>
            <w:r>
              <w:rPr>
                <w:rFonts w:ascii="Arial" w:cs="Arial" w:eastAsia="Arial" w:hAnsi="Arial"/>
                <w:sz w:val="15"/>
                <w:szCs w:val="15"/>
                <w:color w:val="auto"/>
              </w:rPr>
              <w:t>2</w:t>
            </w:r>
          </w:p>
        </w:tc>
        <w:tc>
          <w:tcPr>
            <w:tcW w:w="180" w:type="dxa"/>
            <w:vAlign w:val="bottom"/>
          </w:tcPr>
          <w:p>
            <w:pPr>
              <w:spacing w:after="0"/>
              <w:rPr>
                <w:sz w:val="15"/>
                <w:szCs w:val="15"/>
                <w:color w:val="auto"/>
              </w:rPr>
            </w:pPr>
          </w:p>
        </w:tc>
        <w:tc>
          <w:tcPr>
            <w:tcW w:w="4040" w:type="dxa"/>
            <w:vAlign w:val="bottom"/>
            <w:gridSpan w:val="2"/>
          </w:tcPr>
          <w:p>
            <w:pPr>
              <w:ind w:left="20"/>
              <w:spacing w:after="0"/>
              <w:rPr>
                <w:sz w:val="20"/>
                <w:szCs w:val="20"/>
                <w:color w:val="auto"/>
              </w:rPr>
            </w:pPr>
            <w:r>
              <w:rPr>
                <w:rFonts w:ascii="Arial" w:cs="Arial" w:eastAsia="Arial" w:hAnsi="Arial"/>
                <w:sz w:val="15"/>
                <w:szCs w:val="15"/>
                <w:color w:val="auto"/>
              </w:rPr>
              <w:t>One assembly worker hour.</w:t>
            </w:r>
          </w:p>
        </w:tc>
        <w:tc>
          <w:tcPr>
            <w:tcW w:w="4520" w:type="dxa"/>
            <w:vAlign w:val="bottom"/>
          </w:tcPr>
          <w:p>
            <w:pPr>
              <w:spacing w:after="0"/>
              <w:rPr>
                <w:sz w:val="20"/>
                <w:szCs w:val="20"/>
                <w:color w:val="auto"/>
              </w:rPr>
            </w:pPr>
            <w:r>
              <w:rPr>
                <w:rFonts w:ascii="Arial" w:cs="Arial" w:eastAsia="Arial" w:hAnsi="Arial"/>
                <w:sz w:val="15"/>
                <w:szCs w:val="15"/>
                <w:color w:val="auto"/>
              </w:rPr>
              <w:t>NIS [***]</w:t>
            </w:r>
          </w:p>
        </w:tc>
      </w:tr>
      <w:tr>
        <w:trPr>
          <w:trHeight w:val="179"/>
        </w:trPr>
        <w:tc>
          <w:tcPr>
            <w:tcW w:w="880" w:type="dxa"/>
            <w:vAlign w:val="bottom"/>
          </w:tcPr>
          <w:p>
            <w:pPr>
              <w:spacing w:after="0"/>
              <w:rPr>
                <w:sz w:val="20"/>
                <w:szCs w:val="20"/>
                <w:color w:val="auto"/>
              </w:rPr>
            </w:pPr>
            <w:r>
              <w:rPr>
                <w:rFonts w:ascii="Arial" w:cs="Arial" w:eastAsia="Arial" w:hAnsi="Arial"/>
                <w:sz w:val="15"/>
                <w:szCs w:val="15"/>
                <w:color w:val="auto"/>
              </w:rPr>
              <w:t>3</w:t>
            </w:r>
          </w:p>
        </w:tc>
        <w:tc>
          <w:tcPr>
            <w:tcW w:w="180" w:type="dxa"/>
            <w:vAlign w:val="bottom"/>
          </w:tcPr>
          <w:p>
            <w:pPr>
              <w:spacing w:after="0"/>
              <w:rPr>
                <w:sz w:val="15"/>
                <w:szCs w:val="15"/>
                <w:color w:val="auto"/>
              </w:rPr>
            </w:pPr>
          </w:p>
        </w:tc>
        <w:tc>
          <w:tcPr>
            <w:tcW w:w="4040" w:type="dxa"/>
            <w:vAlign w:val="bottom"/>
            <w:gridSpan w:val="2"/>
          </w:tcPr>
          <w:p>
            <w:pPr>
              <w:ind w:left="20"/>
              <w:spacing w:after="0"/>
              <w:rPr>
                <w:sz w:val="20"/>
                <w:szCs w:val="20"/>
                <w:color w:val="auto"/>
              </w:rPr>
            </w:pPr>
            <w:r>
              <w:rPr>
                <w:rFonts w:ascii="Arial" w:cs="Arial" w:eastAsia="Arial" w:hAnsi="Arial"/>
                <w:sz w:val="15"/>
                <w:szCs w:val="15"/>
                <w:color w:val="auto"/>
              </w:rPr>
              <w:t>Floor space Kfar Saba – sqm per month</w:t>
            </w:r>
          </w:p>
        </w:tc>
        <w:tc>
          <w:tcPr>
            <w:tcW w:w="4520" w:type="dxa"/>
            <w:vAlign w:val="bottom"/>
          </w:tcPr>
          <w:p>
            <w:pPr>
              <w:spacing w:after="0"/>
              <w:rPr>
                <w:sz w:val="20"/>
                <w:szCs w:val="20"/>
                <w:color w:val="auto"/>
              </w:rPr>
            </w:pPr>
            <w:r>
              <w:rPr>
                <w:rFonts w:ascii="Arial" w:cs="Arial" w:eastAsia="Arial" w:hAnsi="Arial"/>
                <w:sz w:val="15"/>
                <w:szCs w:val="15"/>
                <w:color w:val="auto"/>
              </w:rPr>
              <w:t>NIS [***]</w:t>
            </w:r>
          </w:p>
        </w:tc>
      </w:tr>
      <w:tr>
        <w:trPr>
          <w:trHeight w:val="179"/>
        </w:trPr>
        <w:tc>
          <w:tcPr>
            <w:tcW w:w="880" w:type="dxa"/>
            <w:vAlign w:val="bottom"/>
          </w:tcPr>
          <w:p>
            <w:pPr>
              <w:spacing w:after="0"/>
              <w:rPr>
                <w:sz w:val="20"/>
                <w:szCs w:val="20"/>
                <w:color w:val="auto"/>
              </w:rPr>
            </w:pPr>
            <w:r>
              <w:rPr>
                <w:rFonts w:ascii="Arial" w:cs="Arial" w:eastAsia="Arial" w:hAnsi="Arial"/>
                <w:sz w:val="15"/>
                <w:szCs w:val="15"/>
                <w:color w:val="auto"/>
              </w:rPr>
              <w:t>4</w:t>
            </w:r>
          </w:p>
        </w:tc>
        <w:tc>
          <w:tcPr>
            <w:tcW w:w="180" w:type="dxa"/>
            <w:vAlign w:val="bottom"/>
          </w:tcPr>
          <w:p>
            <w:pPr>
              <w:spacing w:after="0"/>
              <w:rPr>
                <w:sz w:val="15"/>
                <w:szCs w:val="15"/>
                <w:color w:val="auto"/>
              </w:rPr>
            </w:pPr>
          </w:p>
        </w:tc>
        <w:tc>
          <w:tcPr>
            <w:tcW w:w="4040" w:type="dxa"/>
            <w:vAlign w:val="bottom"/>
            <w:gridSpan w:val="2"/>
          </w:tcPr>
          <w:p>
            <w:pPr>
              <w:ind w:left="20"/>
              <w:spacing w:after="0"/>
              <w:rPr>
                <w:sz w:val="20"/>
                <w:szCs w:val="20"/>
                <w:color w:val="auto"/>
              </w:rPr>
            </w:pPr>
            <w:r>
              <w:rPr>
                <w:rFonts w:ascii="Arial" w:cs="Arial" w:eastAsia="Arial" w:hAnsi="Arial"/>
                <w:sz w:val="15"/>
                <w:szCs w:val="15"/>
                <w:color w:val="auto"/>
              </w:rPr>
              <w:t>Floor space Nir Eliyahu – sqm per month</w:t>
            </w:r>
          </w:p>
        </w:tc>
        <w:tc>
          <w:tcPr>
            <w:tcW w:w="4520" w:type="dxa"/>
            <w:vAlign w:val="bottom"/>
          </w:tcPr>
          <w:p>
            <w:pPr>
              <w:spacing w:after="0"/>
              <w:rPr>
                <w:sz w:val="20"/>
                <w:szCs w:val="20"/>
                <w:color w:val="auto"/>
              </w:rPr>
            </w:pPr>
            <w:r>
              <w:rPr>
                <w:rFonts w:ascii="Arial" w:cs="Arial" w:eastAsia="Arial" w:hAnsi="Arial"/>
                <w:sz w:val="15"/>
                <w:szCs w:val="15"/>
                <w:color w:val="auto"/>
              </w:rPr>
              <w:t>NIS [***]</w:t>
            </w:r>
          </w:p>
        </w:tc>
      </w:tr>
      <w:tr>
        <w:trPr>
          <w:trHeight w:val="179"/>
        </w:trPr>
        <w:tc>
          <w:tcPr>
            <w:tcW w:w="880" w:type="dxa"/>
            <w:vAlign w:val="bottom"/>
          </w:tcPr>
          <w:p>
            <w:pPr>
              <w:spacing w:after="0"/>
              <w:rPr>
                <w:sz w:val="20"/>
                <w:szCs w:val="20"/>
                <w:color w:val="auto"/>
              </w:rPr>
            </w:pPr>
            <w:r>
              <w:rPr>
                <w:rFonts w:ascii="Arial" w:cs="Arial" w:eastAsia="Arial" w:hAnsi="Arial"/>
                <w:sz w:val="15"/>
                <w:szCs w:val="15"/>
                <w:color w:val="auto"/>
              </w:rPr>
              <w:t>5</w:t>
            </w:r>
          </w:p>
        </w:tc>
        <w:tc>
          <w:tcPr>
            <w:tcW w:w="180" w:type="dxa"/>
            <w:vAlign w:val="bottom"/>
          </w:tcPr>
          <w:p>
            <w:pPr>
              <w:spacing w:after="0"/>
              <w:rPr>
                <w:sz w:val="15"/>
                <w:szCs w:val="15"/>
                <w:color w:val="auto"/>
              </w:rPr>
            </w:pPr>
          </w:p>
        </w:tc>
        <w:tc>
          <w:tcPr>
            <w:tcW w:w="4040" w:type="dxa"/>
            <w:vAlign w:val="bottom"/>
            <w:gridSpan w:val="2"/>
          </w:tcPr>
          <w:p>
            <w:pPr>
              <w:ind w:left="20"/>
              <w:spacing w:after="0"/>
              <w:rPr>
                <w:sz w:val="20"/>
                <w:szCs w:val="20"/>
                <w:color w:val="auto"/>
              </w:rPr>
            </w:pPr>
            <w:r>
              <w:rPr>
                <w:rFonts w:ascii="Arial" w:cs="Arial" w:eastAsia="Arial" w:hAnsi="Arial"/>
                <w:sz w:val="15"/>
                <w:szCs w:val="15"/>
                <w:color w:val="auto"/>
                <w:w w:val="95"/>
              </w:rPr>
              <w:t>Loading on sale of slow or dead inventory (in the case of ECO)</w:t>
            </w:r>
          </w:p>
        </w:tc>
        <w:tc>
          <w:tcPr>
            <w:tcW w:w="4520" w:type="dxa"/>
            <w:vAlign w:val="bottom"/>
          </w:tcPr>
          <w:p>
            <w:pPr>
              <w:spacing w:after="0"/>
              <w:rPr>
                <w:sz w:val="20"/>
                <w:szCs w:val="20"/>
                <w:color w:val="auto"/>
              </w:rPr>
            </w:pPr>
            <w:r>
              <w:rPr>
                <w:rFonts w:ascii="Arial" w:cs="Arial" w:eastAsia="Arial" w:hAnsi="Arial"/>
                <w:sz w:val="15"/>
                <w:szCs w:val="15"/>
                <w:color w:val="auto"/>
                <w:w w:val="96"/>
              </w:rPr>
              <w:t>[***]% of purchase price of all Inventory that has become slow or dead</w:t>
            </w:r>
          </w:p>
        </w:tc>
      </w:tr>
      <w:tr>
        <w:trPr>
          <w:trHeight w:val="179"/>
        </w:trPr>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520" w:type="dxa"/>
            <w:vAlign w:val="bottom"/>
          </w:tcPr>
          <w:p>
            <w:pPr>
              <w:spacing w:after="0"/>
              <w:rPr>
                <w:sz w:val="20"/>
                <w:szCs w:val="20"/>
                <w:color w:val="auto"/>
              </w:rPr>
            </w:pPr>
            <w:r>
              <w:rPr>
                <w:rFonts w:ascii="Arial" w:cs="Arial" w:eastAsia="Arial" w:hAnsi="Arial"/>
                <w:sz w:val="15"/>
                <w:szCs w:val="15"/>
                <w:color w:val="auto"/>
              </w:rPr>
              <w:t>inventory.</w:t>
            </w:r>
          </w:p>
        </w:tc>
      </w:tr>
      <w:tr>
        <w:trPr>
          <w:trHeight w:val="179"/>
        </w:trPr>
        <w:tc>
          <w:tcPr>
            <w:tcW w:w="880" w:type="dxa"/>
            <w:vAlign w:val="bottom"/>
          </w:tcPr>
          <w:p>
            <w:pPr>
              <w:spacing w:after="0"/>
              <w:rPr>
                <w:sz w:val="20"/>
                <w:szCs w:val="20"/>
                <w:color w:val="auto"/>
              </w:rPr>
            </w:pPr>
            <w:r>
              <w:rPr>
                <w:rFonts w:ascii="Arial" w:cs="Arial" w:eastAsia="Arial" w:hAnsi="Arial"/>
                <w:sz w:val="15"/>
                <w:szCs w:val="15"/>
                <w:color w:val="auto"/>
              </w:rPr>
              <w:t>6</w:t>
            </w:r>
          </w:p>
        </w:tc>
        <w:tc>
          <w:tcPr>
            <w:tcW w:w="180" w:type="dxa"/>
            <w:vAlign w:val="bottom"/>
          </w:tcPr>
          <w:p>
            <w:pPr>
              <w:spacing w:after="0"/>
              <w:rPr>
                <w:sz w:val="15"/>
                <w:szCs w:val="15"/>
                <w:color w:val="auto"/>
              </w:rPr>
            </w:pPr>
          </w:p>
        </w:tc>
        <w:tc>
          <w:tcPr>
            <w:tcW w:w="4040" w:type="dxa"/>
            <w:vAlign w:val="bottom"/>
            <w:gridSpan w:val="2"/>
          </w:tcPr>
          <w:p>
            <w:pPr>
              <w:ind w:left="20"/>
              <w:spacing w:after="0"/>
              <w:rPr>
                <w:sz w:val="20"/>
                <w:szCs w:val="20"/>
                <w:color w:val="auto"/>
              </w:rPr>
            </w:pPr>
            <w:r>
              <w:rPr>
                <w:rFonts w:ascii="Arial" w:cs="Arial" w:eastAsia="Arial" w:hAnsi="Arial"/>
                <w:sz w:val="15"/>
                <w:szCs w:val="15"/>
                <w:color w:val="auto"/>
              </w:rPr>
              <w:t>Cost of special work hour and renovation</w:t>
            </w:r>
          </w:p>
        </w:tc>
        <w:tc>
          <w:tcPr>
            <w:tcW w:w="4520" w:type="dxa"/>
            <w:vAlign w:val="bottom"/>
          </w:tcPr>
          <w:p>
            <w:pPr>
              <w:spacing w:after="0"/>
              <w:rPr>
                <w:sz w:val="20"/>
                <w:szCs w:val="20"/>
                <w:color w:val="auto"/>
              </w:rPr>
            </w:pPr>
            <w:r>
              <w:rPr>
                <w:rFonts w:ascii="Arial" w:cs="Arial" w:eastAsia="Arial" w:hAnsi="Arial"/>
                <w:sz w:val="15"/>
                <w:szCs w:val="15"/>
                <w:color w:val="auto"/>
              </w:rPr>
              <w:t>NIS [***]</w:t>
            </w:r>
          </w:p>
        </w:tc>
      </w:tr>
      <w:tr>
        <w:trPr>
          <w:trHeight w:val="179"/>
        </w:trPr>
        <w:tc>
          <w:tcPr>
            <w:tcW w:w="880" w:type="dxa"/>
            <w:vAlign w:val="bottom"/>
          </w:tcPr>
          <w:p>
            <w:pPr>
              <w:spacing w:after="0"/>
              <w:rPr>
                <w:sz w:val="20"/>
                <w:szCs w:val="20"/>
                <w:color w:val="auto"/>
              </w:rPr>
            </w:pPr>
            <w:r>
              <w:rPr>
                <w:rFonts w:ascii="Arial" w:cs="Arial" w:eastAsia="Arial" w:hAnsi="Arial"/>
                <w:sz w:val="15"/>
                <w:szCs w:val="15"/>
                <w:color w:val="auto"/>
              </w:rPr>
              <w:t>7</w:t>
            </w:r>
          </w:p>
        </w:tc>
        <w:tc>
          <w:tcPr>
            <w:tcW w:w="180" w:type="dxa"/>
            <w:vAlign w:val="bottom"/>
          </w:tcPr>
          <w:p>
            <w:pPr>
              <w:spacing w:after="0"/>
              <w:rPr>
                <w:sz w:val="15"/>
                <w:szCs w:val="15"/>
                <w:color w:val="auto"/>
              </w:rPr>
            </w:pPr>
          </w:p>
        </w:tc>
        <w:tc>
          <w:tcPr>
            <w:tcW w:w="4040" w:type="dxa"/>
            <w:vAlign w:val="bottom"/>
            <w:gridSpan w:val="2"/>
          </w:tcPr>
          <w:p>
            <w:pPr>
              <w:ind w:left="20"/>
              <w:spacing w:after="0"/>
              <w:rPr>
                <w:sz w:val="20"/>
                <w:szCs w:val="20"/>
                <w:color w:val="auto"/>
              </w:rPr>
            </w:pPr>
            <w:r>
              <w:rPr>
                <w:rFonts w:ascii="Arial" w:cs="Arial" w:eastAsia="Arial" w:hAnsi="Arial"/>
                <w:sz w:val="15"/>
                <w:szCs w:val="15"/>
                <w:color w:val="auto"/>
              </w:rPr>
              <w:t>Cost of one working day overseas for assembly worker **</w:t>
            </w:r>
          </w:p>
        </w:tc>
        <w:tc>
          <w:tcPr>
            <w:tcW w:w="4520" w:type="dxa"/>
            <w:vAlign w:val="bottom"/>
          </w:tcPr>
          <w:p>
            <w:pPr>
              <w:spacing w:after="0"/>
              <w:rPr>
                <w:sz w:val="20"/>
                <w:szCs w:val="20"/>
                <w:color w:val="auto"/>
              </w:rPr>
            </w:pPr>
            <w:r>
              <w:rPr>
                <w:rFonts w:ascii="Arial" w:cs="Arial" w:eastAsia="Arial" w:hAnsi="Arial"/>
                <w:sz w:val="15"/>
                <w:szCs w:val="15"/>
                <w:color w:val="auto"/>
              </w:rPr>
              <w:t>NIS [***]</w:t>
            </w:r>
          </w:p>
        </w:tc>
      </w:tr>
      <w:tr>
        <w:trPr>
          <w:trHeight w:val="179"/>
        </w:trPr>
        <w:tc>
          <w:tcPr>
            <w:tcW w:w="880" w:type="dxa"/>
            <w:vAlign w:val="bottom"/>
          </w:tcPr>
          <w:p>
            <w:pPr>
              <w:spacing w:after="0"/>
              <w:rPr>
                <w:sz w:val="20"/>
                <w:szCs w:val="20"/>
                <w:color w:val="auto"/>
              </w:rPr>
            </w:pPr>
            <w:r>
              <w:rPr>
                <w:rFonts w:ascii="Arial" w:cs="Arial" w:eastAsia="Arial" w:hAnsi="Arial"/>
                <w:sz w:val="15"/>
                <w:szCs w:val="15"/>
                <w:color w:val="auto"/>
              </w:rPr>
              <w:t>8</w:t>
            </w:r>
          </w:p>
        </w:tc>
        <w:tc>
          <w:tcPr>
            <w:tcW w:w="180" w:type="dxa"/>
            <w:vAlign w:val="bottom"/>
          </w:tcPr>
          <w:p>
            <w:pPr>
              <w:spacing w:after="0"/>
              <w:rPr>
                <w:sz w:val="15"/>
                <w:szCs w:val="15"/>
                <w:color w:val="auto"/>
              </w:rPr>
            </w:pPr>
          </w:p>
        </w:tc>
        <w:tc>
          <w:tcPr>
            <w:tcW w:w="4040" w:type="dxa"/>
            <w:vAlign w:val="bottom"/>
            <w:gridSpan w:val="2"/>
          </w:tcPr>
          <w:p>
            <w:pPr>
              <w:ind w:left="20"/>
              <w:spacing w:after="0"/>
              <w:rPr>
                <w:sz w:val="20"/>
                <w:szCs w:val="20"/>
                <w:color w:val="auto"/>
              </w:rPr>
            </w:pPr>
            <w:r>
              <w:rPr>
                <w:rFonts w:ascii="Arial" w:cs="Arial" w:eastAsia="Arial" w:hAnsi="Arial"/>
                <w:sz w:val="15"/>
                <w:szCs w:val="15"/>
                <w:color w:val="auto"/>
              </w:rPr>
              <w:t>Cost of one working day overseas for engineer **</w:t>
            </w:r>
          </w:p>
        </w:tc>
        <w:tc>
          <w:tcPr>
            <w:tcW w:w="4520" w:type="dxa"/>
            <w:vAlign w:val="bottom"/>
          </w:tcPr>
          <w:p>
            <w:pPr>
              <w:spacing w:after="0"/>
              <w:rPr>
                <w:sz w:val="20"/>
                <w:szCs w:val="20"/>
                <w:color w:val="auto"/>
              </w:rPr>
            </w:pPr>
            <w:r>
              <w:rPr>
                <w:rFonts w:ascii="Arial" w:cs="Arial" w:eastAsia="Arial" w:hAnsi="Arial"/>
                <w:sz w:val="15"/>
                <w:szCs w:val="15"/>
                <w:color w:val="auto"/>
              </w:rPr>
              <w:t>NIS [***]</w:t>
            </w:r>
          </w:p>
        </w:tc>
      </w:tr>
      <w:tr>
        <w:trPr>
          <w:trHeight w:val="179"/>
        </w:trPr>
        <w:tc>
          <w:tcPr>
            <w:tcW w:w="880" w:type="dxa"/>
            <w:vAlign w:val="bottom"/>
          </w:tcPr>
          <w:p>
            <w:pPr>
              <w:spacing w:after="0"/>
              <w:rPr>
                <w:sz w:val="20"/>
                <w:szCs w:val="20"/>
                <w:color w:val="auto"/>
              </w:rPr>
            </w:pPr>
            <w:r>
              <w:rPr>
                <w:rFonts w:ascii="Arial" w:cs="Arial" w:eastAsia="Arial" w:hAnsi="Arial"/>
                <w:sz w:val="15"/>
                <w:szCs w:val="15"/>
                <w:color w:val="auto"/>
              </w:rPr>
              <w:t>9</w:t>
            </w:r>
          </w:p>
        </w:tc>
        <w:tc>
          <w:tcPr>
            <w:tcW w:w="180" w:type="dxa"/>
            <w:vAlign w:val="bottom"/>
          </w:tcPr>
          <w:p>
            <w:pPr>
              <w:spacing w:after="0"/>
              <w:rPr>
                <w:sz w:val="15"/>
                <w:szCs w:val="15"/>
                <w:color w:val="auto"/>
              </w:rPr>
            </w:pPr>
          </w:p>
        </w:tc>
        <w:tc>
          <w:tcPr>
            <w:tcW w:w="4040" w:type="dxa"/>
            <w:vAlign w:val="bottom"/>
            <w:gridSpan w:val="2"/>
          </w:tcPr>
          <w:p>
            <w:pPr>
              <w:ind w:left="20"/>
              <w:spacing w:after="0"/>
              <w:rPr>
                <w:sz w:val="20"/>
                <w:szCs w:val="20"/>
                <w:color w:val="auto"/>
              </w:rPr>
            </w:pPr>
            <w:r>
              <w:rPr>
                <w:rFonts w:ascii="Arial" w:cs="Arial" w:eastAsia="Arial" w:hAnsi="Arial"/>
                <w:sz w:val="15"/>
                <w:szCs w:val="15"/>
                <w:color w:val="auto"/>
              </w:rPr>
              <w:t>Cost of one working hour in development</w:t>
            </w:r>
          </w:p>
        </w:tc>
        <w:tc>
          <w:tcPr>
            <w:tcW w:w="4520" w:type="dxa"/>
            <w:vAlign w:val="bottom"/>
          </w:tcPr>
          <w:p>
            <w:pPr>
              <w:spacing w:after="0"/>
              <w:rPr>
                <w:sz w:val="20"/>
                <w:szCs w:val="20"/>
                <w:color w:val="auto"/>
              </w:rPr>
            </w:pPr>
            <w:r>
              <w:rPr>
                <w:rFonts w:ascii="Arial" w:cs="Arial" w:eastAsia="Arial" w:hAnsi="Arial"/>
                <w:sz w:val="15"/>
                <w:szCs w:val="15"/>
                <w:color w:val="auto"/>
              </w:rPr>
              <w:t>NIS [***]</w:t>
            </w:r>
          </w:p>
        </w:tc>
      </w:tr>
      <w:tr>
        <w:trPr>
          <w:trHeight w:val="179"/>
        </w:trPr>
        <w:tc>
          <w:tcPr>
            <w:tcW w:w="880" w:type="dxa"/>
            <w:vAlign w:val="bottom"/>
          </w:tcPr>
          <w:p>
            <w:pPr>
              <w:spacing w:after="0"/>
              <w:rPr>
                <w:sz w:val="20"/>
                <w:szCs w:val="20"/>
                <w:color w:val="auto"/>
              </w:rPr>
            </w:pPr>
            <w:r>
              <w:rPr>
                <w:rFonts w:ascii="Arial" w:cs="Arial" w:eastAsia="Arial" w:hAnsi="Arial"/>
                <w:sz w:val="15"/>
                <w:szCs w:val="15"/>
                <w:color w:val="auto"/>
              </w:rPr>
              <w:t>10</w:t>
            </w:r>
          </w:p>
        </w:tc>
        <w:tc>
          <w:tcPr>
            <w:tcW w:w="180" w:type="dxa"/>
            <w:vAlign w:val="bottom"/>
          </w:tcPr>
          <w:p>
            <w:pPr>
              <w:spacing w:after="0"/>
              <w:rPr>
                <w:sz w:val="15"/>
                <w:szCs w:val="15"/>
                <w:color w:val="auto"/>
              </w:rPr>
            </w:pPr>
          </w:p>
        </w:tc>
        <w:tc>
          <w:tcPr>
            <w:tcW w:w="4040" w:type="dxa"/>
            <w:vAlign w:val="bottom"/>
            <w:gridSpan w:val="2"/>
          </w:tcPr>
          <w:p>
            <w:pPr>
              <w:ind w:left="20"/>
              <w:spacing w:after="0"/>
              <w:rPr>
                <w:sz w:val="20"/>
                <w:szCs w:val="20"/>
                <w:color w:val="auto"/>
              </w:rPr>
            </w:pPr>
            <w:r>
              <w:rPr>
                <w:rFonts w:ascii="Arial" w:cs="Arial" w:eastAsia="Arial" w:hAnsi="Arial"/>
                <w:sz w:val="15"/>
                <w:szCs w:val="15"/>
                <w:color w:val="auto"/>
              </w:rPr>
              <w:t>Change in a new product (first 10 Machines, or one year,</w:t>
            </w:r>
          </w:p>
        </w:tc>
        <w:tc>
          <w:tcPr>
            <w:tcW w:w="4520" w:type="dxa"/>
            <w:vAlign w:val="bottom"/>
          </w:tcPr>
          <w:p>
            <w:pPr>
              <w:spacing w:after="0"/>
              <w:rPr>
                <w:sz w:val="20"/>
                <w:szCs w:val="20"/>
                <w:color w:val="auto"/>
              </w:rPr>
            </w:pPr>
            <w:r>
              <w:rPr>
                <w:rFonts w:ascii="Arial" w:cs="Arial" w:eastAsia="Arial" w:hAnsi="Arial"/>
                <w:sz w:val="15"/>
                <w:szCs w:val="15"/>
                <w:color w:val="auto"/>
              </w:rPr>
              <w:t>NIS [***] for each ECO that contains a change in content</w:t>
            </w:r>
          </w:p>
        </w:tc>
      </w:tr>
      <w:tr>
        <w:trPr>
          <w:trHeight w:val="189"/>
        </w:trPr>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40" w:type="dxa"/>
            <w:vAlign w:val="bottom"/>
            <w:gridSpan w:val="2"/>
          </w:tcPr>
          <w:p>
            <w:pPr>
              <w:ind w:left="20"/>
              <w:spacing w:after="0"/>
              <w:rPr>
                <w:sz w:val="20"/>
                <w:szCs w:val="20"/>
                <w:color w:val="auto"/>
              </w:rPr>
            </w:pPr>
            <w:r>
              <w:rPr>
                <w:rFonts w:ascii="Arial" w:cs="Arial" w:eastAsia="Arial" w:hAnsi="Arial"/>
                <w:sz w:val="15"/>
                <w:szCs w:val="15"/>
                <w:color w:val="auto"/>
              </w:rPr>
              <w:t>whichever is the earlier)</w:t>
            </w:r>
          </w:p>
        </w:tc>
        <w:tc>
          <w:tcPr>
            <w:tcW w:w="4520" w:type="dxa"/>
            <w:vAlign w:val="bottom"/>
          </w:tcPr>
          <w:p>
            <w:pPr>
              <w:spacing w:after="0"/>
              <w:rPr>
                <w:sz w:val="16"/>
                <w:szCs w:val="16"/>
                <w:color w:val="auto"/>
              </w:rPr>
            </w:pPr>
          </w:p>
        </w:tc>
      </w:tr>
    </w:tbl>
    <w:p>
      <w:pPr>
        <w:spacing w:after="0" w:line="170" w:lineRule="exact"/>
        <w:rPr>
          <w:sz w:val="20"/>
          <w:szCs w:val="20"/>
          <w:color w:val="auto"/>
        </w:rPr>
      </w:pPr>
    </w:p>
    <w:p>
      <w:pPr>
        <w:ind w:left="1071" w:right="20" w:firstLine="6"/>
        <w:spacing w:after="0" w:line="351" w:lineRule="auto"/>
        <w:tabs>
          <w:tab w:leader="none" w:pos="1264"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Customer shall be charged with an additional payment for each day on which an employee of the Supplier is overseas on a Friday and Saturday. If the Supplier's employee is required to work on a Friday or Saturday whilst overseas, a [***]% supplement to the tariff set out in the above table shall be added to the above.</w:t>
      </w:r>
    </w:p>
    <w:p>
      <w:pPr>
        <w:spacing w:after="0" w:line="100" w:lineRule="exact"/>
        <w:rPr>
          <w:rFonts w:ascii="Arial" w:cs="Arial" w:eastAsia="Arial" w:hAnsi="Arial"/>
          <w:sz w:val="13"/>
          <w:szCs w:val="13"/>
          <w:color w:val="auto"/>
        </w:rPr>
      </w:pPr>
    </w:p>
    <w:p>
      <w:pPr>
        <w:jc w:val="both"/>
        <w:ind w:left="1071" w:firstLine="6"/>
        <w:spacing w:after="0" w:line="261" w:lineRule="auto"/>
        <w:tabs>
          <w:tab w:leader="none" w:pos="12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In addition to the tariff set out in the Table, the Customer shall pay full coverage of the costs of the Supplier's employees for overseas stays, including costs for flights, accommodation, travel, communications, etc., but not including salary, living expenses and overseas travel insurance. For the avoidance of doubt, the Customer shall pay up to NIS [***] per day for communications costs.</w:t>
      </w:r>
    </w:p>
    <w:p>
      <w:pPr>
        <w:spacing w:after="0" w:line="155" w:lineRule="exact"/>
        <w:rPr>
          <w:sz w:val="20"/>
          <w:szCs w:val="20"/>
          <w:color w:val="auto"/>
        </w:rPr>
      </w:pPr>
    </w:p>
    <w:p>
      <w:pPr>
        <w:ind w:left="1071"/>
        <w:spacing w:after="0" w:line="272" w:lineRule="auto"/>
        <w:rPr>
          <w:sz w:val="20"/>
          <w:szCs w:val="20"/>
          <w:color w:val="auto"/>
        </w:rPr>
      </w:pPr>
      <w:r>
        <w:rPr>
          <w:rFonts w:ascii="Arial" w:cs="Arial" w:eastAsia="Arial" w:hAnsi="Arial"/>
          <w:sz w:val="15"/>
          <w:szCs w:val="15"/>
          <w:color w:val="auto"/>
        </w:rPr>
        <w:t>The Customer's Orders for works that are not defined in the Production File, which shall be approved in writing by the Supplier, shall be charged in accordance with the work hours in fact invested, calculated in accordance with the price list in section 19.3 above.</w:t>
      </w:r>
    </w:p>
    <w:p>
      <w:pPr>
        <w:spacing w:after="0" w:line="147" w:lineRule="exact"/>
        <w:rPr>
          <w:sz w:val="20"/>
          <w:szCs w:val="20"/>
          <w:color w:val="auto"/>
        </w:rPr>
      </w:pPr>
    </w:p>
    <w:p>
      <w:pPr>
        <w:ind w:left="-9" w:firstLine="9"/>
        <w:spacing w:after="0" w:line="272" w:lineRule="auto"/>
        <w:tabs>
          <w:tab w:leader="none" w:pos="252" w:val="left"/>
        </w:tabs>
        <w:numPr>
          <w:ilvl w:val="0"/>
          <w:numId w:val="38"/>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193040</wp:posOffset>
            </wp:positionV>
            <wp:extent cx="7198360"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31"/>
          </w:cols>
          <w:pgMar w:left="289" w:top="757" w:right="279" w:bottom="1440" w:gutter="0" w:footer="0" w:header="0"/>
        </w:sectPr>
      </w:pPr>
    </w:p>
    <w:bookmarkStart w:id="22" w:name="page23"/>
    <w:bookmarkEnd w:id="22"/>
    <w:p>
      <w:pPr>
        <w:jc w:val="both"/>
        <w:ind w:left="1071" w:right="20"/>
        <w:spacing w:after="0" w:line="319" w:lineRule="auto"/>
        <w:rPr>
          <w:sz w:val="20"/>
          <w:szCs w:val="20"/>
          <w:color w:val="auto"/>
        </w:rPr>
      </w:pPr>
      <w:r>
        <w:rPr>
          <w:rFonts w:ascii="Arial" w:cs="Arial" w:eastAsia="Arial" w:hAnsi="Arial"/>
          <w:sz w:val="13"/>
          <w:szCs w:val="13"/>
          <w:color w:val="auto"/>
        </w:rPr>
        <w:t>All of the payments set out in this section 19.3 shall be valid for a period of [***] calendar months after the date of execution of this Agreement. After the end of the first such calendar year, the validity of the prices set out in this section 19.3 shall be extended unless one of the Parties gives notice to the other Party of its wish to renegotiate the prices. For the avoidance of doubt, the prices set out in the other sections of this Agreement shall remain in force for the entire term of the Agreement.</w:t>
      </w:r>
    </w:p>
    <w:p>
      <w:pPr>
        <w:spacing w:after="0" w:line="122" w:lineRule="exact"/>
        <w:rPr>
          <w:sz w:val="20"/>
          <w:szCs w:val="20"/>
          <w:color w:val="auto"/>
        </w:rPr>
      </w:pPr>
    </w:p>
    <w:p>
      <w:pPr>
        <w:ind w:left="531"/>
        <w:spacing w:after="0"/>
        <w:tabs>
          <w:tab w:leader="none" w:pos="1050" w:val="left"/>
        </w:tabs>
        <w:rPr>
          <w:sz w:val="20"/>
          <w:szCs w:val="20"/>
          <w:color w:val="auto"/>
        </w:rPr>
      </w:pPr>
      <w:r>
        <w:rPr>
          <w:rFonts w:ascii="Arial" w:cs="Arial" w:eastAsia="Arial" w:hAnsi="Arial"/>
          <w:sz w:val="15"/>
          <w:szCs w:val="15"/>
          <w:color w:val="auto"/>
        </w:rPr>
        <w:t>19.4.</w:t>
      </w:r>
      <w:r>
        <w:rPr>
          <w:sz w:val="20"/>
          <w:szCs w:val="20"/>
          <w:color w:val="auto"/>
        </w:rPr>
        <w:tab/>
      </w:r>
      <w:r>
        <w:rPr>
          <w:rFonts w:ascii="Arial" w:cs="Arial" w:eastAsia="Arial" w:hAnsi="Arial"/>
          <w:sz w:val="13"/>
          <w:szCs w:val="13"/>
          <w:u w:val="single" w:color="auto"/>
          <w:color w:val="auto"/>
        </w:rPr>
        <w:t>Special discounts:</w:t>
      </w:r>
    </w:p>
    <w:p>
      <w:pPr>
        <w:spacing w:after="0" w:line="186" w:lineRule="exact"/>
        <w:rPr>
          <w:sz w:val="20"/>
          <w:szCs w:val="20"/>
          <w:color w:val="auto"/>
        </w:rPr>
      </w:pPr>
    </w:p>
    <w:p>
      <w:pPr>
        <w:jc w:val="both"/>
        <w:ind w:left="1071" w:right="20"/>
        <w:spacing w:after="0" w:line="309" w:lineRule="auto"/>
        <w:rPr>
          <w:sz w:val="20"/>
          <w:szCs w:val="20"/>
          <w:color w:val="auto"/>
        </w:rPr>
      </w:pPr>
      <w:r>
        <w:rPr>
          <w:rFonts w:ascii="Arial" w:cs="Arial" w:eastAsia="Arial" w:hAnsi="Arial"/>
          <w:sz w:val="14"/>
          <w:szCs w:val="14"/>
          <w:color w:val="auto"/>
        </w:rPr>
        <w:t>It is agreed that in the event that the Supplier manufactures more than [***] Machines for the Customer during one calendar year, then the Customer shall receive a discount in the sum of NIS [***] on the Machine price set out in this Agreement for each Machine after the 101st Machine manufactured during such calendar year.</w:t>
      </w:r>
    </w:p>
    <w:p>
      <w:pPr>
        <w:spacing w:after="0" w:line="124" w:lineRule="exact"/>
        <w:rPr>
          <w:sz w:val="20"/>
          <w:szCs w:val="20"/>
          <w:color w:val="auto"/>
        </w:rPr>
      </w:pPr>
    </w:p>
    <w:p>
      <w:pPr>
        <w:ind w:left="531"/>
        <w:spacing w:after="0"/>
        <w:tabs>
          <w:tab w:leader="none" w:pos="1050" w:val="left"/>
        </w:tabs>
        <w:rPr>
          <w:sz w:val="20"/>
          <w:szCs w:val="20"/>
          <w:color w:val="auto"/>
        </w:rPr>
      </w:pPr>
      <w:r>
        <w:rPr>
          <w:rFonts w:ascii="Arial" w:cs="Arial" w:eastAsia="Arial" w:hAnsi="Arial"/>
          <w:sz w:val="15"/>
          <w:szCs w:val="15"/>
          <w:color w:val="auto"/>
        </w:rPr>
        <w:t>19.5.</w:t>
      </w:r>
      <w:r>
        <w:rPr>
          <w:sz w:val="20"/>
          <w:szCs w:val="20"/>
          <w:color w:val="auto"/>
        </w:rPr>
        <w:tab/>
      </w:r>
      <w:r>
        <w:rPr>
          <w:rFonts w:ascii="Arial" w:cs="Arial" w:eastAsia="Arial" w:hAnsi="Arial"/>
          <w:sz w:val="13"/>
          <w:szCs w:val="13"/>
          <w:u w:val="single" w:color="auto"/>
          <w:color w:val="auto"/>
        </w:rPr>
        <w:t>Payment Conditions:</w:t>
      </w:r>
    </w:p>
    <w:p>
      <w:pPr>
        <w:spacing w:after="0" w:line="186" w:lineRule="exact"/>
        <w:rPr>
          <w:sz w:val="20"/>
          <w:szCs w:val="20"/>
          <w:color w:val="auto"/>
        </w:rPr>
      </w:pPr>
    </w:p>
    <w:p>
      <w:pPr>
        <w:ind w:left="1611" w:hanging="534"/>
        <w:spacing w:after="0"/>
        <w:tabs>
          <w:tab w:leader="none" w:pos="1611" w:val="left"/>
        </w:tabs>
        <w:numPr>
          <w:ilvl w:val="0"/>
          <w:numId w:val="39"/>
        </w:numPr>
        <w:rPr>
          <w:rFonts w:ascii="Arial" w:cs="Arial" w:eastAsia="Arial" w:hAnsi="Arial"/>
          <w:sz w:val="15"/>
          <w:szCs w:val="15"/>
          <w:color w:val="auto"/>
        </w:rPr>
      </w:pPr>
      <w:r>
        <w:rPr>
          <w:rFonts w:ascii="Arial" w:cs="Arial" w:eastAsia="Arial" w:hAnsi="Arial"/>
          <w:sz w:val="15"/>
          <w:szCs w:val="15"/>
          <w:color w:val="auto"/>
        </w:rPr>
        <w:t>Payment Conditions: End of month + [***] days after the date of issue of the invoice, for new Orders.</w:t>
      </w:r>
    </w:p>
    <w:p>
      <w:pPr>
        <w:spacing w:after="0" w:line="186" w:lineRule="exact"/>
        <w:rPr>
          <w:rFonts w:ascii="Arial" w:cs="Arial" w:eastAsia="Arial" w:hAnsi="Arial"/>
          <w:sz w:val="15"/>
          <w:szCs w:val="15"/>
          <w:color w:val="auto"/>
        </w:rPr>
      </w:pPr>
    </w:p>
    <w:p>
      <w:pPr>
        <w:ind w:left="1611" w:right="20" w:hanging="534"/>
        <w:spacing w:after="0" w:line="272" w:lineRule="auto"/>
        <w:tabs>
          <w:tab w:leader="none" w:pos="1611" w:val="left"/>
        </w:tabs>
        <w:numPr>
          <w:ilvl w:val="0"/>
          <w:numId w:val="39"/>
        </w:numPr>
        <w:rPr>
          <w:rFonts w:ascii="Arial" w:cs="Arial" w:eastAsia="Arial" w:hAnsi="Arial"/>
          <w:sz w:val="15"/>
          <w:szCs w:val="15"/>
          <w:color w:val="auto"/>
        </w:rPr>
      </w:pPr>
      <w:r>
        <w:rPr>
          <w:rFonts w:ascii="Arial" w:cs="Arial" w:eastAsia="Arial" w:hAnsi="Arial"/>
          <w:sz w:val="15"/>
          <w:szCs w:val="15"/>
          <w:color w:val="auto"/>
        </w:rPr>
        <w:t>VAT on the invoices shall be paid to the Supplier on the basis of end of month + [***] days after the date of issue of the invoice. These shall be paid to the Supplier as a rollover advance payment.</w:t>
      </w:r>
    </w:p>
    <w:p>
      <w:pPr>
        <w:spacing w:after="0" w:line="147" w:lineRule="exact"/>
        <w:rPr>
          <w:sz w:val="20"/>
          <w:szCs w:val="20"/>
          <w:color w:val="auto"/>
        </w:rPr>
      </w:pPr>
    </w:p>
    <w:p>
      <w:pPr>
        <w:ind w:left="531"/>
        <w:spacing w:after="0"/>
        <w:tabs>
          <w:tab w:leader="none" w:pos="1050" w:val="left"/>
        </w:tabs>
        <w:rPr>
          <w:sz w:val="20"/>
          <w:szCs w:val="20"/>
          <w:color w:val="auto"/>
        </w:rPr>
      </w:pPr>
      <w:r>
        <w:rPr>
          <w:rFonts w:ascii="Arial" w:cs="Arial" w:eastAsia="Arial" w:hAnsi="Arial"/>
          <w:sz w:val="15"/>
          <w:szCs w:val="15"/>
          <w:color w:val="auto"/>
        </w:rPr>
        <w:t>19.6.</w:t>
      </w:r>
      <w:r>
        <w:rPr>
          <w:sz w:val="20"/>
          <w:szCs w:val="20"/>
          <w:color w:val="auto"/>
        </w:rPr>
        <w:tab/>
      </w:r>
      <w:r>
        <w:rPr>
          <w:rFonts w:ascii="Arial" w:cs="Arial" w:eastAsia="Arial" w:hAnsi="Arial"/>
          <w:sz w:val="13"/>
          <w:szCs w:val="13"/>
          <w:u w:val="single" w:color="auto"/>
          <w:color w:val="auto"/>
        </w:rPr>
        <w:t>Sale of Parts and Assemblies to Customer:</w:t>
      </w:r>
    </w:p>
    <w:p>
      <w:pPr>
        <w:spacing w:after="0" w:line="186" w:lineRule="exact"/>
        <w:rPr>
          <w:sz w:val="20"/>
          <w:szCs w:val="20"/>
          <w:color w:val="auto"/>
        </w:rPr>
      </w:pPr>
    </w:p>
    <w:p>
      <w:pPr>
        <w:ind w:left="1071"/>
        <w:spacing w:after="0"/>
        <w:tabs>
          <w:tab w:leader="none" w:pos="1590" w:val="left"/>
        </w:tabs>
        <w:rPr>
          <w:sz w:val="20"/>
          <w:szCs w:val="20"/>
          <w:color w:val="auto"/>
        </w:rPr>
      </w:pPr>
      <w:r>
        <w:rPr>
          <w:rFonts w:ascii="Arial" w:cs="Arial" w:eastAsia="Arial" w:hAnsi="Arial"/>
          <w:sz w:val="15"/>
          <w:szCs w:val="15"/>
          <w:color w:val="auto"/>
        </w:rPr>
        <w:t>19.6.1.</w:t>
      </w:r>
      <w:r>
        <w:rPr>
          <w:sz w:val="20"/>
          <w:szCs w:val="20"/>
          <w:color w:val="auto"/>
        </w:rPr>
        <w:tab/>
      </w:r>
      <w:r>
        <w:rPr>
          <w:rFonts w:ascii="Arial" w:cs="Arial" w:eastAsia="Arial" w:hAnsi="Arial"/>
          <w:sz w:val="13"/>
          <w:szCs w:val="13"/>
          <w:color w:val="auto"/>
        </w:rPr>
        <w:t>A quote for manufacture or ordering of a single item shall be given within [***] business days.</w:t>
      </w:r>
    </w:p>
    <w:p>
      <w:pPr>
        <w:spacing w:after="0" w:line="186" w:lineRule="exact"/>
        <w:rPr>
          <w:sz w:val="20"/>
          <w:szCs w:val="20"/>
          <w:color w:val="auto"/>
        </w:rPr>
      </w:pPr>
    </w:p>
    <w:p>
      <w:pPr>
        <w:ind w:left="1071"/>
        <w:spacing w:after="0"/>
        <w:tabs>
          <w:tab w:leader="none" w:pos="1590" w:val="left"/>
        </w:tabs>
        <w:rPr>
          <w:sz w:val="20"/>
          <w:szCs w:val="20"/>
          <w:color w:val="auto"/>
        </w:rPr>
      </w:pPr>
      <w:r>
        <w:rPr>
          <w:rFonts w:ascii="Arial" w:cs="Arial" w:eastAsia="Arial" w:hAnsi="Arial"/>
          <w:sz w:val="15"/>
          <w:szCs w:val="15"/>
          <w:color w:val="auto"/>
        </w:rPr>
        <w:t>19.6.2.</w:t>
      </w:r>
      <w:r>
        <w:rPr>
          <w:sz w:val="20"/>
          <w:szCs w:val="20"/>
          <w:color w:val="auto"/>
        </w:rPr>
        <w:tab/>
      </w:r>
      <w:r>
        <w:rPr>
          <w:rFonts w:ascii="Arial" w:cs="Arial" w:eastAsia="Arial" w:hAnsi="Arial"/>
          <w:sz w:val="13"/>
          <w:szCs w:val="13"/>
          <w:color w:val="auto"/>
        </w:rPr>
        <w:t>A quote for an assembly shall be given within [***] business days.</w:t>
      </w:r>
    </w:p>
    <w:p>
      <w:pPr>
        <w:spacing w:after="0" w:line="186" w:lineRule="exact"/>
        <w:rPr>
          <w:sz w:val="20"/>
          <w:szCs w:val="20"/>
          <w:color w:val="auto"/>
        </w:rPr>
      </w:pPr>
    </w:p>
    <w:p>
      <w:pPr>
        <w:ind w:left="1071"/>
        <w:spacing w:after="0"/>
        <w:tabs>
          <w:tab w:leader="none" w:pos="1590" w:val="left"/>
        </w:tabs>
        <w:rPr>
          <w:sz w:val="20"/>
          <w:szCs w:val="20"/>
          <w:color w:val="auto"/>
        </w:rPr>
      </w:pPr>
      <w:r>
        <w:rPr>
          <w:rFonts w:ascii="Arial" w:cs="Arial" w:eastAsia="Arial" w:hAnsi="Arial"/>
          <w:sz w:val="15"/>
          <w:szCs w:val="15"/>
          <w:color w:val="auto"/>
        </w:rPr>
        <w:t>19.6.3.</w:t>
      </w:r>
      <w:r>
        <w:rPr>
          <w:sz w:val="20"/>
          <w:szCs w:val="20"/>
          <w:color w:val="auto"/>
        </w:rPr>
        <w:tab/>
      </w:r>
      <w:r>
        <w:rPr>
          <w:rFonts w:ascii="Arial" w:cs="Arial" w:eastAsia="Arial" w:hAnsi="Arial"/>
          <w:sz w:val="13"/>
          <w:szCs w:val="13"/>
          <w:color w:val="auto"/>
        </w:rPr>
        <w:t>Business days will be counted with respect to the day on which the Customer provides full details of the Item or the Product Tree to the Supplier, in writing.</w:t>
      </w:r>
    </w:p>
    <w:p>
      <w:pPr>
        <w:spacing w:after="0" w:line="186" w:lineRule="exact"/>
        <w:rPr>
          <w:sz w:val="20"/>
          <w:szCs w:val="20"/>
          <w:color w:val="auto"/>
        </w:rPr>
      </w:pPr>
    </w:p>
    <w:p>
      <w:pPr>
        <w:ind w:left="1071"/>
        <w:spacing w:after="0"/>
        <w:tabs>
          <w:tab w:leader="none" w:pos="1590" w:val="left"/>
        </w:tabs>
        <w:rPr>
          <w:sz w:val="20"/>
          <w:szCs w:val="20"/>
          <w:color w:val="auto"/>
        </w:rPr>
      </w:pPr>
      <w:r>
        <w:rPr>
          <w:rFonts w:ascii="Arial" w:cs="Arial" w:eastAsia="Arial" w:hAnsi="Arial"/>
          <w:sz w:val="15"/>
          <w:szCs w:val="15"/>
          <w:color w:val="auto"/>
        </w:rPr>
        <w:t>19.6.4.</w:t>
      </w:r>
      <w:r>
        <w:rPr>
          <w:sz w:val="20"/>
          <w:szCs w:val="20"/>
          <w:color w:val="auto"/>
        </w:rPr>
        <w:tab/>
      </w:r>
      <w:r>
        <w:rPr>
          <w:rFonts w:ascii="Arial" w:cs="Arial" w:eastAsia="Arial" w:hAnsi="Arial"/>
          <w:sz w:val="13"/>
          <w:szCs w:val="13"/>
          <w:color w:val="auto"/>
        </w:rPr>
        <w:t>Once every quarter, the Customer shall provide the Supplier, in writing, with orders of parts and assemblies for a time period of four months.</w:t>
      </w:r>
    </w:p>
    <w:p>
      <w:pPr>
        <w:spacing w:after="0" w:line="186" w:lineRule="exact"/>
        <w:rPr>
          <w:sz w:val="20"/>
          <w:szCs w:val="20"/>
          <w:color w:val="auto"/>
        </w:rPr>
      </w:pPr>
    </w:p>
    <w:p>
      <w:pPr>
        <w:ind w:left="1611" w:right="20" w:hanging="537"/>
        <w:spacing w:after="0" w:line="272" w:lineRule="auto"/>
        <w:tabs>
          <w:tab w:leader="none" w:pos="1590" w:val="left"/>
        </w:tabs>
        <w:rPr>
          <w:sz w:val="20"/>
          <w:szCs w:val="20"/>
          <w:color w:val="auto"/>
        </w:rPr>
      </w:pPr>
      <w:r>
        <w:rPr>
          <w:rFonts w:ascii="Arial" w:cs="Arial" w:eastAsia="Arial" w:hAnsi="Arial"/>
          <w:sz w:val="15"/>
          <w:szCs w:val="15"/>
          <w:color w:val="auto"/>
        </w:rPr>
        <w:t>19.6.5.</w:t>
        <w:tab/>
        <w:t>Orders for parts and assemblies shall be supplied in accordance with the agreed Lead Time for the Item and taking into account the requirements of the MOQ for the Item, subject to payment of the prices set out in section 19.3.</w:t>
      </w:r>
    </w:p>
    <w:p>
      <w:pPr>
        <w:spacing w:after="0" w:line="147" w:lineRule="exact"/>
        <w:rPr>
          <w:sz w:val="20"/>
          <w:szCs w:val="20"/>
          <w:color w:val="auto"/>
        </w:rPr>
      </w:pPr>
    </w:p>
    <w:p>
      <w:pPr>
        <w:ind w:left="1611" w:right="20" w:hanging="537"/>
        <w:spacing w:after="0" w:line="272" w:lineRule="auto"/>
        <w:tabs>
          <w:tab w:leader="none" w:pos="1590" w:val="left"/>
        </w:tabs>
        <w:rPr>
          <w:sz w:val="20"/>
          <w:szCs w:val="20"/>
          <w:color w:val="auto"/>
        </w:rPr>
      </w:pPr>
      <w:r>
        <w:rPr>
          <w:rFonts w:ascii="Arial" w:cs="Arial" w:eastAsia="Arial" w:hAnsi="Arial"/>
          <w:sz w:val="15"/>
          <w:szCs w:val="15"/>
          <w:color w:val="auto"/>
        </w:rPr>
        <w:t>19.6.6.</w:t>
        <w:tab/>
        <w:t>Items shall be supplied from Inventory on condition that such does not harm the Supplier's production plans, i.e., does not cause any delay in the supply of Machines as a result of supply of parts for the Service Department.</w:t>
      </w:r>
    </w:p>
    <w:p>
      <w:pPr>
        <w:spacing w:after="0" w:line="147" w:lineRule="exact"/>
        <w:rPr>
          <w:sz w:val="20"/>
          <w:szCs w:val="20"/>
          <w:color w:val="auto"/>
        </w:rPr>
      </w:pPr>
    </w:p>
    <w:p>
      <w:pPr>
        <w:ind w:left="1611" w:right="20" w:hanging="537"/>
        <w:spacing w:after="0" w:line="272" w:lineRule="auto"/>
        <w:tabs>
          <w:tab w:leader="none" w:pos="1590" w:val="left"/>
        </w:tabs>
        <w:rPr>
          <w:sz w:val="20"/>
          <w:szCs w:val="20"/>
          <w:color w:val="auto"/>
        </w:rPr>
      </w:pPr>
      <w:r>
        <w:rPr>
          <w:rFonts w:ascii="Arial" w:cs="Arial" w:eastAsia="Arial" w:hAnsi="Arial"/>
          <w:sz w:val="15"/>
          <w:szCs w:val="15"/>
          <w:color w:val="auto"/>
        </w:rPr>
        <w:t>19.6.7.</w:t>
      </w:r>
      <w:r>
        <w:rPr>
          <w:sz w:val="20"/>
          <w:szCs w:val="20"/>
          <w:color w:val="auto"/>
        </w:rPr>
        <w:tab/>
      </w:r>
      <w:r>
        <w:rPr>
          <w:rFonts w:ascii="Arial" w:cs="Arial" w:eastAsia="Arial" w:hAnsi="Arial"/>
          <w:sz w:val="15"/>
          <w:szCs w:val="15"/>
          <w:u w:val="single" w:color="auto"/>
          <w:color w:val="auto"/>
        </w:rPr>
        <w:t xml:space="preserve">The minimum sum for an order of parts or components </w:t>
      </w:r>
      <w:r>
        <w:rPr>
          <w:rFonts w:ascii="Arial" w:cs="Arial" w:eastAsia="Arial" w:hAnsi="Arial"/>
          <w:sz w:val="15"/>
          <w:szCs w:val="15"/>
          <w:color w:val="auto"/>
        </w:rPr>
        <w:t>shall be NIS [***], except for urgent cases in which the Customer shall have the option to send an order</w:t>
      </w:r>
      <w:r>
        <w:rPr>
          <w:rFonts w:ascii="Arial" w:cs="Arial" w:eastAsia="Arial" w:hAnsi="Arial"/>
          <w:sz w:val="15"/>
          <w:szCs w:val="15"/>
          <w:u w:val="single" w:color="auto"/>
          <w:color w:val="auto"/>
        </w:rPr>
        <w:t xml:space="preserve"> </w:t>
      </w:r>
      <w:r>
        <w:rPr>
          <w:rFonts w:ascii="Arial" w:cs="Arial" w:eastAsia="Arial" w:hAnsi="Arial"/>
          <w:sz w:val="15"/>
          <w:szCs w:val="15"/>
          <w:color w:val="auto"/>
        </w:rPr>
        <w:t>for parts or components in a sum of less than NIS [***].</w:t>
      </w:r>
    </w:p>
    <w:p>
      <w:pPr>
        <w:spacing w:after="0" w:line="147" w:lineRule="exact"/>
        <w:rPr>
          <w:sz w:val="20"/>
          <w:szCs w:val="20"/>
          <w:color w:val="auto"/>
        </w:rPr>
      </w:pPr>
    </w:p>
    <w:p>
      <w:pPr>
        <w:ind w:left="531"/>
        <w:spacing w:after="0"/>
        <w:tabs>
          <w:tab w:leader="none" w:pos="1050" w:val="left"/>
        </w:tabs>
        <w:rPr>
          <w:sz w:val="20"/>
          <w:szCs w:val="20"/>
          <w:color w:val="auto"/>
        </w:rPr>
      </w:pPr>
      <w:r>
        <w:rPr>
          <w:rFonts w:ascii="Arial" w:cs="Arial" w:eastAsia="Arial" w:hAnsi="Arial"/>
          <w:sz w:val="15"/>
          <w:szCs w:val="15"/>
          <w:color w:val="auto"/>
        </w:rPr>
        <w:t>19.7.</w:t>
      </w:r>
      <w:r>
        <w:rPr>
          <w:sz w:val="20"/>
          <w:szCs w:val="20"/>
          <w:color w:val="auto"/>
        </w:rPr>
        <w:tab/>
      </w:r>
      <w:r>
        <w:rPr>
          <w:rFonts w:ascii="Arial" w:cs="Arial" w:eastAsia="Arial" w:hAnsi="Arial"/>
          <w:sz w:val="13"/>
          <w:szCs w:val="13"/>
          <w:u w:val="single" w:color="auto"/>
          <w:color w:val="auto"/>
        </w:rPr>
        <w:t>Transportation Service:</w:t>
      </w:r>
    </w:p>
    <w:p>
      <w:pPr>
        <w:spacing w:after="0" w:line="186" w:lineRule="exact"/>
        <w:rPr>
          <w:sz w:val="20"/>
          <w:szCs w:val="20"/>
          <w:color w:val="auto"/>
        </w:rPr>
      </w:pPr>
    </w:p>
    <w:p>
      <w:pPr>
        <w:ind w:left="1071" w:right="20"/>
        <w:spacing w:after="0" w:line="272" w:lineRule="auto"/>
        <w:rPr>
          <w:sz w:val="20"/>
          <w:szCs w:val="20"/>
          <w:color w:val="auto"/>
        </w:rPr>
      </w:pPr>
      <w:r>
        <w:rPr>
          <w:rFonts w:ascii="Arial" w:cs="Arial" w:eastAsia="Arial" w:hAnsi="Arial"/>
          <w:sz w:val="15"/>
          <w:szCs w:val="15"/>
          <w:color w:val="auto"/>
        </w:rPr>
        <w:t xml:space="preserve">The Customer shall have the option of using the Supplier's transportation service for transporting OSP Items or Orders for service or for transporting parts for development purposes, </w:t>
      </w:r>
      <w:r>
        <w:rPr>
          <w:rFonts w:ascii="Arial" w:cs="Arial" w:eastAsia="Arial" w:hAnsi="Arial"/>
          <w:sz w:val="15"/>
          <w:szCs w:val="15"/>
          <w:u w:val="single" w:color="auto"/>
          <w:color w:val="auto"/>
        </w:rPr>
        <w:t>twice a month, at no cost</w:t>
      </w:r>
      <w:r>
        <w:rPr>
          <w:rFonts w:ascii="Arial" w:cs="Arial" w:eastAsia="Arial" w:hAnsi="Arial"/>
          <w:sz w:val="15"/>
          <w:szCs w:val="15"/>
          <w:color w:val="auto"/>
        </w:rPr>
        <w:t>.</w:t>
      </w:r>
    </w:p>
    <w:p>
      <w:pPr>
        <w:spacing w:after="0" w:line="170" w:lineRule="exact"/>
        <w:rPr>
          <w:sz w:val="20"/>
          <w:szCs w:val="20"/>
          <w:color w:val="auto"/>
        </w:rPr>
      </w:pPr>
    </w:p>
    <w:p>
      <w:pPr>
        <w:ind w:left="-9" w:firstLine="9"/>
        <w:spacing w:after="0" w:line="272" w:lineRule="auto"/>
        <w:tabs>
          <w:tab w:leader="none" w:pos="252" w:val="left"/>
        </w:tabs>
        <w:numPr>
          <w:ilvl w:val="0"/>
          <w:numId w:val="40"/>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193040</wp:posOffset>
            </wp:positionV>
            <wp:extent cx="7198360"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31"/>
          </w:cols>
          <w:pgMar w:left="289" w:top="779" w:right="279" w:bottom="1440" w:gutter="0" w:footer="0" w:header="0"/>
        </w:sectPr>
      </w:pPr>
    </w:p>
    <w:bookmarkStart w:id="23" w:name="page24"/>
    <w:bookmarkEnd w:id="23"/>
    <w:p>
      <w:pPr>
        <w:ind w:left="531" w:hanging="531"/>
        <w:spacing w:after="0"/>
        <w:tabs>
          <w:tab w:leader="none" w:pos="531" w:val="left"/>
        </w:tabs>
        <w:numPr>
          <w:ilvl w:val="0"/>
          <w:numId w:val="41"/>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Warranty</w:t>
      </w:r>
    </w:p>
    <w:p>
      <w:pPr>
        <w:spacing w:after="0" w:line="190" w:lineRule="exact"/>
        <w:rPr>
          <w:rFonts w:ascii="Arial" w:cs="Arial" w:eastAsia="Arial" w:hAnsi="Arial"/>
          <w:sz w:val="15"/>
          <w:szCs w:val="15"/>
          <w:b w:val="1"/>
          <w:bCs w:val="1"/>
          <w:color w:val="auto"/>
        </w:rPr>
      </w:pPr>
    </w:p>
    <w:p>
      <w:pPr>
        <w:ind w:left="1071" w:hanging="538"/>
        <w:spacing w:after="0" w:line="309" w:lineRule="auto"/>
        <w:rPr>
          <w:rFonts w:ascii="Arial" w:cs="Arial" w:eastAsia="Arial" w:hAnsi="Arial"/>
          <w:sz w:val="15"/>
          <w:szCs w:val="15"/>
          <w:b w:val="1"/>
          <w:bCs w:val="1"/>
          <w:color w:val="auto"/>
        </w:rPr>
      </w:pPr>
      <w:r>
        <w:rPr>
          <w:rFonts w:ascii="Arial" w:cs="Arial" w:eastAsia="Arial" w:hAnsi="Arial"/>
          <w:sz w:val="13"/>
          <w:szCs w:val="13"/>
          <w:color w:val="auto"/>
        </w:rPr>
        <w:t>20.1. The Supplier undertakes to the Customer that the Products: (1) shall be in full and complete compliance with the Production File, shall be new and from current production, without any harm to design (to the extent that the design is within the Supplier's responsibility), materials and work, including with respect to packaging (all apart from components and/or spare parts and/or parts that are to be supplied by the Customer) and (2) the Products shall be free and released from any debt, undertaking, claim, pledge, charge, lien or any other right of any third party whatsoever, stemming from an act or omission on the part of the Supplier (hereinafter: the “</w:t>
      </w:r>
      <w:r>
        <w:rPr>
          <w:rFonts w:ascii="Arial" w:cs="Arial" w:eastAsia="Arial" w:hAnsi="Arial"/>
          <w:sz w:val="13"/>
          <w:szCs w:val="13"/>
          <w:b w:val="1"/>
          <w:bCs w:val="1"/>
          <w:color w:val="auto"/>
        </w:rPr>
        <w:t>Warranty</w:t>
      </w:r>
      <w:r>
        <w:rPr>
          <w:rFonts w:ascii="Arial" w:cs="Arial" w:eastAsia="Arial" w:hAnsi="Arial"/>
          <w:sz w:val="13"/>
          <w:szCs w:val="13"/>
          <w:color w:val="auto"/>
        </w:rPr>
        <w:t>”).</w:t>
      </w:r>
    </w:p>
    <w:p>
      <w:pPr>
        <w:spacing w:after="0" w:line="127" w:lineRule="exact"/>
        <w:rPr>
          <w:rFonts w:ascii="Arial" w:cs="Arial" w:eastAsia="Arial" w:hAnsi="Arial"/>
          <w:sz w:val="15"/>
          <w:szCs w:val="15"/>
          <w:b w:val="1"/>
          <w:bCs w:val="1"/>
          <w:color w:val="auto"/>
        </w:rPr>
      </w:pPr>
    </w:p>
    <w:p>
      <w:pPr>
        <w:ind w:left="1071" w:hanging="538"/>
        <w:spacing w:after="0" w:line="288" w:lineRule="auto"/>
        <w:rPr>
          <w:rFonts w:ascii="Arial" w:cs="Arial" w:eastAsia="Arial" w:hAnsi="Arial"/>
          <w:sz w:val="15"/>
          <w:szCs w:val="15"/>
          <w:b w:val="1"/>
          <w:bCs w:val="1"/>
          <w:color w:val="auto"/>
        </w:rPr>
      </w:pPr>
      <w:r>
        <w:rPr>
          <w:rFonts w:ascii="Arial" w:cs="Arial" w:eastAsia="Arial" w:hAnsi="Arial"/>
          <w:sz w:val="14"/>
          <w:szCs w:val="14"/>
          <w:color w:val="auto"/>
        </w:rPr>
        <w:t xml:space="preserve">20.2. Without derogating from the provisions of section 20.1 above, with respect to the Products, </w:t>
      </w:r>
      <w:r>
        <w:rPr>
          <w:rFonts w:ascii="Arial" w:cs="Arial" w:eastAsia="Arial" w:hAnsi="Arial"/>
          <w:sz w:val="14"/>
          <w:szCs w:val="14"/>
          <w:u w:val="single" w:color="auto"/>
          <w:color w:val="auto"/>
        </w:rPr>
        <w:t>the Warranty Period shall be one year</w:t>
      </w:r>
      <w:r>
        <w:rPr>
          <w:rFonts w:ascii="Arial" w:cs="Arial" w:eastAsia="Arial" w:hAnsi="Arial"/>
          <w:sz w:val="14"/>
          <w:szCs w:val="14"/>
          <w:color w:val="auto"/>
        </w:rPr>
        <w:t xml:space="preserve"> from the date of supply of the Product to the Customer or from the date of charging of the Customer with payment, whichever is the earlier (the “</w:t>
      </w:r>
      <w:r>
        <w:rPr>
          <w:rFonts w:ascii="Arial" w:cs="Arial" w:eastAsia="Arial" w:hAnsi="Arial"/>
          <w:sz w:val="14"/>
          <w:szCs w:val="14"/>
          <w:b w:val="1"/>
          <w:bCs w:val="1"/>
          <w:color w:val="auto"/>
        </w:rPr>
        <w:t>Warranty Period</w:t>
      </w:r>
      <w:r>
        <w:rPr>
          <w:rFonts w:ascii="Arial" w:cs="Arial" w:eastAsia="Arial" w:hAnsi="Arial"/>
          <w:sz w:val="14"/>
          <w:szCs w:val="14"/>
          <w:color w:val="auto"/>
        </w:rPr>
        <w:t>”). With respect to all of the parts from which the Products are made, the Warranty shall remain in force so long as there is a third party warranty in place vis-à-vis the Supplier (back-to-back).</w:t>
      </w:r>
    </w:p>
    <w:p>
      <w:pPr>
        <w:spacing w:after="0" w:line="134" w:lineRule="exact"/>
        <w:rPr>
          <w:rFonts w:ascii="Arial" w:cs="Arial" w:eastAsia="Arial" w:hAnsi="Arial"/>
          <w:sz w:val="15"/>
          <w:szCs w:val="15"/>
          <w:b w:val="1"/>
          <w:bCs w:val="1"/>
          <w:color w:val="auto"/>
        </w:rPr>
      </w:pPr>
    </w:p>
    <w:p>
      <w:pPr>
        <w:ind w:left="1071" w:hanging="538"/>
        <w:spacing w:after="0" w:line="273" w:lineRule="auto"/>
        <w:rPr>
          <w:rFonts w:ascii="Arial" w:cs="Arial" w:eastAsia="Arial" w:hAnsi="Arial"/>
          <w:sz w:val="15"/>
          <w:szCs w:val="15"/>
          <w:b w:val="1"/>
          <w:bCs w:val="1"/>
          <w:color w:val="auto"/>
        </w:rPr>
      </w:pPr>
      <w:r>
        <w:rPr>
          <w:rFonts w:ascii="Arial" w:cs="Arial" w:eastAsia="Arial" w:hAnsi="Arial"/>
          <w:sz w:val="14"/>
          <w:szCs w:val="14"/>
          <w:color w:val="auto"/>
        </w:rPr>
        <w:t>20.3. If during the Warranty Period the Customer discovers a flaw that comes within the ambit of the Warranty (hereinafter: the “</w:t>
      </w:r>
      <w:r>
        <w:rPr>
          <w:rFonts w:ascii="Arial" w:cs="Arial" w:eastAsia="Arial" w:hAnsi="Arial"/>
          <w:sz w:val="14"/>
          <w:szCs w:val="14"/>
          <w:b w:val="1"/>
          <w:bCs w:val="1"/>
          <w:color w:val="auto"/>
        </w:rPr>
        <w:t>fault</w:t>
      </w:r>
      <w:r>
        <w:rPr>
          <w:rFonts w:ascii="Arial" w:cs="Arial" w:eastAsia="Arial" w:hAnsi="Arial"/>
          <w:sz w:val="14"/>
          <w:szCs w:val="14"/>
          <w:color w:val="auto"/>
        </w:rPr>
        <w:t>” or “</w:t>
      </w:r>
      <w:r>
        <w:rPr>
          <w:rFonts w:ascii="Arial" w:cs="Arial" w:eastAsia="Arial" w:hAnsi="Arial"/>
          <w:sz w:val="14"/>
          <w:szCs w:val="14"/>
          <w:b w:val="1"/>
          <w:bCs w:val="1"/>
          <w:color w:val="auto"/>
        </w:rPr>
        <w:t>flaw</w:t>
      </w:r>
      <w:r>
        <w:rPr>
          <w:rFonts w:ascii="Arial" w:cs="Arial" w:eastAsia="Arial" w:hAnsi="Arial"/>
          <w:sz w:val="14"/>
          <w:szCs w:val="14"/>
          <w:color w:val="auto"/>
        </w:rPr>
        <w:t>”), notice of such shall be given to the Supplier in writing / by email (subject to a confirmation of receipt), and the Supplier undertakes: (a) to replace the faulty Item or any part thereof; or (b) to repair the flaws, upon coordination between the Supplier and the Customer, all for no consideration and within seven working days after the faulty Item reaches the Supplier's facility (except in the case of a design flaw by the Customer, which shall be repaired by mutual consent between the Parties, within a reasonable period of time, at the Customer's expense and upon the giving of warning of such by the Supplier). The repaired or replaced Product shall remain under Warranty for the remainder of the original Warranty Period on the faulty Item, but for not fewer than 3 months after the end of the repair, at the same time as any warranty that the Supplier may have from the third party manufacturer, if any (back to back). All of the aforesaid shall be effected by the Customer issuing an Order to the Supplier for the faulty Item and by way of a charge to the Customer, and when the faulty Item is returned following repair or replacement, the Customer shall receive a credit (full total set-off) if the allegation that the Item is faulty turns out to be correct.</w:t>
      </w:r>
    </w:p>
    <w:p>
      <w:pPr>
        <w:spacing w:after="0" w:line="149" w:lineRule="exact"/>
        <w:rPr>
          <w:rFonts w:ascii="Arial" w:cs="Arial" w:eastAsia="Arial" w:hAnsi="Arial"/>
          <w:sz w:val="15"/>
          <w:szCs w:val="15"/>
          <w:b w:val="1"/>
          <w:bCs w:val="1"/>
          <w:color w:val="auto"/>
        </w:rPr>
      </w:pPr>
    </w:p>
    <w:p>
      <w:pPr>
        <w:ind w:left="1071" w:hanging="538"/>
        <w:spacing w:after="0" w:line="254" w:lineRule="auto"/>
        <w:rPr>
          <w:rFonts w:ascii="Arial" w:cs="Arial" w:eastAsia="Arial" w:hAnsi="Arial"/>
          <w:sz w:val="15"/>
          <w:szCs w:val="15"/>
          <w:b w:val="1"/>
          <w:bCs w:val="1"/>
          <w:color w:val="auto"/>
        </w:rPr>
      </w:pPr>
      <w:r>
        <w:rPr>
          <w:rFonts w:ascii="Arial" w:cs="Arial" w:eastAsia="Arial" w:hAnsi="Arial"/>
          <w:sz w:val="15"/>
          <w:szCs w:val="15"/>
          <w:color w:val="auto"/>
        </w:rPr>
        <w:t>20.4. Notwithstanding all of the aforesaid provisions, the Warranty under this Agreement shall apply only to direct faults or flaws or damages originating in the assembly and/or production processes. The Warranty shall not apply to flaws or faults or damages caused as a result of an act of malice and/or negligence and/or incorrect use of the Product by the Customer or by the end user, or stemming from the design of the Product, including faulty and/or inappropriate design of the Product and/or any harm stemming from a fault in any component and/or part supplied by the Customer, or due to faulty maintenance or natural and reasonable wear and tear. The Customer shall examine the Products soon after receiving them, including operation of the Products, and shall give notice to the Supplier of any fault and/or flaw that may become apparent in such examination.</w:t>
      </w:r>
    </w:p>
    <w:p>
      <w:pPr>
        <w:spacing w:after="0" w:line="160" w:lineRule="exact"/>
        <w:rPr>
          <w:rFonts w:ascii="Arial" w:cs="Arial" w:eastAsia="Arial" w:hAnsi="Arial"/>
          <w:sz w:val="15"/>
          <w:szCs w:val="15"/>
          <w:b w:val="1"/>
          <w:bCs w:val="1"/>
          <w:color w:val="auto"/>
        </w:rPr>
      </w:pPr>
    </w:p>
    <w:p>
      <w:pPr>
        <w:ind w:left="531"/>
        <w:spacing w:after="0"/>
        <w:rPr>
          <w:rFonts w:ascii="Arial" w:cs="Arial" w:eastAsia="Arial" w:hAnsi="Arial"/>
          <w:sz w:val="15"/>
          <w:szCs w:val="15"/>
          <w:b w:val="1"/>
          <w:bCs w:val="1"/>
          <w:color w:val="auto"/>
        </w:rPr>
      </w:pPr>
      <w:r>
        <w:rPr>
          <w:rFonts w:ascii="Arial" w:cs="Arial" w:eastAsia="Arial" w:hAnsi="Arial"/>
          <w:sz w:val="15"/>
          <w:szCs w:val="15"/>
          <w:color w:val="auto"/>
        </w:rPr>
        <w:t>20.5.    The Supplier's Warranty is at the factory gate, i.e., any repaid made during the Warranty Period shall be made at the Supplier's factory.</w:t>
      </w:r>
    </w:p>
    <w:p>
      <w:pPr>
        <w:spacing w:after="0" w:line="186" w:lineRule="exact"/>
        <w:rPr>
          <w:sz w:val="20"/>
          <w:szCs w:val="20"/>
          <w:color w:val="auto"/>
        </w:rPr>
      </w:pPr>
    </w:p>
    <w:p>
      <w:pPr>
        <w:ind w:left="-9" w:firstLine="9"/>
        <w:spacing w:after="0" w:line="272" w:lineRule="auto"/>
        <w:tabs>
          <w:tab w:leader="none" w:pos="252" w:val="left"/>
        </w:tabs>
        <w:numPr>
          <w:ilvl w:val="0"/>
          <w:numId w:val="42"/>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193040</wp:posOffset>
            </wp:positionV>
            <wp:extent cx="7198360"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31"/>
          </w:cols>
          <w:pgMar w:left="289" w:top="753" w:right="279" w:bottom="1440" w:gutter="0" w:footer="0" w:header="0"/>
        </w:sectPr>
      </w:pPr>
    </w:p>
    <w:bookmarkStart w:id="24" w:name="page25"/>
    <w:bookmarkEnd w:id="24"/>
    <w:p>
      <w:pPr>
        <w:jc w:val="both"/>
        <w:ind w:left="1071" w:hanging="537"/>
        <w:spacing w:after="0" w:line="257" w:lineRule="auto"/>
        <w:tabs>
          <w:tab w:leader="none" w:pos="1050" w:val="left"/>
        </w:tabs>
        <w:rPr>
          <w:sz w:val="20"/>
          <w:szCs w:val="20"/>
          <w:color w:val="auto"/>
        </w:rPr>
      </w:pPr>
      <w:r>
        <w:rPr>
          <w:rFonts w:ascii="Arial" w:cs="Arial" w:eastAsia="Arial" w:hAnsi="Arial"/>
          <w:sz w:val="15"/>
          <w:szCs w:val="15"/>
          <w:color w:val="auto"/>
        </w:rPr>
        <w:t>20.6.</w:t>
      </w:r>
      <w:r>
        <w:rPr>
          <w:sz w:val="20"/>
          <w:szCs w:val="20"/>
          <w:color w:val="auto"/>
        </w:rPr>
        <w:tab/>
      </w:r>
      <w:r>
        <w:rPr>
          <w:rFonts w:ascii="Arial" w:cs="Arial" w:eastAsia="Arial" w:hAnsi="Arial"/>
          <w:sz w:val="15"/>
          <w:szCs w:val="15"/>
          <w:color w:val="auto"/>
        </w:rPr>
        <w:t>If during the Warranty Period, the Customer wishes to repair a fault, the duty of repair of which falls on the Supplier, on a Product that is outside of Israel, the Customer shall bear all of the costs of flight and sojourn (including flight, accommodation, communications, travel, etc. (provided that with respect to communications costs, the Customer shall bear a cost of up to NIS 100 per day)) for the Supplier and/or a person acting on its behalf, except for salary costs and travel expenses, which shall be covered by the Supplier.</w:t>
      </w:r>
    </w:p>
    <w:p>
      <w:pPr>
        <w:spacing w:after="0" w:line="158" w:lineRule="exact"/>
        <w:rPr>
          <w:sz w:val="20"/>
          <w:szCs w:val="20"/>
          <w:color w:val="auto"/>
        </w:rPr>
      </w:pPr>
    </w:p>
    <w:p>
      <w:pPr>
        <w:ind w:left="531"/>
        <w:spacing w:after="0"/>
        <w:tabs>
          <w:tab w:leader="none" w:pos="1050" w:val="left"/>
        </w:tabs>
        <w:rPr>
          <w:sz w:val="20"/>
          <w:szCs w:val="20"/>
          <w:color w:val="auto"/>
        </w:rPr>
      </w:pPr>
      <w:r>
        <w:rPr>
          <w:rFonts w:ascii="Arial" w:cs="Arial" w:eastAsia="Arial" w:hAnsi="Arial"/>
          <w:sz w:val="15"/>
          <w:szCs w:val="15"/>
          <w:color w:val="auto"/>
        </w:rPr>
        <w:t>20.7.</w:t>
      </w:r>
      <w:r>
        <w:rPr>
          <w:sz w:val="20"/>
          <w:szCs w:val="20"/>
          <w:color w:val="auto"/>
        </w:rPr>
        <w:tab/>
      </w:r>
      <w:r>
        <w:rPr>
          <w:rFonts w:ascii="Arial" w:cs="Arial" w:eastAsia="Arial" w:hAnsi="Arial"/>
          <w:sz w:val="13"/>
          <w:szCs w:val="13"/>
          <w:color w:val="auto"/>
        </w:rPr>
        <w:t>For the avoidance of doubt, it is agreed that the Warranty the subject of this Agreement does not apply to OSP Items.</w:t>
      </w:r>
    </w:p>
    <w:p>
      <w:pPr>
        <w:spacing w:after="0" w:line="182" w:lineRule="exact"/>
        <w:rPr>
          <w:sz w:val="20"/>
          <w:szCs w:val="20"/>
          <w:color w:val="auto"/>
        </w:rPr>
      </w:pPr>
    </w:p>
    <w:p>
      <w:pPr>
        <w:ind w:left="531" w:hanging="531"/>
        <w:spacing w:after="0"/>
        <w:tabs>
          <w:tab w:leader="none" w:pos="531" w:val="left"/>
        </w:tabs>
        <w:numPr>
          <w:ilvl w:val="0"/>
          <w:numId w:val="43"/>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Termination and Rescission of the Agreement</w:t>
      </w:r>
    </w:p>
    <w:p>
      <w:pPr>
        <w:spacing w:after="0" w:line="186" w:lineRule="exact"/>
        <w:rPr>
          <w:rFonts w:ascii="Arial" w:cs="Arial" w:eastAsia="Arial" w:hAnsi="Arial"/>
          <w:sz w:val="15"/>
          <w:szCs w:val="15"/>
          <w:b w:val="1"/>
          <w:bCs w:val="1"/>
          <w:color w:val="auto"/>
        </w:rPr>
      </w:pPr>
    </w:p>
    <w:p>
      <w:pPr>
        <w:ind w:left="531"/>
        <w:spacing w:after="0"/>
        <w:rPr>
          <w:rFonts w:ascii="Arial" w:cs="Arial" w:eastAsia="Arial" w:hAnsi="Arial"/>
          <w:sz w:val="15"/>
          <w:szCs w:val="15"/>
          <w:b w:val="1"/>
          <w:bCs w:val="1"/>
          <w:color w:val="auto"/>
        </w:rPr>
      </w:pPr>
      <w:r>
        <w:rPr>
          <w:rFonts w:ascii="Arial" w:cs="Arial" w:eastAsia="Arial" w:hAnsi="Arial"/>
          <w:sz w:val="15"/>
          <w:szCs w:val="15"/>
          <w:color w:val="auto"/>
        </w:rPr>
        <w:t>21.1.    The term of this Agreement shall commence on March 9, 2015, and shall terminate on March 8, 2017 (the “</w:t>
      </w:r>
      <w:r>
        <w:rPr>
          <w:rFonts w:ascii="Arial" w:cs="Arial" w:eastAsia="Arial" w:hAnsi="Arial"/>
          <w:sz w:val="15"/>
          <w:szCs w:val="15"/>
          <w:b w:val="1"/>
          <w:bCs w:val="1"/>
          <w:color w:val="auto"/>
        </w:rPr>
        <w:t>Term of the Agreement</w:t>
      </w:r>
      <w:r>
        <w:rPr>
          <w:rFonts w:ascii="Arial" w:cs="Arial" w:eastAsia="Arial" w:hAnsi="Arial"/>
          <w:sz w:val="15"/>
          <w:szCs w:val="15"/>
          <w:color w:val="auto"/>
        </w:rPr>
        <w:t>”).</w:t>
      </w:r>
    </w:p>
    <w:p>
      <w:pPr>
        <w:spacing w:after="0" w:line="190" w:lineRule="exact"/>
        <w:rPr>
          <w:rFonts w:ascii="Arial" w:cs="Arial" w:eastAsia="Arial" w:hAnsi="Arial"/>
          <w:sz w:val="15"/>
          <w:szCs w:val="15"/>
          <w:b w:val="1"/>
          <w:bCs w:val="1"/>
          <w:color w:val="auto"/>
        </w:rPr>
      </w:pPr>
    </w:p>
    <w:p>
      <w:pPr>
        <w:ind w:left="1071" w:hanging="538"/>
        <w:spacing w:after="0" w:line="272" w:lineRule="auto"/>
        <w:rPr>
          <w:rFonts w:ascii="Arial" w:cs="Arial" w:eastAsia="Arial" w:hAnsi="Arial"/>
          <w:sz w:val="15"/>
          <w:szCs w:val="15"/>
          <w:b w:val="1"/>
          <w:bCs w:val="1"/>
          <w:color w:val="auto"/>
        </w:rPr>
      </w:pPr>
      <w:r>
        <w:rPr>
          <w:rFonts w:ascii="Arial" w:cs="Arial" w:eastAsia="Arial" w:hAnsi="Arial"/>
          <w:sz w:val="15"/>
          <w:szCs w:val="15"/>
          <w:color w:val="auto"/>
        </w:rPr>
        <w:t>21.2. This Agreement shall automatically renew for consecutive periods of one year (the first of which shall commence on March 9, 2017), in the event that neither Party sends a registered letter of termination 180 days prior to the end of the Term of the Agreement, or the end of each relevant year of the Agreement.</w:t>
      </w:r>
    </w:p>
    <w:p>
      <w:pPr>
        <w:spacing w:after="0" w:line="147" w:lineRule="exact"/>
        <w:rPr>
          <w:rFonts w:ascii="Arial" w:cs="Arial" w:eastAsia="Arial" w:hAnsi="Arial"/>
          <w:sz w:val="15"/>
          <w:szCs w:val="15"/>
          <w:b w:val="1"/>
          <w:bCs w:val="1"/>
          <w:color w:val="auto"/>
        </w:rPr>
      </w:pPr>
    </w:p>
    <w:p>
      <w:pPr>
        <w:ind w:left="1071" w:hanging="538"/>
        <w:spacing w:after="0" w:line="271" w:lineRule="auto"/>
        <w:rPr>
          <w:rFonts w:ascii="Arial" w:cs="Arial" w:eastAsia="Arial" w:hAnsi="Arial"/>
          <w:sz w:val="15"/>
          <w:szCs w:val="15"/>
          <w:b w:val="1"/>
          <w:bCs w:val="1"/>
          <w:color w:val="auto"/>
        </w:rPr>
      </w:pPr>
      <w:r>
        <w:rPr>
          <w:rFonts w:ascii="Arial" w:cs="Arial" w:eastAsia="Arial" w:hAnsi="Arial"/>
          <w:sz w:val="14"/>
          <w:szCs w:val="14"/>
          <w:color w:val="auto"/>
        </w:rPr>
        <w:t>21.3. At any time, the Customer and the Supplier shall have the right to rescind the Agreement in full, or any part thereof, by the giving of notice in writing within one year (365 days) in advance by registered mail or by electronic mail, which shall be backed up, within 10 days, by a registered letter. Upon receipt of the notice of rescission, the Supplier shall not accrue any additional expenses with respect to the performance of the Agreement or performance of the rescinded portion of the Agreement, however, it shall be entitled to continue to incur expenses in order to comply with all of its undertakings under the Agreement, including all of the Supplier's undertakings as such existed on the date of receipt of the notice of rescission. Under the above circumstances, the Supplier shall take any reasonable action required to stop production on its part and shall use its best effort to stop production by any sub-contractor, all to the extent that the above shall not serve to cause the Supplier any damage and/or out-of-pocket expense. The Customer shall have no obligation to make any payment any quantities of the Products and/or Items manufactured over and above open Orders that may come to an end after 365 days after the date of receipt of the notice of rescission written by the Customer. On the date of termination of the Agreement, and against conclusion of the settlement of accounts between the Parties and payment of all of the sums owing to the Supplier under the provisions of this Agreement, the Supplier shall be required to provide the Customer with the inventory of all of the Products for which the Customer has paid in accordance with the provisions of this section, unless the Parties have agreed otherwise in writing.</w:t>
      </w:r>
    </w:p>
    <w:p>
      <w:pPr>
        <w:spacing w:after="0" w:line="153" w:lineRule="exact"/>
        <w:rPr>
          <w:rFonts w:ascii="Arial" w:cs="Arial" w:eastAsia="Arial" w:hAnsi="Arial"/>
          <w:sz w:val="15"/>
          <w:szCs w:val="15"/>
          <w:b w:val="1"/>
          <w:bCs w:val="1"/>
          <w:color w:val="auto"/>
        </w:rPr>
      </w:pPr>
    </w:p>
    <w:p>
      <w:pPr>
        <w:ind w:left="1071" w:hanging="538"/>
        <w:spacing w:after="0" w:line="261" w:lineRule="auto"/>
        <w:rPr>
          <w:rFonts w:ascii="Arial" w:cs="Arial" w:eastAsia="Arial" w:hAnsi="Arial"/>
          <w:sz w:val="15"/>
          <w:szCs w:val="15"/>
          <w:b w:val="1"/>
          <w:bCs w:val="1"/>
          <w:color w:val="auto"/>
        </w:rPr>
      </w:pPr>
      <w:r>
        <w:rPr>
          <w:rFonts w:ascii="Arial" w:cs="Arial" w:eastAsia="Arial" w:hAnsi="Arial"/>
          <w:sz w:val="15"/>
          <w:szCs w:val="15"/>
          <w:color w:val="auto"/>
        </w:rPr>
        <w:t>21.4. The Parties may terminate the Agreement immediately in any event in which attachment, receivership, liquidation or bankruptcy proceedings are instituted and are not cancelled within 60 days of the date of being instituted, or in the event that the business of one of the Parties ceases to operate for a period of more than 60 days, or in the event that arrangement proceedings with creditors are initiated.</w:t>
      </w:r>
    </w:p>
    <w:p>
      <w:pPr>
        <w:spacing w:after="0" w:line="154" w:lineRule="exact"/>
        <w:rPr>
          <w:rFonts w:ascii="Arial" w:cs="Arial" w:eastAsia="Arial" w:hAnsi="Arial"/>
          <w:sz w:val="15"/>
          <w:szCs w:val="15"/>
          <w:b w:val="1"/>
          <w:bCs w:val="1"/>
          <w:color w:val="auto"/>
        </w:rPr>
      </w:pPr>
    </w:p>
    <w:p>
      <w:pPr>
        <w:ind w:left="1071" w:hanging="538"/>
        <w:spacing w:after="0" w:line="309" w:lineRule="auto"/>
        <w:rPr>
          <w:rFonts w:ascii="Arial" w:cs="Arial" w:eastAsia="Arial" w:hAnsi="Arial"/>
          <w:sz w:val="15"/>
          <w:szCs w:val="15"/>
          <w:b w:val="1"/>
          <w:bCs w:val="1"/>
          <w:color w:val="auto"/>
        </w:rPr>
      </w:pPr>
      <w:r>
        <w:rPr>
          <w:rFonts w:ascii="Arial" w:cs="Arial" w:eastAsia="Arial" w:hAnsi="Arial"/>
          <w:sz w:val="14"/>
          <w:szCs w:val="14"/>
          <w:color w:val="auto"/>
        </w:rPr>
        <w:t>21.5. Each of the Parties shall be entitled to bring this Agreement to an immediate end in the event that the other Party to this Agreement breaches one of the conditions of this Agreement, provided that the infringing party does not remedy the breach within 60 days of the date of receipt of the written notice of the other Party.</w:t>
      </w:r>
    </w:p>
    <w:p>
      <w:pPr>
        <w:spacing w:after="0" w:line="124" w:lineRule="exact"/>
        <w:rPr>
          <w:sz w:val="20"/>
          <w:szCs w:val="20"/>
          <w:color w:val="auto"/>
        </w:rPr>
      </w:pPr>
    </w:p>
    <w:p>
      <w:pPr>
        <w:ind w:left="-9" w:firstLine="9"/>
        <w:spacing w:after="0" w:line="272" w:lineRule="auto"/>
        <w:tabs>
          <w:tab w:leader="none" w:pos="252" w:val="left"/>
        </w:tabs>
        <w:numPr>
          <w:ilvl w:val="0"/>
          <w:numId w:val="44"/>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193040</wp:posOffset>
            </wp:positionV>
            <wp:extent cx="7198360"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31"/>
          </w:cols>
          <w:pgMar w:left="289" w:top="779" w:right="279" w:bottom="1440" w:gutter="0" w:footer="0" w:header="0"/>
        </w:sectPr>
      </w:pPr>
    </w:p>
    <w:bookmarkStart w:id="25" w:name="page26"/>
    <w:bookmarkEnd w:id="25"/>
    <w:p>
      <w:pPr>
        <w:jc w:val="both"/>
        <w:ind w:left="1071" w:hanging="537"/>
        <w:spacing w:after="0" w:line="300" w:lineRule="auto"/>
        <w:tabs>
          <w:tab w:leader="none" w:pos="1050" w:val="left"/>
        </w:tabs>
        <w:rPr>
          <w:sz w:val="20"/>
          <w:szCs w:val="20"/>
          <w:color w:val="auto"/>
        </w:rPr>
      </w:pPr>
      <w:r>
        <w:rPr>
          <w:rFonts w:ascii="Arial" w:cs="Arial" w:eastAsia="Arial" w:hAnsi="Arial"/>
          <w:sz w:val="15"/>
          <w:szCs w:val="15"/>
          <w:color w:val="auto"/>
        </w:rPr>
        <w:t>21.6.</w:t>
      </w:r>
      <w:r>
        <w:rPr>
          <w:sz w:val="20"/>
          <w:szCs w:val="20"/>
          <w:color w:val="auto"/>
        </w:rPr>
        <w:tab/>
      </w:r>
      <w:r>
        <w:rPr>
          <w:rFonts w:ascii="Arial" w:cs="Arial" w:eastAsia="Arial" w:hAnsi="Arial"/>
          <w:sz w:val="13"/>
          <w:szCs w:val="13"/>
          <w:color w:val="auto"/>
        </w:rPr>
        <w:t>In the event of lawful termination of the Agreement / cancellation of Orders in accordance with the provisions of this Agreement, the Customer shall purchase all of the Inventory from the Supplier that was purchased and/or manufactured by the Supplier in accordance with the provisions of this Agreement and/or the Purchase Orders and/or an email request from the Customer and/or the necessary MOQ within 90 days of the date of delivery of the notice of rescission of the Agreement to the Supplier. For each such Item and/or Component, the Customer shall pay the price for such Item and/or Component as appearing in the BOM plus [***]% plus VAT at law, and shall pay the entire cost of the work invested for the assembly of parts, if any, with respect to the Item the subject of the Order and/or cancellation of the Order, the entire sum payable being paid on the date of demand by the Supplier. The Supplier shall, for its part, act reasonably in order to minimize the damage vis-à-vis the Supplier's suppliers.</w:t>
      </w:r>
    </w:p>
    <w:p>
      <w:pPr>
        <w:spacing w:after="0" w:line="135" w:lineRule="exact"/>
        <w:rPr>
          <w:sz w:val="20"/>
          <w:szCs w:val="20"/>
          <w:color w:val="auto"/>
        </w:rPr>
      </w:pPr>
    </w:p>
    <w:p>
      <w:pPr>
        <w:jc w:val="both"/>
        <w:ind w:left="1071" w:hanging="537"/>
        <w:spacing w:after="0" w:line="261" w:lineRule="auto"/>
        <w:tabs>
          <w:tab w:leader="none" w:pos="1050" w:val="left"/>
        </w:tabs>
        <w:rPr>
          <w:sz w:val="20"/>
          <w:szCs w:val="20"/>
          <w:color w:val="auto"/>
        </w:rPr>
      </w:pPr>
      <w:r>
        <w:rPr>
          <w:rFonts w:ascii="Arial" w:cs="Arial" w:eastAsia="Arial" w:hAnsi="Arial"/>
          <w:sz w:val="15"/>
          <w:szCs w:val="15"/>
          <w:color w:val="auto"/>
        </w:rPr>
        <w:t>21.7.</w:t>
      </w:r>
      <w:r>
        <w:rPr>
          <w:sz w:val="20"/>
          <w:szCs w:val="20"/>
          <w:color w:val="auto"/>
        </w:rPr>
        <w:tab/>
      </w:r>
      <w:r>
        <w:rPr>
          <w:rFonts w:ascii="Arial" w:cs="Arial" w:eastAsia="Arial" w:hAnsi="Arial"/>
          <w:sz w:val="15"/>
          <w:szCs w:val="15"/>
          <w:color w:val="auto"/>
        </w:rPr>
        <w:t>The following sections shall continue to apply notwithstanding termination of this Agreement for any reason whatsoever: 19 (Prices) up to the full payment of the sums owing to the Supplier from the Customer in accordance with the provisions of this Agreement; 20 (Warranty), 21, 23 (Service and Support Obligation); 24 (Intellectual Property and Non-Disclosure); 29 (General Matters).</w:t>
      </w:r>
    </w:p>
    <w:p>
      <w:pPr>
        <w:spacing w:after="0" w:line="151" w:lineRule="exact"/>
        <w:rPr>
          <w:sz w:val="20"/>
          <w:szCs w:val="20"/>
          <w:color w:val="auto"/>
        </w:rPr>
      </w:pPr>
    </w:p>
    <w:p>
      <w:pPr>
        <w:ind w:left="531" w:hanging="531"/>
        <w:spacing w:after="0"/>
        <w:tabs>
          <w:tab w:leader="none" w:pos="531" w:val="left"/>
        </w:tabs>
        <w:numPr>
          <w:ilvl w:val="0"/>
          <w:numId w:val="45"/>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Service and Support Obligation</w:t>
      </w:r>
    </w:p>
    <w:p>
      <w:pPr>
        <w:spacing w:after="0" w:line="186" w:lineRule="exact"/>
        <w:rPr>
          <w:rFonts w:ascii="Arial" w:cs="Arial" w:eastAsia="Arial" w:hAnsi="Arial"/>
          <w:sz w:val="15"/>
          <w:szCs w:val="15"/>
          <w:b w:val="1"/>
          <w:bCs w:val="1"/>
          <w:color w:val="auto"/>
        </w:rPr>
      </w:pPr>
    </w:p>
    <w:p>
      <w:pPr>
        <w:ind w:left="1071" w:hanging="538"/>
        <w:spacing w:after="0" w:line="278" w:lineRule="auto"/>
        <w:rPr>
          <w:rFonts w:ascii="Arial" w:cs="Arial" w:eastAsia="Arial" w:hAnsi="Arial"/>
          <w:sz w:val="15"/>
          <w:szCs w:val="15"/>
          <w:b w:val="1"/>
          <w:bCs w:val="1"/>
          <w:color w:val="auto"/>
        </w:rPr>
      </w:pPr>
      <w:r>
        <w:rPr>
          <w:rFonts w:ascii="Arial" w:cs="Arial" w:eastAsia="Arial" w:hAnsi="Arial"/>
          <w:sz w:val="15"/>
          <w:szCs w:val="15"/>
          <w:color w:val="auto"/>
        </w:rPr>
        <w:t>22.1. The Supplier's service period for the Machines shall commence at the end of the Warranty Period and shall end one year after termination of the Agreement (the “</w:t>
      </w:r>
      <w:r>
        <w:rPr>
          <w:rFonts w:ascii="Arial" w:cs="Arial" w:eastAsia="Arial" w:hAnsi="Arial"/>
          <w:sz w:val="15"/>
          <w:szCs w:val="15"/>
          <w:b w:val="1"/>
          <w:bCs w:val="1"/>
          <w:color w:val="auto"/>
        </w:rPr>
        <w:t>Service</w:t>
      </w:r>
      <w:r>
        <w:rPr>
          <w:rFonts w:ascii="Arial" w:cs="Arial" w:eastAsia="Arial" w:hAnsi="Arial"/>
          <w:sz w:val="15"/>
          <w:szCs w:val="15"/>
          <w:color w:val="auto"/>
        </w:rPr>
        <w:t xml:space="preserve"> </w:t>
      </w:r>
      <w:r>
        <w:rPr>
          <w:rFonts w:ascii="Arial" w:cs="Arial" w:eastAsia="Arial" w:hAnsi="Arial"/>
          <w:sz w:val="15"/>
          <w:szCs w:val="15"/>
          <w:b w:val="1"/>
          <w:bCs w:val="1"/>
          <w:color w:val="auto"/>
        </w:rPr>
        <w:t>Period</w:t>
      </w:r>
      <w:r>
        <w:rPr>
          <w:rFonts w:ascii="Arial" w:cs="Arial" w:eastAsia="Arial" w:hAnsi="Arial"/>
          <w:sz w:val="15"/>
          <w:szCs w:val="15"/>
          <w:color w:val="auto"/>
        </w:rPr>
        <w:t>”).</w:t>
      </w:r>
    </w:p>
    <w:p>
      <w:pPr>
        <w:spacing w:after="0" w:line="142" w:lineRule="exact"/>
        <w:rPr>
          <w:rFonts w:ascii="Arial" w:cs="Arial" w:eastAsia="Arial" w:hAnsi="Arial"/>
          <w:sz w:val="15"/>
          <w:szCs w:val="15"/>
          <w:b w:val="1"/>
          <w:bCs w:val="1"/>
          <w:color w:val="auto"/>
        </w:rPr>
      </w:pPr>
    </w:p>
    <w:p>
      <w:pPr>
        <w:ind w:left="1071" w:right="20" w:hanging="538"/>
        <w:spacing w:after="0" w:line="257" w:lineRule="auto"/>
        <w:rPr>
          <w:rFonts w:ascii="Arial" w:cs="Arial" w:eastAsia="Arial" w:hAnsi="Arial"/>
          <w:sz w:val="15"/>
          <w:szCs w:val="15"/>
          <w:b w:val="1"/>
          <w:bCs w:val="1"/>
          <w:color w:val="auto"/>
        </w:rPr>
      </w:pPr>
      <w:r>
        <w:rPr>
          <w:rFonts w:ascii="Arial" w:cs="Arial" w:eastAsia="Arial" w:hAnsi="Arial"/>
          <w:sz w:val="15"/>
          <w:szCs w:val="15"/>
          <w:color w:val="auto"/>
        </w:rPr>
        <w:t>22.2. The Supplier undertakes to provide the Customer with the technical support required with respect to the Machines and their accessories during the Service Period, in return for payment by the Customer of the sums and the prices agreed upon for such technical support. The aforesaid technical support shall be provided at the prices and on the conditions agreed upon in writing by the Parties in the context of the quote signed by both of the Parties for every Item or Product in respect of which such technical support is required.</w:t>
      </w:r>
    </w:p>
    <w:p>
      <w:pPr>
        <w:spacing w:after="0" w:line="158" w:lineRule="exact"/>
        <w:rPr>
          <w:rFonts w:ascii="Arial" w:cs="Arial" w:eastAsia="Arial" w:hAnsi="Arial"/>
          <w:sz w:val="15"/>
          <w:szCs w:val="15"/>
          <w:b w:val="1"/>
          <w:bCs w:val="1"/>
          <w:color w:val="auto"/>
        </w:rPr>
      </w:pPr>
    </w:p>
    <w:p>
      <w:pPr>
        <w:ind w:left="1071" w:right="20" w:hanging="538"/>
        <w:spacing w:after="0" w:line="261" w:lineRule="auto"/>
        <w:rPr>
          <w:rFonts w:ascii="Arial" w:cs="Arial" w:eastAsia="Arial" w:hAnsi="Arial"/>
          <w:sz w:val="15"/>
          <w:szCs w:val="15"/>
          <w:b w:val="1"/>
          <w:bCs w:val="1"/>
          <w:color w:val="auto"/>
        </w:rPr>
      </w:pPr>
      <w:r>
        <w:rPr>
          <w:rFonts w:ascii="Arial" w:cs="Arial" w:eastAsia="Arial" w:hAnsi="Arial"/>
          <w:sz w:val="15"/>
          <w:szCs w:val="15"/>
          <w:color w:val="auto"/>
        </w:rPr>
        <w:t>22.3. The repairs and/or supply of the spare parts during the Service Period shall be implemented in accordance with the relevant Lead Time, and in return for the making of the required payment by the Customer. In order to enable performance of the aforesaid undertaking, the Supplier shall retain its ability to supply and/or repair and/or renovate and/or restore the Products manufactured by it during the entire Service Period.</w:t>
      </w:r>
    </w:p>
    <w:p>
      <w:pPr>
        <w:spacing w:after="0" w:line="154" w:lineRule="exact"/>
        <w:rPr>
          <w:rFonts w:ascii="Arial" w:cs="Arial" w:eastAsia="Arial" w:hAnsi="Arial"/>
          <w:sz w:val="15"/>
          <w:szCs w:val="15"/>
          <w:b w:val="1"/>
          <w:bCs w:val="1"/>
          <w:color w:val="auto"/>
        </w:rPr>
      </w:pPr>
    </w:p>
    <w:p>
      <w:pPr>
        <w:ind w:left="1071" w:right="20" w:hanging="538"/>
        <w:spacing w:after="0" w:line="272" w:lineRule="auto"/>
        <w:rPr>
          <w:rFonts w:ascii="Arial" w:cs="Arial" w:eastAsia="Arial" w:hAnsi="Arial"/>
          <w:sz w:val="15"/>
          <w:szCs w:val="15"/>
          <w:b w:val="1"/>
          <w:bCs w:val="1"/>
          <w:color w:val="auto"/>
        </w:rPr>
      </w:pPr>
      <w:r>
        <w:rPr>
          <w:rFonts w:ascii="Arial" w:cs="Arial" w:eastAsia="Arial" w:hAnsi="Arial"/>
          <w:sz w:val="15"/>
          <w:szCs w:val="15"/>
          <w:color w:val="auto"/>
        </w:rPr>
        <w:t>22.4. The Supplier shall allow visits by employees of the Customer, subject to prior coordination, to the production line at its facility, for the purpose of implementing inspections, training sessions and the preservation of knowledge.</w:t>
      </w:r>
    </w:p>
    <w:p>
      <w:pPr>
        <w:spacing w:after="0" w:line="147" w:lineRule="exact"/>
        <w:rPr>
          <w:rFonts w:ascii="Arial" w:cs="Arial" w:eastAsia="Arial" w:hAnsi="Arial"/>
          <w:sz w:val="15"/>
          <w:szCs w:val="15"/>
          <w:b w:val="1"/>
          <w:bCs w:val="1"/>
          <w:color w:val="auto"/>
        </w:rPr>
      </w:pPr>
    </w:p>
    <w:p>
      <w:pPr>
        <w:ind w:left="1071" w:right="20" w:hanging="538"/>
        <w:spacing w:after="0" w:line="257" w:lineRule="auto"/>
        <w:rPr>
          <w:rFonts w:ascii="Arial" w:cs="Arial" w:eastAsia="Arial" w:hAnsi="Arial"/>
          <w:sz w:val="15"/>
          <w:szCs w:val="15"/>
          <w:b w:val="1"/>
          <w:bCs w:val="1"/>
          <w:color w:val="auto"/>
        </w:rPr>
      </w:pPr>
      <w:r>
        <w:rPr>
          <w:rFonts w:ascii="Arial" w:cs="Arial" w:eastAsia="Arial" w:hAnsi="Arial"/>
          <w:sz w:val="15"/>
          <w:szCs w:val="15"/>
          <w:color w:val="auto"/>
        </w:rPr>
        <w:t>22.5. The provisions set out in this section above shall apply to the Supplier in the event that manufacture of the Products or any portion of them is transferred to a sub-contractor of the Supplier however, in such a case, it is agreed by the Parties that any such visit shall be subject to the consent of and coordination with such sub-contractor. It is clarified that the Supplier shall act vis-à-vis the Supplier's sub-contractors in Israel in order that such sub-contractor shall enable visits by the Customer's employees in order to implement inspections, training sessions and the preservation of knowledge.</w:t>
      </w:r>
    </w:p>
    <w:p>
      <w:pPr>
        <w:spacing w:after="0" w:line="158" w:lineRule="exact"/>
        <w:rPr>
          <w:rFonts w:ascii="Arial" w:cs="Arial" w:eastAsia="Arial" w:hAnsi="Arial"/>
          <w:sz w:val="15"/>
          <w:szCs w:val="15"/>
          <w:b w:val="1"/>
          <w:bCs w:val="1"/>
          <w:color w:val="auto"/>
        </w:rPr>
      </w:pPr>
    </w:p>
    <w:p>
      <w:pPr>
        <w:ind w:left="1071" w:hanging="538"/>
        <w:spacing w:after="0" w:line="257" w:lineRule="auto"/>
        <w:rPr>
          <w:rFonts w:ascii="Arial" w:cs="Arial" w:eastAsia="Arial" w:hAnsi="Arial"/>
          <w:sz w:val="15"/>
          <w:szCs w:val="15"/>
          <w:b w:val="1"/>
          <w:bCs w:val="1"/>
          <w:color w:val="auto"/>
        </w:rPr>
      </w:pPr>
      <w:r>
        <w:rPr>
          <w:rFonts w:ascii="Arial" w:cs="Arial" w:eastAsia="Arial" w:hAnsi="Arial"/>
          <w:sz w:val="15"/>
          <w:szCs w:val="15"/>
          <w:color w:val="auto"/>
        </w:rPr>
        <w:t>22.6. For the avoidance of doubt, the Warranty the subject of this Agreement and the Service that will be provided during the Service Period shall not apply to faults stemming from the Customer's design problems, faults stemming from natural wear and tear and faults stemming from incorrect maintenance or unreasonable handling of a Machine, unless such is agreed expressly and in writing by the Parties, in return for payment of the full consideration that the Parties shall agree upon for such handling, during the course of the Service Period for such faults.</w:t>
      </w:r>
    </w:p>
    <w:p>
      <w:pPr>
        <w:spacing w:after="0" w:line="181" w:lineRule="exact"/>
        <w:rPr>
          <w:sz w:val="20"/>
          <w:szCs w:val="20"/>
          <w:color w:val="auto"/>
        </w:rPr>
      </w:pPr>
    </w:p>
    <w:p>
      <w:pPr>
        <w:ind w:left="-9" w:firstLine="9"/>
        <w:spacing w:after="0" w:line="272" w:lineRule="auto"/>
        <w:tabs>
          <w:tab w:leader="none" w:pos="252" w:val="left"/>
        </w:tabs>
        <w:numPr>
          <w:ilvl w:val="0"/>
          <w:numId w:val="46"/>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193040</wp:posOffset>
            </wp:positionV>
            <wp:extent cx="7198360"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31"/>
          </w:cols>
          <w:pgMar w:left="289" w:top="779" w:right="279" w:bottom="1440" w:gutter="0" w:footer="0" w:header="0"/>
        </w:sectPr>
      </w:pPr>
    </w:p>
    <w:bookmarkStart w:id="26" w:name="page27"/>
    <w:bookmarkEnd w:id="26"/>
    <w:p>
      <w:pPr>
        <w:ind w:left="531" w:hanging="531"/>
        <w:spacing w:after="0"/>
        <w:tabs>
          <w:tab w:leader="none" w:pos="531" w:val="left"/>
        </w:tabs>
        <w:numPr>
          <w:ilvl w:val="0"/>
          <w:numId w:val="4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Intellectual Property, Confidentiality and Non-Competition</w:t>
      </w:r>
    </w:p>
    <w:p>
      <w:pPr>
        <w:spacing w:after="0" w:line="190" w:lineRule="exact"/>
        <w:rPr>
          <w:rFonts w:ascii="Arial" w:cs="Arial" w:eastAsia="Arial" w:hAnsi="Arial"/>
          <w:sz w:val="15"/>
          <w:szCs w:val="15"/>
          <w:b w:val="1"/>
          <w:bCs w:val="1"/>
          <w:color w:val="auto"/>
        </w:rPr>
      </w:pPr>
    </w:p>
    <w:p>
      <w:pPr>
        <w:ind w:left="1071" w:hanging="538"/>
        <w:spacing w:after="0" w:line="271" w:lineRule="auto"/>
        <w:rPr>
          <w:rFonts w:ascii="Arial" w:cs="Arial" w:eastAsia="Arial" w:hAnsi="Arial"/>
          <w:sz w:val="15"/>
          <w:szCs w:val="15"/>
          <w:b w:val="1"/>
          <w:bCs w:val="1"/>
          <w:color w:val="auto"/>
        </w:rPr>
      </w:pPr>
      <w:r>
        <w:rPr>
          <w:rFonts w:ascii="Arial" w:cs="Arial" w:eastAsia="Arial" w:hAnsi="Arial"/>
          <w:sz w:val="14"/>
          <w:szCs w:val="14"/>
          <w:color w:val="auto"/>
        </w:rPr>
        <w:t>23.1. The Supplier hereby declares that all of the rights to the Production Files, to the Customer's technology delivered to the Supplier in the Production Files, to the Products, to all programs, details of the technical specifications, and to any other information relating thereto belonging to the Customer and provided to the Supplier in the context of the Production Files and/or the Customer's know-how relating to the manufacture of the Products under this Agreement provided by the Customer to the Supplier and any improvement of any such shall be the exclusive property of the Customer. Without derogating from the aforesaid and without derogating from the provisions of section 23.3, the Parties agree that all of the Products, ideas, methods, solutions, know-how, information and applications (hereinafter: the “</w:t>
      </w:r>
      <w:r>
        <w:rPr>
          <w:rFonts w:ascii="Arial" w:cs="Arial" w:eastAsia="Arial" w:hAnsi="Arial"/>
          <w:sz w:val="14"/>
          <w:szCs w:val="14"/>
          <w:b w:val="1"/>
          <w:bCs w:val="1"/>
          <w:color w:val="auto"/>
        </w:rPr>
        <w:t>Products of the Development</w:t>
      </w:r>
      <w:r>
        <w:rPr>
          <w:rFonts w:ascii="Arial" w:cs="Arial" w:eastAsia="Arial" w:hAnsi="Arial"/>
          <w:sz w:val="14"/>
          <w:szCs w:val="14"/>
          <w:color w:val="auto"/>
        </w:rPr>
        <w:t>”) that may be developed with respect to this Agreement, including the Product, new ideas relating to the Product, and any know-how relating to the Product, shall be the exclusive property of the Customer and the Customer shall be entitled to treat such at will, in accordance with its exclusive discretion, including the sale, marketing, transfer and/or grant of a license to use such (or any other right) to any other person. The Supplier does not and will not have any right whatsoever to make any use whatsoever of the Products of the Development or any other equipment belonging to the Customer and/or any intellectual property right belonging to the Customer, except for the purpose of manufacture of the Products in accordance with this Agreement. The Supplier undertakes that, on the date of supply, the Products shall be free and released of any debt, undertaking, claim, pledge, charge, lien or any other third party right whatsoever, stemming from the obligations of the Supplier or any person acting on its behalf. All of the provisions of this section shall be subject to the provisions of section 23.3.</w:t>
      </w:r>
    </w:p>
    <w:p>
      <w:pPr>
        <w:spacing w:after="0" w:line="150" w:lineRule="exact"/>
        <w:rPr>
          <w:rFonts w:ascii="Arial" w:cs="Arial" w:eastAsia="Arial" w:hAnsi="Arial"/>
          <w:sz w:val="15"/>
          <w:szCs w:val="15"/>
          <w:b w:val="1"/>
          <w:bCs w:val="1"/>
          <w:color w:val="auto"/>
        </w:rPr>
      </w:pPr>
    </w:p>
    <w:p>
      <w:pPr>
        <w:ind w:left="531"/>
        <w:spacing w:after="0"/>
        <w:rPr>
          <w:rFonts w:ascii="Arial" w:cs="Arial" w:eastAsia="Arial" w:hAnsi="Arial"/>
          <w:sz w:val="15"/>
          <w:szCs w:val="15"/>
          <w:b w:val="1"/>
          <w:bCs w:val="1"/>
          <w:color w:val="auto"/>
        </w:rPr>
      </w:pPr>
      <w:r>
        <w:rPr>
          <w:rFonts w:ascii="Arial" w:cs="Arial" w:eastAsia="Arial" w:hAnsi="Arial"/>
          <w:sz w:val="14"/>
          <w:szCs w:val="14"/>
          <w:color w:val="auto"/>
        </w:rPr>
        <w:t>23.2.    Upon execution of this Agreement, the Supplier shall sign a non-disclosure and non-competition undertaking in the form attached to this Agreement as Appendix 3.</w:t>
      </w:r>
    </w:p>
    <w:p>
      <w:pPr>
        <w:spacing w:after="0" w:line="197" w:lineRule="exact"/>
        <w:rPr>
          <w:rFonts w:ascii="Arial" w:cs="Arial" w:eastAsia="Arial" w:hAnsi="Arial"/>
          <w:sz w:val="15"/>
          <w:szCs w:val="15"/>
          <w:b w:val="1"/>
          <w:bCs w:val="1"/>
          <w:color w:val="auto"/>
        </w:rPr>
      </w:pPr>
    </w:p>
    <w:p>
      <w:pPr>
        <w:ind w:left="1071" w:hanging="538"/>
        <w:spacing w:after="0" w:line="252" w:lineRule="auto"/>
        <w:rPr>
          <w:rFonts w:ascii="Arial" w:cs="Arial" w:eastAsia="Arial" w:hAnsi="Arial"/>
          <w:sz w:val="15"/>
          <w:szCs w:val="15"/>
          <w:b w:val="1"/>
          <w:bCs w:val="1"/>
          <w:color w:val="auto"/>
        </w:rPr>
      </w:pPr>
      <w:r>
        <w:rPr>
          <w:rFonts w:ascii="Arial" w:cs="Arial" w:eastAsia="Arial" w:hAnsi="Arial"/>
          <w:sz w:val="15"/>
          <w:szCs w:val="15"/>
          <w:color w:val="auto"/>
        </w:rPr>
        <w:t>23.3. For the avoidance of doubt, the field of the Supplier's business shall be the planning, manufacture, assembly and sale of products of a kind similar to the Products the subject of this Agreement, including digital printers and spare parts, including machining, automation, transition from design to manufacture and the entire field of design and construction of electro-mechanical machines (the “</w:t>
      </w:r>
      <w:r>
        <w:rPr>
          <w:rFonts w:ascii="Arial" w:cs="Arial" w:eastAsia="Arial" w:hAnsi="Arial"/>
          <w:sz w:val="15"/>
          <w:szCs w:val="15"/>
          <w:b w:val="1"/>
          <w:bCs w:val="1"/>
          <w:color w:val="auto"/>
        </w:rPr>
        <w:t>Field of the Supplier's Business</w:t>
      </w:r>
      <w:r>
        <w:rPr>
          <w:rFonts w:ascii="Arial" w:cs="Arial" w:eastAsia="Arial" w:hAnsi="Arial"/>
          <w:sz w:val="15"/>
          <w:szCs w:val="15"/>
          <w:color w:val="auto"/>
        </w:rPr>
        <w:t>”). All of the Supplier's know-how and intellectual property in the Field of the Supplier's Business, as in existence on the date of execution of this Agreement, and as may be developed from time to time by the Supplier and/or a person acting on its behalf in the Field of the Supplier's Business in the context of performance of the Supplier's undertakings under the provisions of this Agreement, shall be the exclusive property of the Supplier and shall continue to remain in the exclusive title of the Supplier throughout the term of the existence of this Agreement and thereafter, and the provisions of this Agreement shall not serve to harm the Supplier's title, as aforesaid, to any know-how and/or intellectual property that is within the Field of the Supplier's Business.</w:t>
      </w:r>
    </w:p>
    <w:p>
      <w:pPr>
        <w:spacing w:after="0" w:line="165" w:lineRule="exact"/>
        <w:rPr>
          <w:rFonts w:ascii="Arial" w:cs="Arial" w:eastAsia="Arial" w:hAnsi="Arial"/>
          <w:sz w:val="15"/>
          <w:szCs w:val="15"/>
          <w:b w:val="1"/>
          <w:bCs w:val="1"/>
          <w:color w:val="auto"/>
        </w:rPr>
      </w:pPr>
    </w:p>
    <w:p>
      <w:pPr>
        <w:ind w:left="531"/>
        <w:spacing w:after="0"/>
        <w:rPr>
          <w:rFonts w:ascii="Arial" w:cs="Arial" w:eastAsia="Arial" w:hAnsi="Arial"/>
          <w:sz w:val="15"/>
          <w:szCs w:val="15"/>
          <w:b w:val="1"/>
          <w:bCs w:val="1"/>
          <w:color w:val="auto"/>
        </w:rPr>
      </w:pPr>
      <w:r>
        <w:rPr>
          <w:rFonts w:ascii="Arial" w:cs="Arial" w:eastAsia="Arial" w:hAnsi="Arial"/>
          <w:sz w:val="15"/>
          <w:szCs w:val="15"/>
          <w:color w:val="auto"/>
        </w:rPr>
        <w:t>23.4.    The Supplier shall not be entitled, for its services, to any monetary or other compensation over and above that set out expressly in this Agreement.</w:t>
      </w:r>
    </w:p>
    <w:p>
      <w:pPr>
        <w:spacing w:after="0" w:line="186" w:lineRule="exact"/>
        <w:rPr>
          <w:sz w:val="20"/>
          <w:szCs w:val="20"/>
          <w:color w:val="auto"/>
        </w:rPr>
      </w:pPr>
    </w:p>
    <w:p>
      <w:pPr>
        <w:ind w:left="-9" w:firstLine="9"/>
        <w:spacing w:after="0" w:line="272" w:lineRule="auto"/>
        <w:tabs>
          <w:tab w:leader="none" w:pos="252" w:val="left"/>
        </w:tabs>
        <w:numPr>
          <w:ilvl w:val="0"/>
          <w:numId w:val="48"/>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193040</wp:posOffset>
            </wp:positionV>
            <wp:extent cx="7198360"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31"/>
          </w:cols>
          <w:pgMar w:left="289" w:top="753" w:right="279" w:bottom="1440" w:gutter="0" w:footer="0" w:header="0"/>
        </w:sectPr>
      </w:pPr>
    </w:p>
    <w:bookmarkStart w:id="27" w:name="page28"/>
    <w:bookmarkEnd w:id="27"/>
    <w:p>
      <w:pPr>
        <w:ind w:left="531" w:hanging="531"/>
        <w:spacing w:after="0"/>
        <w:tabs>
          <w:tab w:leader="none" w:pos="531" w:val="left"/>
        </w:tabs>
        <w:numPr>
          <w:ilvl w:val="0"/>
          <w:numId w:val="49"/>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Relationship between the Parties</w:t>
      </w:r>
    </w:p>
    <w:p>
      <w:pPr>
        <w:spacing w:after="0" w:line="190" w:lineRule="exact"/>
        <w:rPr>
          <w:rFonts w:ascii="Arial" w:cs="Arial" w:eastAsia="Arial" w:hAnsi="Arial"/>
          <w:sz w:val="15"/>
          <w:szCs w:val="15"/>
          <w:b w:val="1"/>
          <w:bCs w:val="1"/>
          <w:color w:val="auto"/>
        </w:rPr>
      </w:pPr>
    </w:p>
    <w:p>
      <w:pPr>
        <w:ind w:left="1071" w:right="20" w:hanging="538"/>
        <w:spacing w:after="0" w:line="257" w:lineRule="auto"/>
        <w:rPr>
          <w:rFonts w:ascii="Arial" w:cs="Arial" w:eastAsia="Arial" w:hAnsi="Arial"/>
          <w:sz w:val="15"/>
          <w:szCs w:val="15"/>
          <w:b w:val="1"/>
          <w:bCs w:val="1"/>
          <w:color w:val="auto"/>
        </w:rPr>
      </w:pPr>
      <w:r>
        <w:rPr>
          <w:rFonts w:ascii="Arial" w:cs="Arial" w:eastAsia="Arial" w:hAnsi="Arial"/>
          <w:sz w:val="15"/>
          <w:szCs w:val="15"/>
          <w:color w:val="auto"/>
        </w:rPr>
        <w:t>24.1. It is hereby declared by the Parties that the Supplier is neither an employee nor a representative of the Customer, and with respect to any matter contained in this Agreement, the Supplier is an independent entity. The Supplier is not authorized to make any undertaking of any kind whatsoever on behalf of the Customer, and is not authorized to bind the Customer in any way whatsoever. The Supplier shall bear, at its expense, all of the costs and expenses involved in the performance of this Agreement by it, and all subject to the provisions of this Agreement.</w:t>
      </w:r>
    </w:p>
    <w:p>
      <w:pPr>
        <w:spacing w:after="0" w:line="158" w:lineRule="exact"/>
        <w:rPr>
          <w:rFonts w:ascii="Arial" w:cs="Arial" w:eastAsia="Arial" w:hAnsi="Arial"/>
          <w:sz w:val="15"/>
          <w:szCs w:val="15"/>
          <w:b w:val="1"/>
          <w:bCs w:val="1"/>
          <w:color w:val="auto"/>
        </w:rPr>
      </w:pPr>
    </w:p>
    <w:p>
      <w:pPr>
        <w:ind w:left="1071" w:hanging="538"/>
        <w:spacing w:after="0" w:line="261" w:lineRule="auto"/>
        <w:rPr>
          <w:rFonts w:ascii="Arial" w:cs="Arial" w:eastAsia="Arial" w:hAnsi="Arial"/>
          <w:sz w:val="15"/>
          <w:szCs w:val="15"/>
          <w:b w:val="1"/>
          <w:bCs w:val="1"/>
          <w:color w:val="auto"/>
        </w:rPr>
      </w:pPr>
      <w:r>
        <w:rPr>
          <w:rFonts w:ascii="Arial" w:cs="Arial" w:eastAsia="Arial" w:hAnsi="Arial"/>
          <w:sz w:val="15"/>
          <w:szCs w:val="15"/>
          <w:color w:val="auto"/>
        </w:rPr>
        <w:t>24.2. Any person who is sent to do any work whatsoever at the Customer's factories for any period of time whatsoever by the Supplier shall be an “employee” of the Supplier only, as interpreted in accordance with any law, and neither this Agreement nor any other agreement shall create employer-employee relations between such person sent to work by the Supplier to the Customer's factories and the Customer, for any intents or purposes whatsoever.</w:t>
      </w:r>
    </w:p>
    <w:p>
      <w:pPr>
        <w:spacing w:after="0" w:line="154" w:lineRule="exact"/>
        <w:rPr>
          <w:rFonts w:ascii="Arial" w:cs="Arial" w:eastAsia="Arial" w:hAnsi="Arial"/>
          <w:sz w:val="15"/>
          <w:szCs w:val="15"/>
          <w:b w:val="1"/>
          <w:bCs w:val="1"/>
          <w:color w:val="auto"/>
        </w:rPr>
      </w:pPr>
    </w:p>
    <w:p>
      <w:pPr>
        <w:ind w:left="1071" w:hanging="538"/>
        <w:spacing w:after="0" w:line="255" w:lineRule="auto"/>
        <w:rPr>
          <w:rFonts w:ascii="Arial" w:cs="Arial" w:eastAsia="Arial" w:hAnsi="Arial"/>
          <w:sz w:val="15"/>
          <w:szCs w:val="15"/>
          <w:b w:val="1"/>
          <w:bCs w:val="1"/>
          <w:color w:val="auto"/>
        </w:rPr>
      </w:pPr>
      <w:r>
        <w:rPr>
          <w:rFonts w:ascii="Arial" w:cs="Arial" w:eastAsia="Arial" w:hAnsi="Arial"/>
          <w:sz w:val="15"/>
          <w:szCs w:val="15"/>
          <w:color w:val="auto"/>
        </w:rPr>
        <w:t>24.3. The Supplier shall make all of the mandatory payments required under any law for its employees by virtue of the relationship between the Supplier and its employees, including income tax, health insurance and any tax or other payment that it may be charged with due to the performance of its undertakings under the Agreement and/or receipt of the consideration for provision of the Services under this Agreement. Furthermore, the Supplier shall make all of the mandatory payments required under the law by virtue of the relationship between it and the Customer for itself, including income tax payments, and any other tax and/or payment that it may be charged with due to its undertakings as an independent supplier under this Agreement.</w:t>
      </w:r>
    </w:p>
    <w:p>
      <w:pPr>
        <w:spacing w:after="0" w:line="160" w:lineRule="exact"/>
        <w:rPr>
          <w:rFonts w:ascii="Arial" w:cs="Arial" w:eastAsia="Arial" w:hAnsi="Arial"/>
          <w:sz w:val="15"/>
          <w:szCs w:val="15"/>
          <w:b w:val="1"/>
          <w:bCs w:val="1"/>
          <w:color w:val="auto"/>
        </w:rPr>
      </w:pPr>
    </w:p>
    <w:p>
      <w:pPr>
        <w:ind w:left="1071" w:hanging="538"/>
        <w:spacing w:after="0" w:line="257" w:lineRule="auto"/>
        <w:rPr>
          <w:rFonts w:ascii="Arial" w:cs="Arial" w:eastAsia="Arial" w:hAnsi="Arial"/>
          <w:sz w:val="15"/>
          <w:szCs w:val="15"/>
          <w:b w:val="1"/>
          <w:bCs w:val="1"/>
          <w:color w:val="auto"/>
        </w:rPr>
      </w:pPr>
      <w:r>
        <w:rPr>
          <w:rFonts w:ascii="Arial" w:cs="Arial" w:eastAsia="Arial" w:hAnsi="Arial"/>
          <w:sz w:val="15"/>
          <w:szCs w:val="15"/>
          <w:color w:val="auto"/>
        </w:rPr>
        <w:t>24.4. The Parties agree that if, notwithstanding the aforesaid, the Customer is charged by a competent court, as employer, to make any payment to the Supplier's employees or for any of the Supplier's employees as a result of the existence of employer-employee relations between the Customer and such employee of the Supplier, the Supplier shall reimburse the Customer, immediately upon receipt of notice of such payments, the sum paid by the Customer together with interest and linkage differentials at law from the date of payment until the date of actual restitution by the Supplier.</w:t>
      </w:r>
    </w:p>
    <w:p>
      <w:pPr>
        <w:spacing w:after="0" w:line="158" w:lineRule="exact"/>
        <w:rPr>
          <w:rFonts w:ascii="Arial" w:cs="Arial" w:eastAsia="Arial" w:hAnsi="Arial"/>
          <w:sz w:val="15"/>
          <w:szCs w:val="15"/>
          <w:b w:val="1"/>
          <w:bCs w:val="1"/>
          <w:color w:val="auto"/>
        </w:rPr>
      </w:pPr>
    </w:p>
    <w:p>
      <w:pPr>
        <w:ind w:left="1071" w:hanging="538"/>
        <w:spacing w:after="0" w:line="255" w:lineRule="auto"/>
        <w:rPr>
          <w:rFonts w:ascii="Arial" w:cs="Arial" w:eastAsia="Arial" w:hAnsi="Arial"/>
          <w:sz w:val="15"/>
          <w:szCs w:val="15"/>
          <w:b w:val="1"/>
          <w:bCs w:val="1"/>
          <w:color w:val="auto"/>
        </w:rPr>
      </w:pPr>
      <w:r>
        <w:rPr>
          <w:rFonts w:ascii="Arial" w:cs="Arial" w:eastAsia="Arial" w:hAnsi="Arial"/>
          <w:sz w:val="15"/>
          <w:szCs w:val="15"/>
          <w:color w:val="auto"/>
        </w:rPr>
        <w:t>24.5. During the Term of the Agreement and for a period of 12 months following termination hereof, the Parties shall not directly or indirectly solicit, persuade, attempt to solicit or attempt to persuade an employee and/or sub-contractor, including ITS' sub-contractor TD in China, to terminate his employment with the other Party or his contract with the other Party or to reduce the scope of his work with the other Party, and shall not directly or indirectly employee such an employee and shall not enter into a contract with any such sub-contractor directly and/or indirectly, all to the extent that such relates to a contract that did not exist between the party and such sub-contractor prior to the date of execution of this Agreement.</w:t>
      </w:r>
    </w:p>
    <w:p>
      <w:pPr>
        <w:spacing w:after="0" w:line="156" w:lineRule="exact"/>
        <w:rPr>
          <w:rFonts w:ascii="Arial" w:cs="Arial" w:eastAsia="Arial" w:hAnsi="Arial"/>
          <w:sz w:val="15"/>
          <w:szCs w:val="15"/>
          <w:b w:val="1"/>
          <w:bCs w:val="1"/>
          <w:color w:val="auto"/>
        </w:rPr>
      </w:pPr>
    </w:p>
    <w:p>
      <w:pPr>
        <w:ind w:left="531" w:hanging="531"/>
        <w:spacing w:after="0"/>
        <w:tabs>
          <w:tab w:leader="none" w:pos="531" w:val="left"/>
        </w:tabs>
        <w:numPr>
          <w:ilvl w:val="0"/>
          <w:numId w:val="49"/>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Declarations</w:t>
      </w:r>
    </w:p>
    <w:p>
      <w:pPr>
        <w:spacing w:after="0" w:line="190" w:lineRule="exact"/>
        <w:rPr>
          <w:rFonts w:ascii="Arial" w:cs="Arial" w:eastAsia="Arial" w:hAnsi="Arial"/>
          <w:sz w:val="15"/>
          <w:szCs w:val="15"/>
          <w:b w:val="1"/>
          <w:bCs w:val="1"/>
          <w:color w:val="auto"/>
        </w:rPr>
      </w:pPr>
    </w:p>
    <w:p>
      <w:pPr>
        <w:ind w:left="531"/>
        <w:spacing w:after="0"/>
        <w:rPr>
          <w:rFonts w:ascii="Arial" w:cs="Arial" w:eastAsia="Arial" w:hAnsi="Arial"/>
          <w:sz w:val="15"/>
          <w:szCs w:val="15"/>
          <w:b w:val="1"/>
          <w:bCs w:val="1"/>
          <w:color w:val="auto"/>
        </w:rPr>
      </w:pPr>
      <w:r>
        <w:rPr>
          <w:rFonts w:ascii="Arial" w:cs="Arial" w:eastAsia="Arial" w:hAnsi="Arial"/>
          <w:sz w:val="15"/>
          <w:szCs w:val="15"/>
          <w:color w:val="auto"/>
        </w:rPr>
        <w:t>The Supplier hereby declares and undertakes as follows:</w:t>
      </w:r>
    </w:p>
    <w:p>
      <w:pPr>
        <w:spacing w:after="0" w:line="186" w:lineRule="exact"/>
        <w:rPr>
          <w:rFonts w:ascii="Arial" w:cs="Arial" w:eastAsia="Arial" w:hAnsi="Arial"/>
          <w:sz w:val="15"/>
          <w:szCs w:val="15"/>
          <w:b w:val="1"/>
          <w:bCs w:val="1"/>
          <w:color w:val="auto"/>
        </w:rPr>
      </w:pPr>
    </w:p>
    <w:p>
      <w:pPr>
        <w:ind w:left="1071" w:hanging="538"/>
        <w:spacing w:after="0" w:line="309" w:lineRule="auto"/>
        <w:rPr>
          <w:rFonts w:ascii="Arial" w:cs="Arial" w:eastAsia="Arial" w:hAnsi="Arial"/>
          <w:sz w:val="15"/>
          <w:szCs w:val="15"/>
          <w:b w:val="1"/>
          <w:bCs w:val="1"/>
          <w:color w:val="auto"/>
        </w:rPr>
      </w:pPr>
      <w:r>
        <w:rPr>
          <w:rFonts w:ascii="Arial" w:cs="Arial" w:eastAsia="Arial" w:hAnsi="Arial"/>
          <w:sz w:val="14"/>
          <w:szCs w:val="14"/>
          <w:color w:val="auto"/>
        </w:rPr>
        <w:t>25.1. The Supplier shall have the knowledge, expertise, ability, experience, skills, facilities and professional and skilled human resources necessary for manufacture of the Orders at the level, quality, and nature in accordance with the Product File and on the dates set out in the Orders approved in writing by the Supplier;</w:t>
      </w:r>
    </w:p>
    <w:p>
      <w:pPr>
        <w:spacing w:after="0" w:line="124" w:lineRule="exact"/>
        <w:rPr>
          <w:sz w:val="20"/>
          <w:szCs w:val="20"/>
          <w:color w:val="auto"/>
        </w:rPr>
      </w:pPr>
    </w:p>
    <w:p>
      <w:pPr>
        <w:ind w:left="-9" w:firstLine="9"/>
        <w:spacing w:after="0" w:line="272" w:lineRule="auto"/>
        <w:tabs>
          <w:tab w:leader="none" w:pos="252" w:val="left"/>
        </w:tabs>
        <w:numPr>
          <w:ilvl w:val="0"/>
          <w:numId w:val="50"/>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193040</wp:posOffset>
            </wp:positionV>
            <wp:extent cx="7198360"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31"/>
          </w:cols>
          <w:pgMar w:left="289" w:top="753" w:right="279" w:bottom="1440" w:gutter="0" w:footer="0" w:header="0"/>
        </w:sectPr>
      </w:pPr>
    </w:p>
    <w:bookmarkStart w:id="28" w:name="page29"/>
    <w:bookmarkEnd w:id="28"/>
    <w:p>
      <w:pPr>
        <w:jc w:val="both"/>
        <w:ind w:left="1071" w:hanging="537"/>
        <w:spacing w:after="0" w:line="257" w:lineRule="auto"/>
        <w:tabs>
          <w:tab w:leader="none" w:pos="1050" w:val="left"/>
        </w:tabs>
        <w:rPr>
          <w:sz w:val="20"/>
          <w:szCs w:val="20"/>
          <w:color w:val="auto"/>
        </w:rPr>
      </w:pPr>
      <w:r>
        <w:rPr>
          <w:rFonts w:ascii="Arial" w:cs="Arial" w:eastAsia="Arial" w:hAnsi="Arial"/>
          <w:sz w:val="15"/>
          <w:szCs w:val="15"/>
          <w:color w:val="auto"/>
        </w:rPr>
        <w:t>25.2.</w:t>
      </w:r>
      <w:r>
        <w:rPr>
          <w:sz w:val="20"/>
          <w:szCs w:val="20"/>
          <w:color w:val="auto"/>
        </w:rPr>
        <w:tab/>
      </w:r>
      <w:r>
        <w:rPr>
          <w:rFonts w:ascii="Arial" w:cs="Arial" w:eastAsia="Arial" w:hAnsi="Arial"/>
          <w:sz w:val="15"/>
          <w:szCs w:val="15"/>
          <w:color w:val="auto"/>
        </w:rPr>
        <w:t>The Supplier undertakes to perform its function loyally, with skill and devotion, using all of its skills and know-how, exercising discretion and maintaining the interests of the Customer, acting in accordance with reasonable professional practice and employing, for such purpose, skilled manpower. The Supplier further undertakes to act with reasonable haste as is required for the efficient and timely performance of the Orders, and to provide its services, where necessary, all subject to the performance of the Customer's undertakings under the provisions of this Agreement;</w:t>
      </w:r>
    </w:p>
    <w:p>
      <w:pPr>
        <w:spacing w:after="0" w:line="158" w:lineRule="exact"/>
        <w:rPr>
          <w:sz w:val="20"/>
          <w:szCs w:val="20"/>
          <w:color w:val="auto"/>
        </w:rPr>
      </w:pPr>
    </w:p>
    <w:p>
      <w:pPr>
        <w:jc w:val="both"/>
        <w:ind w:left="1071" w:right="20" w:hanging="537"/>
        <w:spacing w:after="0" w:line="272" w:lineRule="auto"/>
        <w:tabs>
          <w:tab w:leader="none" w:pos="1050" w:val="left"/>
        </w:tabs>
        <w:rPr>
          <w:sz w:val="20"/>
          <w:szCs w:val="20"/>
          <w:color w:val="auto"/>
        </w:rPr>
      </w:pPr>
      <w:r>
        <w:rPr>
          <w:rFonts w:ascii="Arial" w:cs="Arial" w:eastAsia="Arial" w:hAnsi="Arial"/>
          <w:sz w:val="15"/>
          <w:szCs w:val="15"/>
          <w:color w:val="auto"/>
        </w:rPr>
        <w:t>25.3.</w:t>
      </w:r>
      <w:r>
        <w:rPr>
          <w:sz w:val="20"/>
          <w:szCs w:val="20"/>
          <w:color w:val="auto"/>
        </w:rPr>
        <w:tab/>
      </w:r>
      <w:r>
        <w:rPr>
          <w:rFonts w:ascii="Arial" w:cs="Arial" w:eastAsia="Arial" w:hAnsi="Arial"/>
          <w:sz w:val="15"/>
          <w:szCs w:val="15"/>
          <w:color w:val="auto"/>
        </w:rPr>
        <w:t>The Supplier has examined the Customer's demands under this Agreement and the Appendixes hereto, and has found them to be clear, precise and appropriate for the requirements of performance of its undertakings under this Agreement;</w:t>
      </w:r>
    </w:p>
    <w:p>
      <w:pPr>
        <w:spacing w:after="0" w:line="147" w:lineRule="exact"/>
        <w:rPr>
          <w:sz w:val="20"/>
          <w:szCs w:val="20"/>
          <w:color w:val="auto"/>
        </w:rPr>
      </w:pPr>
    </w:p>
    <w:p>
      <w:pPr>
        <w:ind w:left="531"/>
        <w:spacing w:after="0"/>
        <w:tabs>
          <w:tab w:leader="none" w:pos="1050" w:val="left"/>
        </w:tabs>
        <w:rPr>
          <w:sz w:val="20"/>
          <w:szCs w:val="20"/>
          <w:color w:val="auto"/>
        </w:rPr>
      </w:pPr>
      <w:r>
        <w:rPr>
          <w:rFonts w:ascii="Arial" w:cs="Arial" w:eastAsia="Arial" w:hAnsi="Arial"/>
          <w:sz w:val="15"/>
          <w:szCs w:val="15"/>
          <w:color w:val="auto"/>
        </w:rPr>
        <w:t>25.4.</w:t>
      </w:r>
      <w:r>
        <w:rPr>
          <w:sz w:val="20"/>
          <w:szCs w:val="20"/>
          <w:color w:val="auto"/>
        </w:rPr>
        <w:tab/>
      </w:r>
      <w:r>
        <w:rPr>
          <w:rFonts w:ascii="Arial" w:cs="Arial" w:eastAsia="Arial" w:hAnsi="Arial"/>
          <w:sz w:val="13"/>
          <w:szCs w:val="13"/>
          <w:color w:val="auto"/>
        </w:rPr>
        <w:t>The Supplier undertakes not to transfer and/or assign and/or convert to any other entity its rights or obligations under this Agreement, in whole or in part.</w:t>
      </w:r>
    </w:p>
    <w:p>
      <w:pPr>
        <w:spacing w:after="0" w:line="182" w:lineRule="exact"/>
        <w:rPr>
          <w:sz w:val="20"/>
          <w:szCs w:val="20"/>
          <w:color w:val="auto"/>
        </w:rPr>
      </w:pPr>
    </w:p>
    <w:p>
      <w:pPr>
        <w:ind w:left="531" w:hanging="531"/>
        <w:spacing w:after="0"/>
        <w:tabs>
          <w:tab w:leader="none" w:pos="531" w:val="left"/>
        </w:tabs>
        <w:numPr>
          <w:ilvl w:val="0"/>
          <w:numId w:val="51"/>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Insurance</w:t>
      </w:r>
    </w:p>
    <w:p>
      <w:pPr>
        <w:spacing w:after="0" w:line="190" w:lineRule="exact"/>
        <w:rPr>
          <w:rFonts w:ascii="Arial" w:cs="Arial" w:eastAsia="Arial" w:hAnsi="Arial"/>
          <w:sz w:val="15"/>
          <w:szCs w:val="15"/>
          <w:b w:val="1"/>
          <w:bCs w:val="1"/>
          <w:color w:val="auto"/>
        </w:rPr>
      </w:pPr>
    </w:p>
    <w:p>
      <w:pPr>
        <w:ind w:left="1071" w:hanging="538"/>
        <w:spacing w:after="0" w:line="255" w:lineRule="auto"/>
        <w:rPr>
          <w:rFonts w:ascii="Arial" w:cs="Arial" w:eastAsia="Arial" w:hAnsi="Arial"/>
          <w:sz w:val="15"/>
          <w:szCs w:val="15"/>
          <w:b w:val="1"/>
          <w:bCs w:val="1"/>
          <w:color w:val="auto"/>
        </w:rPr>
      </w:pPr>
      <w:r>
        <w:rPr>
          <w:rFonts w:ascii="Arial" w:cs="Arial" w:eastAsia="Arial" w:hAnsi="Arial"/>
          <w:sz w:val="15"/>
          <w:szCs w:val="15"/>
          <w:color w:val="auto"/>
        </w:rPr>
        <w:t>26.1. Without derogating from the Supplier's undertakings under this Agreement and from its liability for the damages for which it is liable under any law, the Supplier undertakes to take out and keep, at its expense, throughout the entire period of application of this Agreement, and for a period of one year after the termination of this Agreement, insurance policies in its favor, in the sums and at the liability limits prescribed by it at its discretion, provided that such shall not be less than the policies and conditions set out in the form of certificate of insurance attached as Appendix 4 constituting an integral part of this Agreement (hereinafter: the “</w:t>
      </w:r>
      <w:r>
        <w:rPr>
          <w:rFonts w:ascii="Arial" w:cs="Arial" w:eastAsia="Arial" w:hAnsi="Arial"/>
          <w:sz w:val="15"/>
          <w:szCs w:val="15"/>
          <w:b w:val="1"/>
          <w:bCs w:val="1"/>
          <w:color w:val="auto"/>
        </w:rPr>
        <w:t>Certificate of</w:t>
      </w:r>
      <w:r>
        <w:rPr>
          <w:rFonts w:ascii="Arial" w:cs="Arial" w:eastAsia="Arial" w:hAnsi="Arial"/>
          <w:sz w:val="15"/>
          <w:szCs w:val="15"/>
          <w:color w:val="auto"/>
        </w:rPr>
        <w:t xml:space="preserve"> </w:t>
      </w:r>
      <w:r>
        <w:rPr>
          <w:rFonts w:ascii="Arial" w:cs="Arial" w:eastAsia="Arial" w:hAnsi="Arial"/>
          <w:sz w:val="15"/>
          <w:szCs w:val="15"/>
          <w:b w:val="1"/>
          <w:bCs w:val="1"/>
          <w:color w:val="auto"/>
        </w:rPr>
        <w:t>Insurance</w:t>
      </w:r>
      <w:r>
        <w:rPr>
          <w:rFonts w:ascii="Arial" w:cs="Arial" w:eastAsia="Arial" w:hAnsi="Arial"/>
          <w:sz w:val="15"/>
          <w:szCs w:val="15"/>
          <w:color w:val="auto"/>
        </w:rPr>
        <w:t>”), and as set out below:</w:t>
      </w:r>
    </w:p>
    <w:p>
      <w:pPr>
        <w:spacing w:after="0" w:line="160" w:lineRule="exact"/>
        <w:rPr>
          <w:rFonts w:ascii="Arial" w:cs="Arial" w:eastAsia="Arial" w:hAnsi="Arial"/>
          <w:sz w:val="15"/>
          <w:szCs w:val="15"/>
          <w:b w:val="1"/>
          <w:bCs w:val="1"/>
          <w:color w:val="auto"/>
        </w:rPr>
      </w:pPr>
    </w:p>
    <w:p>
      <w:pPr>
        <w:ind w:left="1611" w:hanging="534"/>
        <w:spacing w:after="0" w:line="272" w:lineRule="auto"/>
        <w:tabs>
          <w:tab w:leader="none" w:pos="1611" w:val="left"/>
        </w:tabs>
        <w:numPr>
          <w:ilvl w:val="1"/>
          <w:numId w:val="51"/>
        </w:numPr>
        <w:rPr>
          <w:rFonts w:ascii="Arial" w:cs="Arial" w:eastAsia="Arial" w:hAnsi="Arial"/>
          <w:sz w:val="15"/>
          <w:szCs w:val="15"/>
          <w:color w:val="auto"/>
        </w:rPr>
      </w:pPr>
      <w:r>
        <w:rPr>
          <w:rFonts w:ascii="Arial" w:cs="Arial" w:eastAsia="Arial" w:hAnsi="Arial"/>
          <w:sz w:val="15"/>
          <w:szCs w:val="15"/>
          <w:color w:val="auto"/>
        </w:rPr>
        <w:t>Insurance of property, equipment, inventory and any other assets relating only to the equipment and/or inventory and/or property of the Customer that is within the possession and/or control of the Supplier.</w:t>
      </w:r>
    </w:p>
    <w:p>
      <w:pPr>
        <w:spacing w:after="0" w:line="147" w:lineRule="exact"/>
        <w:rPr>
          <w:rFonts w:ascii="Arial" w:cs="Arial" w:eastAsia="Arial" w:hAnsi="Arial"/>
          <w:sz w:val="15"/>
          <w:szCs w:val="15"/>
          <w:color w:val="auto"/>
        </w:rPr>
      </w:pPr>
    </w:p>
    <w:p>
      <w:pPr>
        <w:ind w:left="1611" w:hanging="534"/>
        <w:spacing w:after="0"/>
        <w:tabs>
          <w:tab w:leader="none" w:pos="1611" w:val="left"/>
        </w:tabs>
        <w:numPr>
          <w:ilvl w:val="1"/>
          <w:numId w:val="51"/>
        </w:numPr>
        <w:rPr>
          <w:rFonts w:ascii="Arial" w:cs="Arial" w:eastAsia="Arial" w:hAnsi="Arial"/>
          <w:sz w:val="15"/>
          <w:szCs w:val="15"/>
          <w:color w:val="auto"/>
        </w:rPr>
      </w:pPr>
      <w:r>
        <w:rPr>
          <w:rFonts w:ascii="Arial" w:cs="Arial" w:eastAsia="Arial" w:hAnsi="Arial"/>
          <w:sz w:val="15"/>
          <w:szCs w:val="15"/>
          <w:color w:val="auto"/>
        </w:rPr>
        <w:t>Insurance for Consequential Loss</w:t>
      </w:r>
    </w:p>
    <w:p>
      <w:pPr>
        <w:spacing w:after="0" w:line="186" w:lineRule="exact"/>
        <w:rPr>
          <w:rFonts w:ascii="Arial" w:cs="Arial" w:eastAsia="Arial" w:hAnsi="Arial"/>
          <w:sz w:val="15"/>
          <w:szCs w:val="15"/>
          <w:color w:val="auto"/>
        </w:rPr>
      </w:pPr>
    </w:p>
    <w:p>
      <w:pPr>
        <w:ind w:left="1611" w:hanging="534"/>
        <w:spacing w:after="0"/>
        <w:tabs>
          <w:tab w:leader="none" w:pos="1611" w:val="left"/>
        </w:tabs>
        <w:numPr>
          <w:ilvl w:val="1"/>
          <w:numId w:val="51"/>
        </w:numPr>
        <w:rPr>
          <w:rFonts w:ascii="Arial" w:cs="Arial" w:eastAsia="Arial" w:hAnsi="Arial"/>
          <w:sz w:val="15"/>
          <w:szCs w:val="15"/>
          <w:color w:val="auto"/>
        </w:rPr>
      </w:pPr>
      <w:r>
        <w:rPr>
          <w:rFonts w:ascii="Arial" w:cs="Arial" w:eastAsia="Arial" w:hAnsi="Arial"/>
          <w:sz w:val="15"/>
          <w:szCs w:val="15"/>
          <w:color w:val="auto"/>
        </w:rPr>
        <w:t>Employer’s Liability Insurance</w:t>
      </w:r>
    </w:p>
    <w:p>
      <w:pPr>
        <w:spacing w:after="0" w:line="186" w:lineRule="exact"/>
        <w:rPr>
          <w:rFonts w:ascii="Arial" w:cs="Arial" w:eastAsia="Arial" w:hAnsi="Arial"/>
          <w:sz w:val="15"/>
          <w:szCs w:val="15"/>
          <w:color w:val="auto"/>
        </w:rPr>
      </w:pPr>
    </w:p>
    <w:p>
      <w:pPr>
        <w:ind w:left="1611" w:hanging="534"/>
        <w:spacing w:after="0"/>
        <w:tabs>
          <w:tab w:leader="none" w:pos="1611" w:val="left"/>
        </w:tabs>
        <w:numPr>
          <w:ilvl w:val="1"/>
          <w:numId w:val="51"/>
        </w:numPr>
        <w:rPr>
          <w:rFonts w:ascii="Arial" w:cs="Arial" w:eastAsia="Arial" w:hAnsi="Arial"/>
          <w:sz w:val="15"/>
          <w:szCs w:val="15"/>
          <w:color w:val="auto"/>
        </w:rPr>
      </w:pPr>
      <w:r>
        <w:rPr>
          <w:rFonts w:ascii="Arial" w:cs="Arial" w:eastAsia="Arial" w:hAnsi="Arial"/>
          <w:sz w:val="15"/>
          <w:szCs w:val="15"/>
          <w:color w:val="auto"/>
        </w:rPr>
        <w:t>Third Party Liability Insurance</w:t>
      </w:r>
    </w:p>
    <w:p>
      <w:pPr>
        <w:spacing w:after="0" w:line="186" w:lineRule="exact"/>
        <w:rPr>
          <w:rFonts w:ascii="Arial" w:cs="Arial" w:eastAsia="Arial" w:hAnsi="Arial"/>
          <w:sz w:val="15"/>
          <w:szCs w:val="15"/>
          <w:color w:val="auto"/>
        </w:rPr>
      </w:pPr>
    </w:p>
    <w:p>
      <w:pPr>
        <w:ind w:left="1611" w:hanging="534"/>
        <w:spacing w:after="0"/>
        <w:tabs>
          <w:tab w:leader="none" w:pos="1611" w:val="left"/>
        </w:tabs>
        <w:numPr>
          <w:ilvl w:val="1"/>
          <w:numId w:val="51"/>
        </w:numPr>
        <w:rPr>
          <w:rFonts w:ascii="Arial" w:cs="Arial" w:eastAsia="Arial" w:hAnsi="Arial"/>
          <w:sz w:val="15"/>
          <w:szCs w:val="15"/>
          <w:color w:val="auto"/>
        </w:rPr>
      </w:pPr>
      <w:r>
        <w:rPr>
          <w:rFonts w:ascii="Arial" w:cs="Arial" w:eastAsia="Arial" w:hAnsi="Arial"/>
          <w:sz w:val="15"/>
          <w:szCs w:val="15"/>
          <w:color w:val="auto"/>
        </w:rPr>
        <w:t>Product Liability Insurance</w:t>
      </w:r>
    </w:p>
    <w:p>
      <w:pPr>
        <w:spacing w:after="0" w:line="186" w:lineRule="exact"/>
        <w:rPr>
          <w:rFonts w:ascii="Arial" w:cs="Arial" w:eastAsia="Arial" w:hAnsi="Arial"/>
          <w:sz w:val="15"/>
          <w:szCs w:val="15"/>
          <w:color w:val="auto"/>
        </w:rPr>
      </w:pPr>
    </w:p>
    <w:p>
      <w:pPr>
        <w:ind w:left="1611" w:hanging="534"/>
        <w:spacing w:after="0"/>
        <w:tabs>
          <w:tab w:leader="none" w:pos="1611" w:val="left"/>
        </w:tabs>
        <w:numPr>
          <w:ilvl w:val="1"/>
          <w:numId w:val="51"/>
        </w:numPr>
        <w:rPr>
          <w:rFonts w:ascii="Arial" w:cs="Arial" w:eastAsia="Arial" w:hAnsi="Arial"/>
          <w:sz w:val="15"/>
          <w:szCs w:val="15"/>
          <w:color w:val="auto"/>
        </w:rPr>
      </w:pPr>
      <w:r>
        <w:rPr>
          <w:rFonts w:ascii="Arial" w:cs="Arial" w:eastAsia="Arial" w:hAnsi="Arial"/>
          <w:sz w:val="15"/>
          <w:szCs w:val="15"/>
          <w:color w:val="auto"/>
        </w:rPr>
        <w:t>Professional Liability Insurance</w:t>
      </w:r>
    </w:p>
    <w:p>
      <w:pPr>
        <w:spacing w:after="0" w:line="186" w:lineRule="exact"/>
        <w:rPr>
          <w:sz w:val="20"/>
          <w:szCs w:val="20"/>
          <w:color w:val="auto"/>
        </w:rPr>
      </w:pPr>
    </w:p>
    <w:p>
      <w:pPr>
        <w:jc w:val="both"/>
        <w:ind w:left="1071" w:hanging="537"/>
        <w:spacing w:after="0" w:line="277" w:lineRule="auto"/>
        <w:tabs>
          <w:tab w:leader="none" w:pos="1050" w:val="left"/>
        </w:tabs>
        <w:rPr>
          <w:sz w:val="20"/>
          <w:szCs w:val="20"/>
          <w:color w:val="auto"/>
        </w:rPr>
      </w:pPr>
      <w:r>
        <w:rPr>
          <w:rFonts w:ascii="Arial" w:cs="Arial" w:eastAsia="Arial" w:hAnsi="Arial"/>
          <w:sz w:val="15"/>
          <w:szCs w:val="15"/>
          <w:color w:val="auto"/>
        </w:rPr>
        <w:t>26.2.</w:t>
      </w:r>
      <w:r>
        <w:rPr>
          <w:sz w:val="20"/>
          <w:szCs w:val="20"/>
          <w:color w:val="auto"/>
        </w:rPr>
        <w:tab/>
      </w:r>
      <w:r>
        <w:rPr>
          <w:rFonts w:ascii="Arial" w:cs="Arial" w:eastAsia="Arial" w:hAnsi="Arial"/>
          <w:sz w:val="14"/>
          <w:szCs w:val="14"/>
          <w:color w:val="auto"/>
        </w:rPr>
        <w:t>The Supplier undertakes to provide the Customer with the form of Certificate of Insurance (Form 4), verbatim, without any amendments or adjustments apart from the filling in of details and particulars in the designated places for such, and subject to agreements with the insurer, signed by a reputable insurance company operating in Israel, not later than 4 days after the date of execution of this Agreement. In the event of any incompatibility between the provisions of the Certificate of Insurance issued by the Supplier and the provisions of this Agreement, the Supplier undertakes to cause amendment of the insurance policies immediately and within not more than one month of the Customer's demand, in order to adjust them to the provisions of this Agreement, and subject to the insurer's consent.</w:t>
      </w:r>
    </w:p>
    <w:p>
      <w:pPr>
        <w:spacing w:after="0" w:line="147" w:lineRule="exact"/>
        <w:rPr>
          <w:sz w:val="20"/>
          <w:szCs w:val="20"/>
          <w:color w:val="auto"/>
        </w:rPr>
      </w:pPr>
    </w:p>
    <w:p>
      <w:pPr>
        <w:jc w:val="both"/>
        <w:ind w:left="1071" w:right="20" w:hanging="537"/>
        <w:spacing w:after="0" w:line="277" w:lineRule="auto"/>
        <w:tabs>
          <w:tab w:leader="none" w:pos="1050" w:val="left"/>
        </w:tabs>
        <w:rPr>
          <w:sz w:val="20"/>
          <w:szCs w:val="20"/>
          <w:color w:val="auto"/>
        </w:rPr>
      </w:pPr>
      <w:r>
        <w:rPr>
          <w:rFonts w:ascii="Arial" w:cs="Arial" w:eastAsia="Arial" w:hAnsi="Arial"/>
          <w:sz w:val="15"/>
          <w:szCs w:val="15"/>
          <w:color w:val="auto"/>
        </w:rPr>
        <w:t>26.3.</w:t>
      </w:r>
      <w:r>
        <w:rPr>
          <w:sz w:val="20"/>
          <w:szCs w:val="20"/>
          <w:color w:val="auto"/>
        </w:rPr>
        <w:tab/>
      </w:r>
      <w:r>
        <w:rPr>
          <w:rFonts w:ascii="Arial" w:cs="Arial" w:eastAsia="Arial" w:hAnsi="Arial"/>
          <w:sz w:val="14"/>
          <w:szCs w:val="14"/>
          <w:color w:val="auto"/>
        </w:rPr>
        <w:t>At the Customer's request, the Supplier undertakes to present the aforesaid certificates at the end of each Insurance Term and so long as this Agreement remains in force, and not more than 7 days after the date of termination of the Insurance Term, as set out in the certificate, and all during the term of the existence of this Agreement. The Customer shall be entitled to prevent the Customer from continuing to provide the Services and/or perform the Orders in the event that the aforesaid certificate is not issued on time. It is agreed that the Supplier shall be estopped from making any claim against the Customer due to not being able to commence and/or continue provision of the Services and/or performance of the Orders prior to issue of the certificate, as aforesaid.</w:t>
      </w:r>
    </w:p>
    <w:p>
      <w:pPr>
        <w:spacing w:after="0" w:line="170" w:lineRule="exact"/>
        <w:rPr>
          <w:sz w:val="20"/>
          <w:szCs w:val="20"/>
          <w:color w:val="auto"/>
        </w:rPr>
      </w:pPr>
    </w:p>
    <w:p>
      <w:pPr>
        <w:ind w:left="-9" w:firstLine="9"/>
        <w:spacing w:after="0" w:line="272" w:lineRule="auto"/>
        <w:tabs>
          <w:tab w:leader="none" w:pos="252" w:val="left"/>
        </w:tabs>
        <w:numPr>
          <w:ilvl w:val="0"/>
          <w:numId w:val="52"/>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193040</wp:posOffset>
            </wp:positionV>
            <wp:extent cx="7198360"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31"/>
          </w:cols>
          <w:pgMar w:left="289" w:top="779" w:right="279" w:bottom="1440" w:gutter="0" w:footer="0" w:header="0"/>
        </w:sectPr>
      </w:pPr>
    </w:p>
    <w:bookmarkStart w:id="29" w:name="page30"/>
    <w:bookmarkEnd w:id="29"/>
    <w:p>
      <w:pPr>
        <w:jc w:val="both"/>
        <w:ind w:left="1071" w:hanging="537"/>
        <w:spacing w:after="0" w:line="277" w:lineRule="auto"/>
        <w:tabs>
          <w:tab w:leader="none" w:pos="1050" w:val="left"/>
        </w:tabs>
        <w:rPr>
          <w:sz w:val="20"/>
          <w:szCs w:val="20"/>
          <w:color w:val="auto"/>
        </w:rPr>
      </w:pPr>
      <w:r>
        <w:rPr>
          <w:rFonts w:ascii="Arial" w:cs="Arial" w:eastAsia="Arial" w:hAnsi="Arial"/>
          <w:sz w:val="15"/>
          <w:szCs w:val="15"/>
          <w:color w:val="auto"/>
        </w:rPr>
        <w:t>26.4.</w:t>
      </w:r>
      <w:r>
        <w:rPr>
          <w:sz w:val="20"/>
          <w:szCs w:val="20"/>
          <w:color w:val="auto"/>
        </w:rPr>
        <w:tab/>
      </w:r>
      <w:r>
        <w:rPr>
          <w:rFonts w:ascii="Arial" w:cs="Arial" w:eastAsia="Arial" w:hAnsi="Arial"/>
          <w:sz w:val="14"/>
          <w:szCs w:val="14"/>
          <w:color w:val="auto"/>
        </w:rPr>
        <w:t>If in the Supplier's opinion, there is a need for the Supplier to take out additional and/or supplementary insurance policies in addition to the above insurance policies, then following the Supplier's consent, the Supplier undertakes to take out such insurance policies as required. Any such additional and/or supplementary property insurance shall include a section regarding waiver of the right of subrogation in favor of the Customer and its employees and directors, but not in favor of any person who causes malicious damage. For the purposes of liability insurance the name of the insuree shall be extended to include the Customer, its employees and directors for their liability for the acts and/or omissions of the Supplier, subject to the existence of a cross-liability section.</w:t>
      </w:r>
    </w:p>
    <w:p>
      <w:pPr>
        <w:spacing w:after="0" w:line="147" w:lineRule="exact"/>
        <w:rPr>
          <w:sz w:val="20"/>
          <w:szCs w:val="20"/>
          <w:color w:val="auto"/>
        </w:rPr>
      </w:pPr>
    </w:p>
    <w:p>
      <w:pPr>
        <w:jc w:val="both"/>
        <w:ind w:left="1071" w:hanging="537"/>
        <w:spacing w:after="0" w:line="272" w:lineRule="auto"/>
        <w:tabs>
          <w:tab w:leader="none" w:pos="1050" w:val="left"/>
        </w:tabs>
        <w:rPr>
          <w:sz w:val="20"/>
          <w:szCs w:val="20"/>
          <w:color w:val="auto"/>
        </w:rPr>
      </w:pPr>
      <w:r>
        <w:rPr>
          <w:rFonts w:ascii="Arial" w:cs="Arial" w:eastAsia="Arial" w:hAnsi="Arial"/>
          <w:sz w:val="15"/>
          <w:szCs w:val="15"/>
          <w:color w:val="auto"/>
        </w:rPr>
        <w:t>26.5.</w:t>
      </w:r>
      <w:r>
        <w:rPr>
          <w:sz w:val="20"/>
          <w:szCs w:val="20"/>
          <w:color w:val="auto"/>
        </w:rPr>
        <w:tab/>
      </w:r>
      <w:r>
        <w:rPr>
          <w:rFonts w:ascii="Arial" w:cs="Arial" w:eastAsia="Arial" w:hAnsi="Arial"/>
          <w:sz w:val="15"/>
          <w:szCs w:val="15"/>
          <w:color w:val="auto"/>
        </w:rPr>
        <w:t>The Supplier undertakes to strictly keep and uphold all of the provisions of the insurance policies and the instructions of the insurer verbatim, and without derogating from the generality of the aforesaid, to maintain all of the provisions regarding safety and precautions.</w:t>
      </w:r>
    </w:p>
    <w:p>
      <w:pPr>
        <w:spacing w:after="0" w:line="147" w:lineRule="exact"/>
        <w:rPr>
          <w:sz w:val="20"/>
          <w:szCs w:val="20"/>
          <w:color w:val="auto"/>
        </w:rPr>
      </w:pPr>
    </w:p>
    <w:p>
      <w:pPr>
        <w:jc w:val="both"/>
        <w:ind w:left="1071" w:right="20" w:hanging="537"/>
        <w:spacing w:after="0" w:line="261" w:lineRule="auto"/>
        <w:tabs>
          <w:tab w:leader="none" w:pos="1050" w:val="left"/>
        </w:tabs>
        <w:rPr>
          <w:sz w:val="20"/>
          <w:szCs w:val="20"/>
          <w:color w:val="auto"/>
        </w:rPr>
      </w:pPr>
      <w:r>
        <w:rPr>
          <w:rFonts w:ascii="Arial" w:cs="Arial" w:eastAsia="Arial" w:hAnsi="Arial"/>
          <w:sz w:val="15"/>
          <w:szCs w:val="15"/>
          <w:color w:val="auto"/>
        </w:rPr>
        <w:t>26.6.</w:t>
      </w:r>
      <w:r>
        <w:rPr>
          <w:sz w:val="20"/>
          <w:szCs w:val="20"/>
          <w:color w:val="auto"/>
        </w:rPr>
        <w:tab/>
      </w:r>
      <w:r>
        <w:rPr>
          <w:rFonts w:ascii="Arial" w:cs="Arial" w:eastAsia="Arial" w:hAnsi="Arial"/>
          <w:sz w:val="15"/>
          <w:szCs w:val="15"/>
          <w:color w:val="auto"/>
        </w:rPr>
        <w:t>Should the Supplier, in good faith, breach the provisions of the insurance policies in such a way as to invalidate the rights of the Customer under the policies, the Supplier shall be liable for the damages in full and exclusively, and it shall not have any monetary and/or other claims and/or demands against the Customer for any monetary and/or other damage that may be caused to it as a result of such.</w:t>
      </w:r>
    </w:p>
    <w:p>
      <w:pPr>
        <w:spacing w:after="0" w:line="155" w:lineRule="exact"/>
        <w:rPr>
          <w:sz w:val="20"/>
          <w:szCs w:val="20"/>
          <w:color w:val="auto"/>
        </w:rPr>
      </w:pPr>
    </w:p>
    <w:p>
      <w:pPr>
        <w:ind w:left="531"/>
        <w:spacing w:after="0"/>
        <w:tabs>
          <w:tab w:leader="none" w:pos="1050" w:val="left"/>
        </w:tabs>
        <w:rPr>
          <w:sz w:val="20"/>
          <w:szCs w:val="20"/>
          <w:color w:val="auto"/>
        </w:rPr>
      </w:pPr>
      <w:r>
        <w:rPr>
          <w:rFonts w:ascii="Arial" w:cs="Arial" w:eastAsia="Arial" w:hAnsi="Arial"/>
          <w:sz w:val="15"/>
          <w:szCs w:val="15"/>
          <w:color w:val="auto"/>
        </w:rPr>
        <w:t>26.7.</w:t>
      </w:r>
      <w:r>
        <w:rPr>
          <w:sz w:val="20"/>
          <w:szCs w:val="20"/>
          <w:color w:val="auto"/>
        </w:rPr>
        <w:tab/>
      </w:r>
      <w:r>
        <w:rPr>
          <w:rFonts w:ascii="Arial" w:cs="Arial" w:eastAsia="Arial" w:hAnsi="Arial"/>
          <w:sz w:val="13"/>
          <w:szCs w:val="13"/>
          <w:color w:val="auto"/>
        </w:rPr>
        <w:t>The Supplier undertakes to give notice, immediately, in writing, of the occurrence of any event and/or damage and/or loss.</w:t>
      </w:r>
    </w:p>
    <w:p>
      <w:pPr>
        <w:spacing w:after="0" w:line="186" w:lineRule="exact"/>
        <w:rPr>
          <w:sz w:val="20"/>
          <w:szCs w:val="20"/>
          <w:color w:val="auto"/>
        </w:rPr>
      </w:pPr>
    </w:p>
    <w:p>
      <w:pPr>
        <w:jc w:val="both"/>
        <w:ind w:left="1071" w:hanging="537"/>
        <w:spacing w:after="0" w:line="255" w:lineRule="auto"/>
        <w:tabs>
          <w:tab w:leader="none" w:pos="1050" w:val="left"/>
        </w:tabs>
        <w:rPr>
          <w:sz w:val="20"/>
          <w:szCs w:val="20"/>
          <w:color w:val="auto"/>
        </w:rPr>
      </w:pPr>
      <w:r>
        <w:rPr>
          <w:rFonts w:ascii="Arial" w:cs="Arial" w:eastAsia="Arial" w:hAnsi="Arial"/>
          <w:sz w:val="15"/>
          <w:szCs w:val="15"/>
          <w:color w:val="auto"/>
        </w:rPr>
        <w:t>26.8.</w:t>
      </w:r>
      <w:r>
        <w:rPr>
          <w:sz w:val="20"/>
          <w:szCs w:val="20"/>
          <w:color w:val="auto"/>
        </w:rPr>
        <w:tab/>
      </w:r>
      <w:r>
        <w:rPr>
          <w:rFonts w:ascii="Arial" w:cs="Arial" w:eastAsia="Arial" w:hAnsi="Arial"/>
          <w:sz w:val="15"/>
          <w:szCs w:val="15"/>
          <w:color w:val="auto"/>
        </w:rPr>
        <w:t>The Supplier undertakes to take any reasonable action which may be required to be done in order to exercise the (Supplier's) insurance policies where necessary, including joinder to an insurance claim, in accordance with the (Supplier's) insurance policies, if so required by it. The Supplier shall be liable for payment of the insurance premiums, and for payment of the Supplier's policyholder's contribution in the event of damage to the extent that such relates to policies issued by the Supplier and at its expense. These sums may be set off by the Customer (in the event that it pays such sums in lieu of the Supplier) against any sum that may be owing to the Supplier under the Agreement.</w:t>
      </w:r>
    </w:p>
    <w:p>
      <w:pPr>
        <w:spacing w:after="0" w:line="160" w:lineRule="exact"/>
        <w:rPr>
          <w:sz w:val="20"/>
          <w:szCs w:val="20"/>
          <w:color w:val="auto"/>
        </w:rPr>
      </w:pPr>
    </w:p>
    <w:p>
      <w:pPr>
        <w:jc w:val="both"/>
        <w:ind w:left="1071" w:right="20" w:hanging="537"/>
        <w:spacing w:after="0" w:line="272" w:lineRule="auto"/>
        <w:tabs>
          <w:tab w:leader="none" w:pos="1050" w:val="left"/>
        </w:tabs>
        <w:rPr>
          <w:sz w:val="20"/>
          <w:szCs w:val="20"/>
          <w:color w:val="auto"/>
        </w:rPr>
      </w:pPr>
      <w:r>
        <w:rPr>
          <w:rFonts w:ascii="Arial" w:cs="Arial" w:eastAsia="Arial" w:hAnsi="Arial"/>
          <w:sz w:val="15"/>
          <w:szCs w:val="15"/>
          <w:color w:val="auto"/>
        </w:rPr>
        <w:t>26.9.</w:t>
      </w:r>
      <w:r>
        <w:rPr>
          <w:sz w:val="20"/>
          <w:szCs w:val="20"/>
          <w:color w:val="auto"/>
        </w:rPr>
        <w:tab/>
      </w:r>
      <w:r>
        <w:rPr>
          <w:rFonts w:ascii="Arial" w:cs="Arial" w:eastAsia="Arial" w:hAnsi="Arial"/>
          <w:sz w:val="15"/>
          <w:szCs w:val="15"/>
          <w:color w:val="auto"/>
        </w:rPr>
        <w:t>The Supplier shall be liable, in full, for uninsured damages which the liability for is imposed upon it by virtue of the sections of this Agreement, including damages that fall below the policyholder's contribution limit set out in the policies.</w:t>
      </w:r>
    </w:p>
    <w:p>
      <w:pPr>
        <w:spacing w:after="0" w:line="147" w:lineRule="exact"/>
        <w:rPr>
          <w:sz w:val="20"/>
          <w:szCs w:val="20"/>
          <w:color w:val="auto"/>
        </w:rPr>
      </w:pPr>
    </w:p>
    <w:p>
      <w:pPr>
        <w:jc w:val="both"/>
        <w:ind w:left="1071" w:hanging="537"/>
        <w:spacing w:after="0" w:line="274" w:lineRule="auto"/>
        <w:tabs>
          <w:tab w:leader="none" w:pos="1050" w:val="left"/>
        </w:tabs>
        <w:rPr>
          <w:sz w:val="20"/>
          <w:szCs w:val="20"/>
          <w:color w:val="auto"/>
        </w:rPr>
      </w:pPr>
      <w:r>
        <w:rPr>
          <w:rFonts w:ascii="Arial" w:cs="Arial" w:eastAsia="Arial" w:hAnsi="Arial"/>
          <w:sz w:val="15"/>
          <w:szCs w:val="15"/>
          <w:color w:val="auto"/>
        </w:rPr>
        <w:t>26.10.</w:t>
      </w:r>
      <w:r>
        <w:rPr>
          <w:sz w:val="20"/>
          <w:szCs w:val="20"/>
          <w:color w:val="auto"/>
        </w:rPr>
        <w:tab/>
      </w:r>
      <w:r>
        <w:rPr>
          <w:rFonts w:ascii="Arial" w:cs="Arial" w:eastAsia="Arial" w:hAnsi="Arial"/>
          <w:sz w:val="14"/>
          <w:szCs w:val="14"/>
          <w:color w:val="auto"/>
        </w:rPr>
        <w:t>It is hereby clarified that the existence of the policies shall not serve to release the Supplier from any liability that it owes to the Customer or to any third party by virtue of any law or this Agreement, and the existence of such insurance policies shall not serve to make the Supplier's liability conditional. Should any payment be made by the insurance company in a sum that is lower than the actual sum of the damage or the flaw in respect of which and against which the payment was made, the Supplier shall be required to pay the balance of the sum owing as compensation or as coverage for the damage or the flaw up to the full value thereof, and all subject to legal proceedings or proceedings by consent in the context of and upon coordination with the insurers, between the Parties. Should the insurance company breach its duty to pay under the policies, such shall not serve as a defense for the Supplier and it shall be required to pay any sum that it owes by virtue of its liability under any law or agreement, notwithstanding the fact that this sum was supposed to have been paid by the insurance company.</w:t>
      </w:r>
    </w:p>
    <w:p>
      <w:pPr>
        <w:spacing w:after="0" w:line="171" w:lineRule="exact"/>
        <w:rPr>
          <w:sz w:val="20"/>
          <w:szCs w:val="20"/>
          <w:color w:val="auto"/>
        </w:rPr>
      </w:pPr>
    </w:p>
    <w:p>
      <w:pPr>
        <w:ind w:left="-9" w:firstLine="9"/>
        <w:spacing w:after="0" w:line="272" w:lineRule="auto"/>
        <w:tabs>
          <w:tab w:leader="none" w:pos="252" w:val="left"/>
        </w:tabs>
        <w:numPr>
          <w:ilvl w:val="0"/>
          <w:numId w:val="53"/>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193040</wp:posOffset>
            </wp:positionV>
            <wp:extent cx="7198360"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31"/>
          </w:cols>
          <w:pgMar w:left="289" w:top="757" w:right="279" w:bottom="1440" w:gutter="0" w:footer="0" w:header="0"/>
        </w:sectPr>
      </w:pPr>
    </w:p>
    <w:bookmarkStart w:id="30" w:name="page31"/>
    <w:bookmarkEnd w:id="30"/>
    <w:p>
      <w:pPr>
        <w:jc w:val="both"/>
        <w:ind w:left="1071" w:hanging="537"/>
        <w:spacing w:after="0" w:line="272" w:lineRule="auto"/>
        <w:tabs>
          <w:tab w:leader="none" w:pos="1050" w:val="left"/>
        </w:tabs>
        <w:rPr>
          <w:sz w:val="20"/>
          <w:szCs w:val="20"/>
          <w:color w:val="auto"/>
        </w:rPr>
      </w:pPr>
      <w:r>
        <w:rPr>
          <w:rFonts w:ascii="Arial" w:cs="Arial" w:eastAsia="Arial" w:hAnsi="Arial"/>
          <w:sz w:val="15"/>
          <w:szCs w:val="15"/>
          <w:color w:val="auto"/>
        </w:rPr>
        <w:t>26.11.</w:t>
        <w:tab/>
        <w:t>For the avoidance of doubt, it is agreed that the liability limitations set out in the Certificate of Insurance, shall amount to minimum requirements imposed upon the Supplier, which must examine its own exposure to duty and determine its own liability limitations accordingly.</w:t>
      </w:r>
    </w:p>
    <w:p>
      <w:pPr>
        <w:spacing w:after="0" w:line="147" w:lineRule="exact"/>
        <w:rPr>
          <w:sz w:val="20"/>
          <w:szCs w:val="20"/>
          <w:color w:val="auto"/>
        </w:rPr>
      </w:pPr>
    </w:p>
    <w:p>
      <w:pPr>
        <w:jc w:val="both"/>
        <w:ind w:left="1071" w:hanging="537"/>
        <w:spacing w:after="0" w:line="277" w:lineRule="auto"/>
        <w:tabs>
          <w:tab w:leader="none" w:pos="1050" w:val="left"/>
        </w:tabs>
        <w:rPr>
          <w:sz w:val="20"/>
          <w:szCs w:val="20"/>
          <w:color w:val="auto"/>
        </w:rPr>
      </w:pPr>
      <w:r>
        <w:rPr>
          <w:rFonts w:ascii="Arial" w:cs="Arial" w:eastAsia="Arial" w:hAnsi="Arial"/>
          <w:sz w:val="15"/>
          <w:szCs w:val="15"/>
          <w:color w:val="auto"/>
        </w:rPr>
        <w:t>26.12.</w:t>
      </w:r>
      <w:r>
        <w:rPr>
          <w:sz w:val="20"/>
          <w:szCs w:val="20"/>
          <w:color w:val="auto"/>
        </w:rPr>
        <w:tab/>
      </w:r>
      <w:r>
        <w:rPr>
          <w:rFonts w:ascii="Arial" w:cs="Arial" w:eastAsia="Arial" w:hAnsi="Arial"/>
          <w:sz w:val="14"/>
          <w:szCs w:val="14"/>
          <w:color w:val="auto"/>
        </w:rPr>
        <w:t>The taking out of the insurance policies as aforesaid and/or issue of the certificate and/or any demand by the Customer and/or persons acting on its behalf shall not derogate from the Supplier's liability under this Agreement and/or under any law and/or shall not serve to impose any liability on the Customer and/or the persons acting on its behalf, unless the damage and/or defect are caused due to an act or omission by the Customer and/or a person acting on its behalf, whether caused in good faith or maliciously. It is declared and agreed that the Supplier shall be estopped from making any claim or demand to the Customer and/or the persons acting on its behalf and/or persons under its service with respect to the substance and scope of the insurance policies required.</w:t>
      </w:r>
    </w:p>
    <w:p>
      <w:pPr>
        <w:spacing w:after="0" w:line="147" w:lineRule="exact"/>
        <w:rPr>
          <w:sz w:val="20"/>
          <w:szCs w:val="20"/>
          <w:color w:val="auto"/>
        </w:rPr>
      </w:pPr>
    </w:p>
    <w:p>
      <w:pPr>
        <w:jc w:val="both"/>
        <w:ind w:left="1071" w:right="20" w:hanging="537"/>
        <w:spacing w:after="0" w:line="272" w:lineRule="auto"/>
        <w:tabs>
          <w:tab w:leader="none" w:pos="1050" w:val="left"/>
        </w:tabs>
        <w:rPr>
          <w:sz w:val="20"/>
          <w:szCs w:val="20"/>
          <w:color w:val="auto"/>
        </w:rPr>
      </w:pPr>
      <w:r>
        <w:rPr>
          <w:rFonts w:ascii="Arial" w:cs="Arial" w:eastAsia="Arial" w:hAnsi="Arial"/>
          <w:sz w:val="15"/>
          <w:szCs w:val="15"/>
          <w:color w:val="auto"/>
        </w:rPr>
        <w:t>26.13.</w:t>
        <w:tab/>
        <w:t>Without derogating from the liability of the Supplier under this Agreement, the Supplier undertakes to accept any obligation and/or liability of any kind whatsoever which may be imposed upon it due to contractors and/or sub-contractors operating on its behalf and/or for it with respect to the Agreement.</w:t>
      </w:r>
    </w:p>
    <w:p>
      <w:pPr>
        <w:spacing w:after="0" w:line="147" w:lineRule="exact"/>
        <w:rPr>
          <w:sz w:val="20"/>
          <w:szCs w:val="20"/>
          <w:color w:val="auto"/>
        </w:rPr>
      </w:pPr>
    </w:p>
    <w:p>
      <w:pPr>
        <w:jc w:val="both"/>
        <w:ind w:left="1071" w:hanging="537"/>
        <w:spacing w:after="0" w:line="272" w:lineRule="auto"/>
        <w:tabs>
          <w:tab w:leader="none" w:pos="1050" w:val="left"/>
        </w:tabs>
        <w:rPr>
          <w:sz w:val="20"/>
          <w:szCs w:val="20"/>
          <w:color w:val="auto"/>
        </w:rPr>
      </w:pPr>
      <w:r>
        <w:rPr>
          <w:rFonts w:ascii="Arial" w:cs="Arial" w:eastAsia="Arial" w:hAnsi="Arial"/>
          <w:sz w:val="15"/>
          <w:szCs w:val="15"/>
          <w:color w:val="auto"/>
        </w:rPr>
        <w:t>26.14.</w:t>
        <w:tab/>
        <w:t>For the avoidance of doubt, the Customer shall act vis-à-vis its customers with respect to any matter of any claim or complaint and shall not redirect any claim to the Supplier, indirectly, other than with respect to the Customer's direct conduct with the Supplier.</w:t>
      </w:r>
    </w:p>
    <w:p>
      <w:pPr>
        <w:spacing w:after="0" w:line="143" w:lineRule="exact"/>
        <w:rPr>
          <w:sz w:val="20"/>
          <w:szCs w:val="20"/>
          <w:color w:val="auto"/>
        </w:rPr>
      </w:pPr>
    </w:p>
    <w:p>
      <w:pPr>
        <w:ind w:left="531" w:hanging="531"/>
        <w:spacing w:after="0"/>
        <w:tabs>
          <w:tab w:leader="none" w:pos="531" w:val="left"/>
        </w:tabs>
        <w:numPr>
          <w:ilvl w:val="0"/>
          <w:numId w:val="54"/>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General Matters</w:t>
      </w:r>
    </w:p>
    <w:p>
      <w:pPr>
        <w:spacing w:after="0" w:line="190" w:lineRule="exact"/>
        <w:rPr>
          <w:rFonts w:ascii="Arial" w:cs="Arial" w:eastAsia="Arial" w:hAnsi="Arial"/>
          <w:sz w:val="15"/>
          <w:szCs w:val="15"/>
          <w:b w:val="1"/>
          <w:bCs w:val="1"/>
          <w:color w:val="auto"/>
        </w:rPr>
      </w:pPr>
    </w:p>
    <w:p>
      <w:pPr>
        <w:ind w:left="1071" w:hanging="538"/>
        <w:spacing w:after="0" w:line="277" w:lineRule="auto"/>
        <w:rPr>
          <w:rFonts w:ascii="Arial" w:cs="Arial" w:eastAsia="Arial" w:hAnsi="Arial"/>
          <w:sz w:val="15"/>
          <w:szCs w:val="15"/>
          <w:b w:val="1"/>
          <w:bCs w:val="1"/>
          <w:color w:val="auto"/>
        </w:rPr>
      </w:pPr>
      <w:r>
        <w:rPr>
          <w:rFonts w:ascii="Arial" w:cs="Arial" w:eastAsia="Arial" w:hAnsi="Arial"/>
          <w:sz w:val="14"/>
          <w:szCs w:val="14"/>
          <w:color w:val="auto"/>
        </w:rPr>
        <w:t>27.1. Each Party to this Agreement hereby undertakes not to assign its rights or obligations or any part thereof under this Agreement to any third party whatsoever unless: (a) Approval of such assignment is given by the other Party in writing and in advance and (b) the third party agrees, in writing, to be bound by all of the requirements set out in this Agreement. For the avoidance of doubt, any form of merger of one of the Parties and/or any act of acquisition of assets and/or change of the shareholders (whether such constitutes a change in control or not), shall be permissible under this Agreement and in any event, shall not constitute a breach of this Agreement by either of the Parties in general, and shall not constitute a prohibited assignment under this section 27.1 in particular.</w:t>
      </w:r>
    </w:p>
    <w:p>
      <w:pPr>
        <w:spacing w:after="0" w:line="147" w:lineRule="exact"/>
        <w:rPr>
          <w:rFonts w:ascii="Arial" w:cs="Arial" w:eastAsia="Arial" w:hAnsi="Arial"/>
          <w:sz w:val="15"/>
          <w:szCs w:val="15"/>
          <w:b w:val="1"/>
          <w:bCs w:val="1"/>
          <w:color w:val="auto"/>
        </w:rPr>
      </w:pPr>
    </w:p>
    <w:p>
      <w:pPr>
        <w:ind w:left="531"/>
        <w:spacing w:after="0"/>
        <w:rPr>
          <w:rFonts w:ascii="Arial" w:cs="Arial" w:eastAsia="Arial" w:hAnsi="Arial"/>
          <w:sz w:val="15"/>
          <w:szCs w:val="15"/>
          <w:b w:val="1"/>
          <w:bCs w:val="1"/>
          <w:color w:val="auto"/>
        </w:rPr>
      </w:pPr>
      <w:r>
        <w:rPr>
          <w:rFonts w:ascii="Arial" w:cs="Arial" w:eastAsia="Arial" w:hAnsi="Arial"/>
          <w:sz w:val="15"/>
          <w:szCs w:val="15"/>
          <w:color w:val="auto"/>
        </w:rPr>
        <w:t>27.2.    The laws of the State of Israel shall apply to this Agreement. The exclusive local jurisdiction shall obtain to the courts at Tel Aviv.</w:t>
      </w:r>
    </w:p>
    <w:p>
      <w:pPr>
        <w:spacing w:after="0" w:line="186" w:lineRule="exact"/>
        <w:rPr>
          <w:rFonts w:ascii="Arial" w:cs="Arial" w:eastAsia="Arial" w:hAnsi="Arial"/>
          <w:sz w:val="15"/>
          <w:szCs w:val="15"/>
          <w:b w:val="1"/>
          <w:bCs w:val="1"/>
          <w:color w:val="auto"/>
        </w:rPr>
      </w:pPr>
    </w:p>
    <w:p>
      <w:pPr>
        <w:ind w:left="1071" w:hanging="538"/>
        <w:spacing w:after="0" w:line="261" w:lineRule="auto"/>
        <w:rPr>
          <w:rFonts w:ascii="Arial" w:cs="Arial" w:eastAsia="Arial" w:hAnsi="Arial"/>
          <w:sz w:val="15"/>
          <w:szCs w:val="15"/>
          <w:b w:val="1"/>
          <w:bCs w:val="1"/>
          <w:color w:val="auto"/>
        </w:rPr>
      </w:pPr>
      <w:r>
        <w:rPr>
          <w:rFonts w:ascii="Arial" w:cs="Arial" w:eastAsia="Arial" w:hAnsi="Arial"/>
          <w:sz w:val="15"/>
          <w:szCs w:val="15"/>
          <w:color w:val="auto"/>
        </w:rPr>
        <w:t>27.3. This Agreement embodies and exhausts all of the agreements between the Parties, in full, with respect to the matters contained herein, and prevails over any agreements that existed between the Parties prior to the execution of it. No amendment, alteration or addition to this Agreement shall be of any force nor shall be deemed to have been implemented unless effected in writing and signed by both of the Parties to this Agreement.</w:t>
      </w:r>
    </w:p>
    <w:p>
      <w:pPr>
        <w:spacing w:after="0" w:line="154" w:lineRule="exact"/>
        <w:rPr>
          <w:rFonts w:ascii="Arial" w:cs="Arial" w:eastAsia="Arial" w:hAnsi="Arial"/>
          <w:sz w:val="15"/>
          <w:szCs w:val="15"/>
          <w:b w:val="1"/>
          <w:bCs w:val="1"/>
          <w:color w:val="auto"/>
        </w:rPr>
      </w:pPr>
    </w:p>
    <w:p>
      <w:pPr>
        <w:ind w:left="1071" w:hanging="538"/>
        <w:spacing w:after="0" w:line="272" w:lineRule="auto"/>
        <w:rPr>
          <w:rFonts w:ascii="Arial" w:cs="Arial" w:eastAsia="Arial" w:hAnsi="Arial"/>
          <w:sz w:val="15"/>
          <w:szCs w:val="15"/>
          <w:b w:val="1"/>
          <w:bCs w:val="1"/>
          <w:color w:val="auto"/>
        </w:rPr>
      </w:pPr>
      <w:r>
        <w:rPr>
          <w:rFonts w:ascii="Arial" w:cs="Arial" w:eastAsia="Arial" w:hAnsi="Arial"/>
          <w:sz w:val="15"/>
          <w:szCs w:val="15"/>
          <w:color w:val="auto"/>
        </w:rPr>
        <w:t>27.4. In the event of any contradiction between the provisions of any Order or any other document between the Parties, the provisions of this Agreement shall prevail, unless otherwise expressly agreed in writing.</w:t>
      </w:r>
    </w:p>
    <w:p>
      <w:pPr>
        <w:spacing w:after="0" w:line="170" w:lineRule="exact"/>
        <w:rPr>
          <w:sz w:val="20"/>
          <w:szCs w:val="20"/>
          <w:color w:val="auto"/>
        </w:rPr>
      </w:pPr>
    </w:p>
    <w:p>
      <w:pPr>
        <w:ind w:left="-9" w:firstLine="9"/>
        <w:spacing w:after="0" w:line="272" w:lineRule="auto"/>
        <w:tabs>
          <w:tab w:leader="none" w:pos="252" w:val="left"/>
        </w:tabs>
        <w:numPr>
          <w:ilvl w:val="0"/>
          <w:numId w:val="55"/>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193040</wp:posOffset>
            </wp:positionV>
            <wp:extent cx="7198360"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31"/>
          </w:cols>
          <w:pgMar w:left="289" w:top="757" w:right="279" w:bottom="1440" w:gutter="0" w:footer="0" w:header="0"/>
        </w:sectPr>
      </w:pPr>
    </w:p>
    <w:bookmarkStart w:id="31" w:name="page32"/>
    <w:bookmarkEnd w:id="31"/>
    <w:p>
      <w:pPr>
        <w:ind w:left="540"/>
        <w:spacing w:after="0"/>
        <w:tabs>
          <w:tab w:leader="none" w:pos="1060" w:val="left"/>
        </w:tabs>
        <w:rPr>
          <w:sz w:val="20"/>
          <w:szCs w:val="20"/>
          <w:color w:val="auto"/>
        </w:rPr>
      </w:pPr>
      <w:r>
        <w:rPr>
          <w:rFonts w:ascii="Arial" w:cs="Arial" w:eastAsia="Arial" w:hAnsi="Arial"/>
          <w:sz w:val="15"/>
          <w:szCs w:val="15"/>
          <w:color w:val="auto"/>
        </w:rPr>
        <w:t>27.5.</w:t>
      </w:r>
      <w:r>
        <w:rPr>
          <w:sz w:val="20"/>
          <w:szCs w:val="20"/>
          <w:color w:val="auto"/>
        </w:rPr>
        <w:tab/>
      </w:r>
      <w:r>
        <w:rPr>
          <w:rFonts w:ascii="Arial" w:cs="Arial" w:eastAsia="Arial" w:hAnsi="Arial"/>
          <w:sz w:val="13"/>
          <w:szCs w:val="13"/>
          <w:color w:val="auto"/>
        </w:rPr>
        <w:t>The headings of this Agreement are for the sake of convenience only and shall not have any significance in the interpretation of this Agreement.</w:t>
      </w:r>
    </w:p>
    <w:p>
      <w:pPr>
        <w:spacing w:after="0" w:line="186" w:lineRule="exact"/>
        <w:rPr>
          <w:sz w:val="20"/>
          <w:szCs w:val="20"/>
          <w:color w:val="auto"/>
        </w:rPr>
      </w:pPr>
    </w:p>
    <w:p>
      <w:pPr>
        <w:jc w:val="both"/>
        <w:ind w:left="1080" w:right="20" w:hanging="537"/>
        <w:spacing w:after="0" w:line="272" w:lineRule="auto"/>
        <w:tabs>
          <w:tab w:leader="none" w:pos="1060" w:val="left"/>
        </w:tabs>
        <w:rPr>
          <w:sz w:val="20"/>
          <w:szCs w:val="20"/>
          <w:color w:val="auto"/>
        </w:rPr>
      </w:pPr>
      <w:r>
        <w:rPr>
          <w:rFonts w:ascii="Arial" w:cs="Arial" w:eastAsia="Arial" w:hAnsi="Arial"/>
          <w:sz w:val="15"/>
          <w:szCs w:val="15"/>
          <w:color w:val="auto"/>
        </w:rPr>
        <w:t>27.6.</w:t>
      </w:r>
      <w:r>
        <w:rPr>
          <w:sz w:val="20"/>
          <w:szCs w:val="20"/>
          <w:color w:val="auto"/>
        </w:rPr>
        <w:tab/>
      </w:r>
      <w:r>
        <w:rPr>
          <w:rFonts w:ascii="Arial" w:cs="Arial" w:eastAsia="Arial" w:hAnsi="Arial"/>
          <w:sz w:val="15"/>
          <w:szCs w:val="15"/>
          <w:color w:val="auto"/>
        </w:rPr>
        <w:t>The Customer and the Supplier are bound by this Agreement verbatim, but do not waive any of their rights which may not be set out in this Agreement, as companies operating commercially in the State of Israel.</w:t>
      </w:r>
    </w:p>
    <w:p>
      <w:pPr>
        <w:spacing w:after="0" w:line="147" w:lineRule="exact"/>
        <w:rPr>
          <w:sz w:val="20"/>
          <w:szCs w:val="20"/>
          <w:color w:val="auto"/>
        </w:rPr>
      </w:pPr>
    </w:p>
    <w:p>
      <w:pPr>
        <w:jc w:val="both"/>
        <w:ind w:left="1080" w:hanging="537"/>
        <w:spacing w:after="0" w:line="288" w:lineRule="auto"/>
        <w:tabs>
          <w:tab w:leader="none" w:pos="1060" w:val="left"/>
        </w:tabs>
        <w:rPr>
          <w:sz w:val="20"/>
          <w:szCs w:val="20"/>
          <w:color w:val="auto"/>
        </w:rPr>
      </w:pPr>
      <w:r>
        <w:rPr>
          <w:rFonts w:ascii="Arial" w:cs="Arial" w:eastAsia="Arial" w:hAnsi="Arial"/>
          <w:sz w:val="15"/>
          <w:szCs w:val="15"/>
          <w:color w:val="auto"/>
        </w:rPr>
        <w:t>27.7.</w:t>
      </w:r>
      <w:r>
        <w:rPr>
          <w:sz w:val="20"/>
          <w:szCs w:val="20"/>
          <w:color w:val="auto"/>
        </w:rPr>
        <w:tab/>
      </w:r>
      <w:r>
        <w:rPr>
          <w:rFonts w:ascii="Arial" w:cs="Arial" w:eastAsia="Arial" w:hAnsi="Arial"/>
          <w:sz w:val="14"/>
          <w:szCs w:val="14"/>
          <w:color w:val="auto"/>
        </w:rPr>
        <w:t>In the event that any of the provisions of this Agreement is deemed to be unenforceable or invalid in accordance with any law or in accordance with the ruling of a court, such ruling shall not make the rest of the Agreement unenforceable or invalid. Under such circumstances, the provision shall be amended and shall be interpreted in such a way that its purposes shall be realized to the extent possible, within the limitations of the applicable law and the relevant judicial rulings.</w:t>
      </w:r>
    </w:p>
    <w:p>
      <w:pPr>
        <w:spacing w:after="0" w:line="138" w:lineRule="exact"/>
        <w:rPr>
          <w:sz w:val="20"/>
          <w:szCs w:val="20"/>
          <w:color w:val="auto"/>
        </w:rPr>
      </w:pPr>
    </w:p>
    <w:p>
      <w:pPr>
        <w:jc w:val="both"/>
        <w:ind w:left="1080" w:right="20" w:hanging="537"/>
        <w:spacing w:after="0" w:line="319" w:lineRule="auto"/>
        <w:tabs>
          <w:tab w:leader="none" w:pos="1060" w:val="left"/>
        </w:tabs>
        <w:rPr>
          <w:sz w:val="20"/>
          <w:szCs w:val="20"/>
          <w:color w:val="auto"/>
        </w:rPr>
      </w:pPr>
      <w:r>
        <w:rPr>
          <w:rFonts w:ascii="Arial" w:cs="Arial" w:eastAsia="Arial" w:hAnsi="Arial"/>
          <w:sz w:val="15"/>
          <w:szCs w:val="15"/>
          <w:color w:val="auto"/>
        </w:rPr>
        <w:t>27.8.</w:t>
      </w:r>
      <w:r>
        <w:rPr>
          <w:sz w:val="20"/>
          <w:szCs w:val="20"/>
          <w:color w:val="auto"/>
        </w:rPr>
        <w:tab/>
      </w:r>
      <w:r>
        <w:rPr>
          <w:rFonts w:ascii="Arial" w:cs="Arial" w:eastAsia="Arial" w:hAnsi="Arial"/>
          <w:sz w:val="13"/>
          <w:szCs w:val="13"/>
          <w:color w:val="auto"/>
        </w:rPr>
        <w:t>The addresses of the Parties for the purpose of delivery of notices under this Agreement shall be as set out in the preamble. Any such notice that shall be sent by registered mail shall be deemed to have been delivered three (3) business days after the date of dispatch; in the event of dispatch by facsimile or by some other electronic means, the notice shall be deemed to have been delivered one business day after delivery, subject to written approval of receipt thereof, or on the date of delivery if delivered by hand.</w:t>
      </w:r>
    </w:p>
    <w:p>
      <w:pPr>
        <w:spacing w:after="0" w:line="122"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5"/>
          <w:szCs w:val="15"/>
          <w:color w:val="auto"/>
        </w:rPr>
        <w:t>27.9.</w:t>
      </w:r>
      <w:r>
        <w:rPr>
          <w:sz w:val="20"/>
          <w:szCs w:val="20"/>
          <w:color w:val="auto"/>
        </w:rPr>
        <w:tab/>
      </w:r>
      <w:r>
        <w:rPr>
          <w:rFonts w:ascii="Arial" w:cs="Arial" w:eastAsia="Arial" w:hAnsi="Arial"/>
          <w:sz w:val="13"/>
          <w:szCs w:val="13"/>
          <w:color w:val="auto"/>
        </w:rPr>
        <w:t>The Parties shall be entitled to set off debts owed to one another, only following advance written notice of 30 days.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IN WITNESS WHEREOF, the parties hereto have executed this Agreement,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By their authorized signatories, on the date first set out above:</w:t>
      </w:r>
    </w:p>
    <w:p>
      <w:pPr>
        <w:sectPr>
          <w:pgSz w:w="11900" w:h="16838" w:orient="portrait"/>
          <w:cols w:equalWidth="0" w:num="1">
            <w:col w:w="11340"/>
          </w:cols>
          <w:pgMar w:left="280" w:top="757" w:right="279" w:bottom="1440" w:gutter="0" w:footer="0" w:header="0"/>
        </w:sectPr>
      </w:pP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Kornit Digital Technologies Ltd.</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ITS Industrial Techno-logic Solutions Ltd.</w:t>
      </w:r>
    </w:p>
    <w:p>
      <w:pPr>
        <w:spacing w:after="0" w:line="209" w:lineRule="exact"/>
        <w:rPr>
          <w:sz w:val="20"/>
          <w:szCs w:val="20"/>
          <w:color w:val="auto"/>
        </w:rPr>
      </w:pPr>
    </w:p>
    <w:p>
      <w:pPr>
        <w:sectPr>
          <w:pgSz w:w="11900" w:h="16838" w:orient="portrait"/>
          <w:cols w:equalWidth="0" w:num="2">
            <w:col w:w="4840" w:space="720"/>
            <w:col w:w="5780"/>
          </w:cols>
          <w:pgMar w:left="280" w:top="757" w:right="279" w:bottom="1440" w:gutter="0" w:footer="0" w:header="0"/>
          <w:type w:val="continuous"/>
        </w:sectPr>
      </w:pPr>
    </w:p>
    <w:p>
      <w:pPr>
        <w:spacing w:after="0"/>
        <w:rPr>
          <w:sz w:val="20"/>
          <w:szCs w:val="20"/>
          <w:color w:val="auto"/>
        </w:rPr>
      </w:pPr>
      <w:r>
        <w:rPr>
          <w:rFonts w:ascii="Arial" w:cs="Arial" w:eastAsia="Arial" w:hAnsi="Arial"/>
          <w:sz w:val="13"/>
          <w:szCs w:val="13"/>
          <w:color w:val="auto"/>
        </w:rPr>
        <w:t>By: /s/ Gera Eiron</w:t>
      </w:r>
    </w:p>
    <w:p>
      <w:pPr>
        <w:spacing w:after="0" w:line="20" w:lineRule="exact"/>
        <w:rPr>
          <w:sz w:val="20"/>
          <w:szCs w:val="20"/>
          <w:color w:val="auto"/>
        </w:rPr>
      </w:pPr>
      <w:r>
        <w:rPr>
          <w:sz w:val="20"/>
          <w:szCs w:val="20"/>
          <w:color w:val="auto"/>
        </w:rPr>
        <w:br w:type="column"/>
      </w:r>
    </w:p>
    <w:p>
      <w:pPr>
        <w:jc w:val="center"/>
        <w:ind w:right="4420"/>
        <w:spacing w:after="0"/>
        <w:rPr>
          <w:sz w:val="20"/>
          <w:szCs w:val="20"/>
          <w:color w:val="auto"/>
        </w:rPr>
      </w:pPr>
      <w:r>
        <w:rPr>
          <w:rFonts w:ascii="Arial" w:cs="Arial" w:eastAsia="Arial" w:hAnsi="Arial"/>
          <w:sz w:val="13"/>
          <w:szCs w:val="13"/>
          <w:color w:val="auto"/>
        </w:rPr>
        <w:t>By: /s/ Ofer Sandelson</w:t>
      </w:r>
    </w:p>
    <w:p>
      <w:pPr>
        <w:spacing w:after="0" w:line="200" w:lineRule="exact"/>
        <w:rPr>
          <w:sz w:val="20"/>
          <w:szCs w:val="20"/>
          <w:color w:val="auto"/>
        </w:rPr>
      </w:pPr>
    </w:p>
    <w:p>
      <w:pPr>
        <w:sectPr>
          <w:pgSz w:w="11900" w:h="16838" w:orient="portrait"/>
          <w:cols w:equalWidth="0" w:num="2">
            <w:col w:w="4840" w:space="720"/>
            <w:col w:w="5780"/>
          </w:cols>
          <w:pgMar w:left="280" w:top="757" w:right="279"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Name: </w:t>
      </w:r>
      <w:r>
        <w:rPr>
          <w:rFonts w:ascii="Arial" w:cs="Arial" w:eastAsia="Arial" w:hAnsi="Arial"/>
          <w:sz w:val="13"/>
          <w:szCs w:val="13"/>
          <w:i w:val="1"/>
          <w:iCs w:val="1"/>
          <w:color w:val="auto"/>
        </w:rPr>
        <w:t>Gera Eiron</w:t>
      </w:r>
    </w:p>
    <w:p>
      <w:pPr>
        <w:spacing w:after="0" w:line="20" w:lineRule="exact"/>
        <w:rPr>
          <w:sz w:val="20"/>
          <w:szCs w:val="20"/>
          <w:color w:val="auto"/>
        </w:rPr>
      </w:pPr>
      <w:r>
        <w:rPr>
          <w:sz w:val="20"/>
          <w:szCs w:val="20"/>
          <w:color w:val="auto"/>
        </w:rPr>
        <w:br w:type="column"/>
      </w:r>
    </w:p>
    <w:p>
      <w:pPr>
        <w:jc w:val="center"/>
        <w:ind w:right="4420"/>
        <w:spacing w:after="0"/>
        <w:rPr>
          <w:sz w:val="20"/>
          <w:szCs w:val="20"/>
          <w:color w:val="auto"/>
        </w:rPr>
      </w:pPr>
      <w:r>
        <w:rPr>
          <w:rFonts w:ascii="Arial" w:cs="Arial" w:eastAsia="Arial" w:hAnsi="Arial"/>
          <w:sz w:val="13"/>
          <w:szCs w:val="13"/>
          <w:color w:val="auto"/>
        </w:rPr>
        <w:t xml:space="preserve">Name: </w:t>
      </w:r>
      <w:r>
        <w:rPr>
          <w:rFonts w:ascii="Arial" w:cs="Arial" w:eastAsia="Arial" w:hAnsi="Arial"/>
          <w:sz w:val="13"/>
          <w:szCs w:val="13"/>
          <w:i w:val="1"/>
          <w:iCs w:val="1"/>
          <w:color w:val="auto"/>
        </w:rPr>
        <w:t>Ofer Sandelson</w:t>
      </w:r>
    </w:p>
    <w:p>
      <w:pPr>
        <w:spacing w:after="0" w:line="200" w:lineRule="exact"/>
        <w:rPr>
          <w:sz w:val="20"/>
          <w:szCs w:val="20"/>
          <w:color w:val="auto"/>
        </w:rPr>
      </w:pPr>
    </w:p>
    <w:p>
      <w:pPr>
        <w:sectPr>
          <w:pgSz w:w="11900" w:h="16838" w:orient="portrait"/>
          <w:cols w:equalWidth="0" w:num="2">
            <w:col w:w="4840" w:space="720"/>
            <w:col w:w="5780"/>
          </w:cols>
          <w:pgMar w:left="280" w:top="757" w:right="279"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Position: </w:t>
      </w:r>
      <w:r>
        <w:rPr>
          <w:rFonts w:ascii="Arial" w:cs="Arial" w:eastAsia="Arial" w:hAnsi="Arial"/>
          <w:sz w:val="14"/>
          <w:szCs w:val="14"/>
          <w:i w:val="1"/>
          <w:iCs w:val="1"/>
          <w:color w:val="auto"/>
        </w:rPr>
        <w:t>CEO</w:t>
      </w:r>
    </w:p>
    <w:p>
      <w:pPr>
        <w:spacing w:after="0" w:line="20" w:lineRule="exact"/>
        <w:rPr>
          <w:sz w:val="20"/>
          <w:szCs w:val="20"/>
          <w:color w:val="auto"/>
        </w:rPr>
      </w:pPr>
      <w:r>
        <w:rPr>
          <w:sz w:val="20"/>
          <w:szCs w:val="20"/>
          <w:color w:val="auto"/>
        </w:rPr>
        <w:br w:type="column"/>
      </w:r>
    </w:p>
    <w:p>
      <w:pPr>
        <w:jc w:val="center"/>
        <w:ind w:right="4900"/>
        <w:spacing w:after="0"/>
        <w:rPr>
          <w:sz w:val="20"/>
          <w:szCs w:val="20"/>
          <w:color w:val="auto"/>
        </w:rPr>
      </w:pPr>
      <w:r>
        <w:rPr>
          <w:rFonts w:ascii="Arial" w:cs="Arial" w:eastAsia="Arial" w:hAnsi="Arial"/>
          <w:sz w:val="13"/>
          <w:szCs w:val="13"/>
          <w:color w:val="auto"/>
        </w:rPr>
        <w:t xml:space="preserve">Position: </w:t>
      </w:r>
      <w:r>
        <w:rPr>
          <w:rFonts w:ascii="Arial" w:cs="Arial" w:eastAsia="Arial" w:hAnsi="Arial"/>
          <w:sz w:val="13"/>
          <w:szCs w:val="13"/>
          <w:i w:val="1"/>
          <w:iCs w:val="1"/>
          <w:color w:val="auto"/>
        </w:rPr>
        <w:t>COO</w:t>
      </w:r>
    </w:p>
    <w:p>
      <w:pPr>
        <w:spacing w:after="0" w:line="209" w:lineRule="exact"/>
        <w:rPr>
          <w:sz w:val="20"/>
          <w:szCs w:val="20"/>
          <w:color w:val="auto"/>
        </w:rPr>
      </w:pPr>
    </w:p>
    <w:p>
      <w:pPr>
        <w:sectPr>
          <w:pgSz w:w="11900" w:h="16838" w:orient="portrait"/>
          <w:cols w:equalWidth="0" w:num="2">
            <w:col w:w="4840" w:space="720"/>
            <w:col w:w="5780"/>
          </w:cols>
          <w:pgMar w:left="280" w:top="757" w:right="279" w:bottom="1440" w:gutter="0" w:footer="0" w:header="0"/>
          <w:type w:val="continuous"/>
        </w:sectPr>
      </w:pPr>
    </w:p>
    <w:p>
      <w:pPr>
        <w:ind w:firstLine="9"/>
        <w:spacing w:after="0" w:line="272" w:lineRule="auto"/>
        <w:tabs>
          <w:tab w:leader="none" w:pos="262" w:val="left"/>
        </w:tabs>
        <w:numPr>
          <w:ilvl w:val="0"/>
          <w:numId w:val="56"/>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193040</wp:posOffset>
            </wp:positionV>
            <wp:extent cx="7198360"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40"/>
          </w:cols>
          <w:pgMar w:left="280" w:top="757" w:right="27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5"/>
          <w:szCs w:val="15"/>
          <w:b w:val="1"/>
          <w:bCs w:val="1"/>
          <w:color w:val="auto"/>
        </w:rPr>
        <w:t>Appendix 2</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931</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cost(NIS)</w:t>
            </w: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0"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480"/>
          </w:cols>
          <w:pgMar w:left="280" w:top="753" w:right="139" w:bottom="1440" w:gutter="0" w:footer="0" w:header="0"/>
        </w:sectPr>
      </w:pPr>
    </w:p>
    <w:bookmarkStart w:id="33" w:name="page34"/>
    <w:bookmarkEnd w:id="33"/>
    <w:p>
      <w:pPr>
        <w:spacing w:after="0"/>
        <w:rPr>
          <w:sz w:val="20"/>
          <w:szCs w:val="20"/>
          <w:color w:val="auto"/>
        </w:rPr>
      </w:pPr>
      <w:r>
        <w:rPr>
          <w:rFonts w:ascii="Arial" w:cs="Arial" w:eastAsia="Arial" w:hAnsi="Arial"/>
          <w:sz w:val="15"/>
          <w:szCs w:val="15"/>
          <w:b w:val="1"/>
          <w:bCs w:val="1"/>
          <w:color w:val="auto"/>
        </w:rPr>
        <w:t>Appendix 2</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931</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cost(NIS)</w:t>
            </w: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16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480"/>
          </w:cols>
          <w:pgMar w:left="280" w:top="753" w:right="139" w:bottom="1440" w:gutter="0" w:footer="0" w:header="0"/>
        </w:sectPr>
      </w:pPr>
    </w:p>
    <w:bookmarkStart w:id="34" w:name="page35"/>
    <w:bookmarkEnd w:id="34"/>
    <w:p>
      <w:pPr>
        <w:spacing w:after="0"/>
        <w:rPr>
          <w:sz w:val="20"/>
          <w:szCs w:val="20"/>
          <w:color w:val="auto"/>
        </w:rPr>
      </w:pPr>
      <w:r>
        <w:rPr>
          <w:rFonts w:ascii="Arial" w:cs="Arial" w:eastAsia="Arial" w:hAnsi="Arial"/>
          <w:sz w:val="15"/>
          <w:szCs w:val="15"/>
          <w:b w:val="1"/>
          <w:bCs w:val="1"/>
          <w:color w:val="auto"/>
        </w:rPr>
        <w:t>Appendix 2</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931</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cost(NIS)</w:t>
            </w: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480"/>
          </w:cols>
          <w:pgMar w:left="280" w:top="753" w:right="139" w:bottom="1440" w:gutter="0" w:footer="0" w:header="0"/>
        </w:sectPr>
      </w:pPr>
    </w:p>
    <w:bookmarkStart w:id="35" w:name="page36"/>
    <w:bookmarkEnd w:id="35"/>
    <w:p>
      <w:pPr>
        <w:spacing w:after="0"/>
        <w:rPr>
          <w:sz w:val="20"/>
          <w:szCs w:val="20"/>
          <w:color w:val="auto"/>
        </w:rPr>
      </w:pPr>
      <w:r>
        <w:rPr>
          <w:rFonts w:ascii="Arial" w:cs="Arial" w:eastAsia="Arial" w:hAnsi="Arial"/>
          <w:sz w:val="15"/>
          <w:szCs w:val="15"/>
          <w:b w:val="1"/>
          <w:bCs w:val="1"/>
          <w:color w:val="auto"/>
        </w:rPr>
        <w:t>Appendix 2</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931</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cost(NIS)</w:t>
            </w: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480"/>
          </w:cols>
          <w:pgMar w:left="280" w:top="753" w:right="139" w:bottom="1440" w:gutter="0" w:footer="0" w:header="0"/>
        </w:sectPr>
      </w:pPr>
    </w:p>
    <w:bookmarkStart w:id="36" w:name="page37"/>
    <w:bookmarkEnd w:id="36"/>
    <w:p>
      <w:pPr>
        <w:spacing w:after="0"/>
        <w:rPr>
          <w:sz w:val="20"/>
          <w:szCs w:val="20"/>
          <w:color w:val="auto"/>
        </w:rPr>
      </w:pPr>
      <w:r>
        <w:rPr>
          <w:rFonts w:ascii="Arial" w:cs="Arial" w:eastAsia="Arial" w:hAnsi="Arial"/>
          <w:sz w:val="15"/>
          <w:szCs w:val="15"/>
          <w:b w:val="1"/>
          <w:bCs w:val="1"/>
          <w:color w:val="auto"/>
        </w:rPr>
        <w:t>Appendix 2</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931</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cost(NIS)</w:t>
            </w: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16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16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16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16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480"/>
          </w:cols>
          <w:pgMar w:left="280" w:top="753" w:right="139" w:bottom="1440" w:gutter="0" w:footer="0" w:header="0"/>
        </w:sectPr>
      </w:pPr>
    </w:p>
    <w:bookmarkStart w:id="37" w:name="page38"/>
    <w:bookmarkEnd w:id="37"/>
    <w:p>
      <w:pPr>
        <w:spacing w:after="0"/>
        <w:rPr>
          <w:sz w:val="20"/>
          <w:szCs w:val="20"/>
          <w:color w:val="auto"/>
        </w:rPr>
      </w:pPr>
      <w:r>
        <w:rPr>
          <w:rFonts w:ascii="Arial" w:cs="Arial" w:eastAsia="Arial" w:hAnsi="Arial"/>
          <w:sz w:val="15"/>
          <w:szCs w:val="15"/>
          <w:b w:val="1"/>
          <w:bCs w:val="1"/>
          <w:color w:val="auto"/>
        </w:rPr>
        <w:t>Appendix 2</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5"/>
                <w:szCs w:val="15"/>
                <w:color w:val="auto"/>
                <w:w w:val="95"/>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931</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cost(NIS)</w:t>
            </w: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ind w:left="80"/>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480"/>
          </w:cols>
          <w:pgMar w:left="280" w:top="753" w:right="139" w:bottom="1440" w:gutter="0" w:footer="0" w:header="0"/>
        </w:sectPr>
      </w:pPr>
    </w:p>
    <w:bookmarkStart w:id="38" w:name="page39"/>
    <w:bookmarkEnd w:id="38"/>
    <w:p>
      <w:pPr>
        <w:spacing w:after="0"/>
        <w:rPr>
          <w:sz w:val="20"/>
          <w:szCs w:val="20"/>
          <w:color w:val="auto"/>
        </w:rPr>
      </w:pPr>
      <w:r>
        <w:rPr>
          <w:rFonts w:ascii="Arial" w:cs="Arial" w:eastAsia="Arial" w:hAnsi="Arial"/>
          <w:sz w:val="15"/>
          <w:szCs w:val="15"/>
          <w:b w:val="1"/>
          <w:bCs w:val="1"/>
          <w:color w:val="auto"/>
        </w:rPr>
        <w:t>Appendix 2</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931</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cost(NIS)</w:t>
            </w: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480"/>
          </w:cols>
          <w:pgMar w:left="280" w:top="753" w:right="139" w:bottom="1440" w:gutter="0" w:footer="0" w:header="0"/>
        </w:sectPr>
      </w:pPr>
    </w:p>
    <w:bookmarkStart w:id="39" w:name="page40"/>
    <w:bookmarkEnd w:id="39"/>
    <w:p>
      <w:pPr>
        <w:spacing w:after="0"/>
        <w:rPr>
          <w:sz w:val="20"/>
          <w:szCs w:val="20"/>
          <w:color w:val="auto"/>
        </w:rPr>
      </w:pPr>
      <w:r>
        <w:rPr>
          <w:rFonts w:ascii="Arial" w:cs="Arial" w:eastAsia="Arial" w:hAnsi="Arial"/>
          <w:sz w:val="15"/>
          <w:szCs w:val="15"/>
          <w:b w:val="1"/>
          <w:bCs w:val="1"/>
          <w:color w:val="auto"/>
        </w:rPr>
        <w:t>Appendix 2</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931</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cost(NIS)</w:t>
            </w: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16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16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480"/>
          </w:cols>
          <w:pgMar w:left="280" w:top="753" w:right="139" w:bottom="1440" w:gutter="0" w:footer="0" w:header="0"/>
        </w:sectPr>
      </w:pPr>
    </w:p>
    <w:bookmarkStart w:id="40" w:name="page41"/>
    <w:bookmarkEnd w:id="40"/>
    <w:p>
      <w:pPr>
        <w:spacing w:after="0"/>
        <w:rPr>
          <w:sz w:val="20"/>
          <w:szCs w:val="20"/>
          <w:color w:val="auto"/>
        </w:rPr>
      </w:pPr>
      <w:r>
        <w:rPr>
          <w:rFonts w:ascii="Arial" w:cs="Arial" w:eastAsia="Arial" w:hAnsi="Arial"/>
          <w:sz w:val="15"/>
          <w:szCs w:val="15"/>
          <w:b w:val="1"/>
          <w:bCs w:val="1"/>
          <w:color w:val="auto"/>
        </w:rPr>
        <w:t>Appendix 2</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931</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cost(NIS)</w:t>
            </w: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16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480"/>
          </w:cols>
          <w:pgMar w:left="280" w:top="753" w:right="139" w:bottom="1440" w:gutter="0" w:footer="0" w:header="0"/>
        </w:sectPr>
      </w:pPr>
    </w:p>
    <w:bookmarkStart w:id="41" w:name="page42"/>
    <w:bookmarkEnd w:id="41"/>
    <w:p>
      <w:pPr>
        <w:spacing w:after="0"/>
        <w:rPr>
          <w:sz w:val="20"/>
          <w:szCs w:val="20"/>
          <w:color w:val="auto"/>
        </w:rPr>
      </w:pPr>
      <w:r>
        <w:rPr>
          <w:rFonts w:ascii="Arial" w:cs="Arial" w:eastAsia="Arial" w:hAnsi="Arial"/>
          <w:sz w:val="15"/>
          <w:szCs w:val="15"/>
          <w:b w:val="1"/>
          <w:bCs w:val="1"/>
          <w:color w:val="auto"/>
        </w:rPr>
        <w:t>Appendix 2</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931</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cost(NIS)</w:t>
            </w: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16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480"/>
          </w:cols>
          <w:pgMar w:left="280" w:top="753" w:right="139" w:bottom="1440" w:gutter="0" w:footer="0" w:header="0"/>
        </w:sectPr>
      </w:pPr>
    </w:p>
    <w:bookmarkStart w:id="42" w:name="page43"/>
    <w:bookmarkEnd w:id="42"/>
    <w:p>
      <w:pPr>
        <w:spacing w:after="0"/>
        <w:rPr>
          <w:sz w:val="20"/>
          <w:szCs w:val="20"/>
          <w:color w:val="auto"/>
        </w:rPr>
      </w:pPr>
      <w:r>
        <w:rPr>
          <w:rFonts w:ascii="Arial" w:cs="Arial" w:eastAsia="Arial" w:hAnsi="Arial"/>
          <w:sz w:val="15"/>
          <w:szCs w:val="15"/>
          <w:b w:val="1"/>
          <w:bCs w:val="1"/>
          <w:color w:val="auto"/>
        </w:rPr>
        <w:t>Appendix 2</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931</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cost(NIS)</w:t>
            </w: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ind w:left="60"/>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ind w:left="60"/>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480"/>
          </w:cols>
          <w:pgMar w:left="280" w:top="753" w:right="139" w:bottom="1440" w:gutter="0" w:footer="0" w:header="0"/>
        </w:sectPr>
      </w:pPr>
    </w:p>
    <w:bookmarkStart w:id="43" w:name="page44"/>
    <w:bookmarkEnd w:id="43"/>
    <w:p>
      <w:pPr>
        <w:spacing w:after="0"/>
        <w:rPr>
          <w:sz w:val="20"/>
          <w:szCs w:val="20"/>
          <w:color w:val="auto"/>
        </w:rPr>
      </w:pPr>
      <w:r>
        <w:rPr>
          <w:rFonts w:ascii="Arial" w:cs="Arial" w:eastAsia="Arial" w:hAnsi="Arial"/>
          <w:sz w:val="15"/>
          <w:szCs w:val="15"/>
          <w:b w:val="1"/>
          <w:bCs w:val="1"/>
          <w:color w:val="auto"/>
        </w:rPr>
        <w:t>Appendix 2</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931</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cost(NIS)</w:t>
            </w: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480"/>
          </w:cols>
          <w:pgMar w:left="280" w:top="753" w:right="139" w:bottom="1440" w:gutter="0" w:footer="0" w:header="0"/>
        </w:sectPr>
      </w:pPr>
    </w:p>
    <w:bookmarkStart w:id="44" w:name="page45"/>
    <w:bookmarkEnd w:id="44"/>
    <w:p>
      <w:pPr>
        <w:spacing w:after="0"/>
        <w:rPr>
          <w:sz w:val="20"/>
          <w:szCs w:val="20"/>
          <w:color w:val="auto"/>
        </w:rPr>
      </w:pPr>
      <w:r>
        <w:rPr>
          <w:rFonts w:ascii="Arial" w:cs="Arial" w:eastAsia="Arial" w:hAnsi="Arial"/>
          <w:sz w:val="15"/>
          <w:szCs w:val="15"/>
          <w:b w:val="1"/>
          <w:bCs w:val="1"/>
          <w:color w:val="auto"/>
        </w:rPr>
        <w:t>Appendix 2</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931</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cost(NIS)</w:t>
            </w: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480"/>
          </w:cols>
          <w:pgMar w:left="280" w:top="753" w:right="139" w:bottom="1440" w:gutter="0" w:footer="0" w:header="0"/>
        </w:sectPr>
      </w:pPr>
    </w:p>
    <w:bookmarkStart w:id="45" w:name="page46"/>
    <w:bookmarkEnd w:id="45"/>
    <w:p>
      <w:pPr>
        <w:spacing w:after="0"/>
        <w:rPr>
          <w:sz w:val="20"/>
          <w:szCs w:val="20"/>
          <w:color w:val="auto"/>
        </w:rPr>
      </w:pPr>
      <w:r>
        <w:rPr>
          <w:rFonts w:ascii="Arial" w:cs="Arial" w:eastAsia="Arial" w:hAnsi="Arial"/>
          <w:sz w:val="15"/>
          <w:szCs w:val="15"/>
          <w:b w:val="1"/>
          <w:bCs w:val="1"/>
          <w:color w:val="auto"/>
        </w:rPr>
        <w:t>Appendix 2</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931</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cost(NIS)</w:t>
            </w: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480"/>
          </w:cols>
          <w:pgMar w:left="280" w:top="753" w:right="139" w:bottom="1440" w:gutter="0" w:footer="0" w:header="0"/>
        </w:sectPr>
      </w:pPr>
    </w:p>
    <w:bookmarkStart w:id="46" w:name="page47"/>
    <w:bookmarkEnd w:id="46"/>
    <w:p>
      <w:pPr>
        <w:spacing w:after="0"/>
        <w:rPr>
          <w:sz w:val="20"/>
          <w:szCs w:val="20"/>
          <w:color w:val="auto"/>
        </w:rPr>
      </w:pPr>
      <w:r>
        <w:rPr>
          <w:rFonts w:ascii="Arial" w:cs="Arial" w:eastAsia="Arial" w:hAnsi="Arial"/>
          <w:sz w:val="15"/>
          <w:szCs w:val="15"/>
          <w:b w:val="1"/>
          <w:bCs w:val="1"/>
          <w:color w:val="auto"/>
        </w:rPr>
        <w:t>Appendix 2</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931</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cost(NIS)</w:t>
            </w: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480"/>
          </w:cols>
          <w:pgMar w:left="280" w:top="753" w:right="139" w:bottom="1440" w:gutter="0" w:footer="0" w:header="0"/>
        </w:sectPr>
      </w:pPr>
    </w:p>
    <w:bookmarkStart w:id="47" w:name="page48"/>
    <w:bookmarkEnd w:id="47"/>
    <w:p>
      <w:pPr>
        <w:spacing w:after="0"/>
        <w:rPr>
          <w:sz w:val="20"/>
          <w:szCs w:val="20"/>
          <w:color w:val="auto"/>
        </w:rPr>
      </w:pPr>
      <w:r>
        <w:rPr>
          <w:rFonts w:ascii="Arial" w:cs="Arial" w:eastAsia="Arial" w:hAnsi="Arial"/>
          <w:sz w:val="15"/>
          <w:szCs w:val="15"/>
          <w:b w:val="1"/>
          <w:bCs w:val="1"/>
          <w:color w:val="auto"/>
        </w:rPr>
        <w:t>Appendix 2</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931</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cost(NIS)</w:t>
            </w: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480"/>
          </w:cols>
          <w:pgMar w:left="280" w:top="753" w:right="139" w:bottom="1440" w:gutter="0" w:footer="0" w:header="0"/>
        </w:sectPr>
      </w:pPr>
    </w:p>
    <w:bookmarkStart w:id="48" w:name="page49"/>
    <w:bookmarkEnd w:id="48"/>
    <w:p>
      <w:pPr>
        <w:spacing w:after="0"/>
        <w:rPr>
          <w:sz w:val="20"/>
          <w:szCs w:val="20"/>
          <w:color w:val="auto"/>
        </w:rPr>
      </w:pPr>
      <w:r>
        <w:rPr>
          <w:rFonts w:ascii="Arial" w:cs="Arial" w:eastAsia="Arial" w:hAnsi="Arial"/>
          <w:sz w:val="15"/>
          <w:szCs w:val="15"/>
          <w:b w:val="1"/>
          <w:bCs w:val="1"/>
          <w:color w:val="auto"/>
        </w:rPr>
        <w:t>Appendix 2</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931</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cost(NIS)</w:t>
            </w: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480"/>
          </w:cols>
          <w:pgMar w:left="280" w:top="753" w:right="139" w:bottom="1440" w:gutter="0" w:footer="0" w:header="0"/>
        </w:sectPr>
      </w:pPr>
    </w:p>
    <w:bookmarkStart w:id="49" w:name="page50"/>
    <w:bookmarkEnd w:id="49"/>
    <w:p>
      <w:pPr>
        <w:spacing w:after="0"/>
        <w:rPr>
          <w:sz w:val="20"/>
          <w:szCs w:val="20"/>
          <w:color w:val="auto"/>
        </w:rPr>
      </w:pPr>
      <w:r>
        <w:rPr>
          <w:rFonts w:ascii="Arial" w:cs="Arial" w:eastAsia="Arial" w:hAnsi="Arial"/>
          <w:sz w:val="15"/>
          <w:szCs w:val="15"/>
          <w:b w:val="1"/>
          <w:bCs w:val="1"/>
          <w:color w:val="auto"/>
        </w:rPr>
        <w:t>Appendix 2</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931</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cost(NIS)</w:t>
            </w: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480"/>
          </w:cols>
          <w:pgMar w:left="280" w:top="753" w:right="139" w:bottom="1440" w:gutter="0" w:footer="0" w:header="0"/>
        </w:sectPr>
      </w:pPr>
    </w:p>
    <w:bookmarkStart w:id="50" w:name="page51"/>
    <w:bookmarkEnd w:id="50"/>
    <w:p>
      <w:pPr>
        <w:spacing w:after="0"/>
        <w:rPr>
          <w:sz w:val="20"/>
          <w:szCs w:val="20"/>
          <w:color w:val="auto"/>
        </w:rPr>
      </w:pPr>
      <w:r>
        <w:rPr>
          <w:rFonts w:ascii="Arial" w:cs="Arial" w:eastAsia="Arial" w:hAnsi="Arial"/>
          <w:sz w:val="15"/>
          <w:szCs w:val="15"/>
          <w:b w:val="1"/>
          <w:bCs w:val="1"/>
          <w:color w:val="auto"/>
        </w:rPr>
        <w:t>Appendix 2</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931</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cost(NIS)</w:t>
            </w: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16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480"/>
          </w:cols>
          <w:pgMar w:left="280" w:top="753" w:right="139" w:bottom="1440" w:gutter="0" w:footer="0" w:header="0"/>
        </w:sectPr>
      </w:pPr>
    </w:p>
    <w:bookmarkStart w:id="51" w:name="page52"/>
    <w:bookmarkEnd w:id="51"/>
    <w:p>
      <w:pPr>
        <w:spacing w:after="0"/>
        <w:rPr>
          <w:sz w:val="20"/>
          <w:szCs w:val="20"/>
          <w:color w:val="auto"/>
        </w:rPr>
      </w:pPr>
      <w:r>
        <w:rPr>
          <w:rFonts w:ascii="Arial" w:cs="Arial" w:eastAsia="Arial" w:hAnsi="Arial"/>
          <w:sz w:val="15"/>
          <w:szCs w:val="15"/>
          <w:b w:val="1"/>
          <w:bCs w:val="1"/>
          <w:color w:val="auto"/>
        </w:rPr>
        <w:t>Appendix 2</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931</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cost(NIS)</w:t>
            </w: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480"/>
          </w:cols>
          <w:pgMar w:left="280" w:top="753" w:right="1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Appendix 2</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931</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cost(NIS)</w:t>
            </w: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480"/>
          </w:cols>
          <w:pgMar w:left="280" w:top="745" w:right="139" w:bottom="1440" w:gutter="0" w:footer="0" w:header="0"/>
        </w:sectPr>
      </w:pPr>
    </w:p>
    <w:bookmarkStart w:id="53" w:name="page54"/>
    <w:bookmarkEnd w:id="53"/>
    <w:p>
      <w:pPr>
        <w:spacing w:after="0"/>
        <w:rPr>
          <w:sz w:val="20"/>
          <w:szCs w:val="20"/>
          <w:color w:val="auto"/>
        </w:rPr>
      </w:pPr>
      <w:r>
        <w:rPr>
          <w:rFonts w:ascii="Arial" w:cs="Arial" w:eastAsia="Arial" w:hAnsi="Arial"/>
          <w:sz w:val="15"/>
          <w:szCs w:val="15"/>
          <w:b w:val="1"/>
          <w:bCs w:val="1"/>
          <w:color w:val="auto"/>
        </w:rPr>
        <w:t>Appendix 2</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931</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cost(NIS)</w:t>
            </w: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480"/>
          </w:cols>
          <w:pgMar w:left="280" w:top="753" w:right="139" w:bottom="1440" w:gutter="0" w:footer="0" w:header="0"/>
        </w:sectPr>
      </w:pPr>
    </w:p>
    <w:bookmarkStart w:id="54" w:name="page55"/>
    <w:bookmarkEnd w:id="54"/>
    <w:p>
      <w:pPr>
        <w:spacing w:after="0"/>
        <w:rPr>
          <w:sz w:val="20"/>
          <w:szCs w:val="20"/>
          <w:color w:val="auto"/>
        </w:rPr>
      </w:pPr>
      <w:r>
        <w:rPr>
          <w:rFonts w:ascii="Arial" w:cs="Arial" w:eastAsia="Arial" w:hAnsi="Arial"/>
          <w:sz w:val="15"/>
          <w:szCs w:val="15"/>
          <w:b w:val="1"/>
          <w:bCs w:val="1"/>
          <w:color w:val="auto"/>
        </w:rPr>
        <w:t>Appendix 2</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931</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cost(NIS)</w:t>
            </w: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480"/>
          </w:cols>
          <w:pgMar w:left="280" w:top="753" w:right="139" w:bottom="1440" w:gutter="0" w:footer="0" w:header="0"/>
        </w:sectPr>
      </w:pPr>
    </w:p>
    <w:bookmarkStart w:id="55" w:name="page56"/>
    <w:bookmarkEnd w:id="55"/>
    <w:p>
      <w:pPr>
        <w:spacing w:after="0"/>
        <w:rPr>
          <w:sz w:val="20"/>
          <w:szCs w:val="20"/>
          <w:color w:val="auto"/>
        </w:rPr>
      </w:pPr>
      <w:r>
        <w:rPr>
          <w:rFonts w:ascii="Arial" w:cs="Arial" w:eastAsia="Arial" w:hAnsi="Arial"/>
          <w:sz w:val="15"/>
          <w:szCs w:val="15"/>
          <w:b w:val="1"/>
          <w:bCs w:val="1"/>
          <w:color w:val="auto"/>
        </w:rPr>
        <w:t>Appendix 2</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931</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cost(NIS)</w:t>
            </w: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480"/>
          </w:cols>
          <w:pgMar w:left="280" w:top="753" w:right="139" w:bottom="1440" w:gutter="0" w:footer="0" w:header="0"/>
        </w:sectPr>
      </w:pPr>
    </w:p>
    <w:bookmarkStart w:id="56" w:name="page57"/>
    <w:bookmarkEnd w:id="56"/>
    <w:p>
      <w:pPr>
        <w:spacing w:after="0"/>
        <w:rPr>
          <w:sz w:val="20"/>
          <w:szCs w:val="20"/>
          <w:color w:val="auto"/>
        </w:rPr>
      </w:pPr>
      <w:r>
        <w:rPr>
          <w:rFonts w:ascii="Arial" w:cs="Arial" w:eastAsia="Arial" w:hAnsi="Arial"/>
          <w:sz w:val="15"/>
          <w:szCs w:val="15"/>
          <w:b w:val="1"/>
          <w:bCs w:val="1"/>
          <w:color w:val="auto"/>
        </w:rPr>
        <w:t>Appendix 2</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931</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cost(NIS)</w:t>
            </w: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480"/>
          </w:cols>
          <w:pgMar w:left="280" w:top="753" w:right="139" w:bottom="1440" w:gutter="0" w:footer="0" w:header="0"/>
        </w:sectPr>
      </w:pPr>
    </w:p>
    <w:bookmarkStart w:id="57" w:name="page58"/>
    <w:bookmarkEnd w:id="57"/>
    <w:p>
      <w:pPr>
        <w:spacing w:after="0"/>
        <w:rPr>
          <w:sz w:val="20"/>
          <w:szCs w:val="20"/>
          <w:color w:val="auto"/>
        </w:rPr>
      </w:pPr>
      <w:r>
        <w:rPr>
          <w:rFonts w:ascii="Arial" w:cs="Arial" w:eastAsia="Arial" w:hAnsi="Arial"/>
          <w:sz w:val="15"/>
          <w:szCs w:val="15"/>
          <w:b w:val="1"/>
          <w:bCs w:val="1"/>
          <w:color w:val="auto"/>
        </w:rPr>
        <w:t>Appendix 2</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931</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cost(NIS)</w:t>
            </w: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480"/>
          </w:cols>
          <w:pgMar w:left="280" w:top="753" w:right="139" w:bottom="1440" w:gutter="0" w:footer="0" w:header="0"/>
        </w:sectPr>
      </w:pPr>
    </w:p>
    <w:bookmarkStart w:id="58" w:name="page59"/>
    <w:bookmarkEnd w:id="58"/>
    <w:p>
      <w:pPr>
        <w:spacing w:after="0"/>
        <w:rPr>
          <w:sz w:val="20"/>
          <w:szCs w:val="20"/>
          <w:color w:val="auto"/>
        </w:rPr>
      </w:pPr>
      <w:r>
        <w:rPr>
          <w:rFonts w:ascii="Arial" w:cs="Arial" w:eastAsia="Arial" w:hAnsi="Arial"/>
          <w:sz w:val="15"/>
          <w:szCs w:val="15"/>
          <w:b w:val="1"/>
          <w:bCs w:val="1"/>
          <w:color w:val="auto"/>
        </w:rPr>
        <w:t>Appendix 2</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931</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cost(NIS)</w:t>
            </w: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480"/>
          </w:cols>
          <w:pgMar w:left="280" w:top="753" w:right="139" w:bottom="1440" w:gutter="0" w:footer="0" w:header="0"/>
        </w:sectPr>
      </w:pPr>
    </w:p>
    <w:bookmarkStart w:id="59" w:name="page60"/>
    <w:bookmarkEnd w:id="59"/>
    <w:p>
      <w:pPr>
        <w:spacing w:after="0"/>
        <w:rPr>
          <w:sz w:val="20"/>
          <w:szCs w:val="20"/>
          <w:color w:val="auto"/>
        </w:rPr>
      </w:pPr>
      <w:r>
        <w:rPr>
          <w:rFonts w:ascii="Arial" w:cs="Arial" w:eastAsia="Arial" w:hAnsi="Arial"/>
          <w:sz w:val="15"/>
          <w:szCs w:val="15"/>
          <w:b w:val="1"/>
          <w:bCs w:val="1"/>
          <w:color w:val="auto"/>
        </w:rPr>
        <w:t>Appendix 2</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931</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cost(NIS)</w:t>
            </w: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480"/>
          </w:cols>
          <w:pgMar w:left="280" w:top="753" w:right="139" w:bottom="1440" w:gutter="0" w:footer="0" w:header="0"/>
        </w:sectPr>
      </w:pPr>
    </w:p>
    <w:bookmarkStart w:id="60" w:name="page61"/>
    <w:bookmarkEnd w:id="60"/>
    <w:p>
      <w:pPr>
        <w:spacing w:after="0"/>
        <w:rPr>
          <w:sz w:val="20"/>
          <w:szCs w:val="20"/>
          <w:color w:val="auto"/>
        </w:rPr>
      </w:pPr>
      <w:r>
        <w:rPr>
          <w:rFonts w:ascii="Arial" w:cs="Arial" w:eastAsia="Arial" w:hAnsi="Arial"/>
          <w:sz w:val="15"/>
          <w:szCs w:val="15"/>
          <w:b w:val="1"/>
          <w:bCs w:val="1"/>
          <w:color w:val="auto"/>
        </w:rPr>
        <w:t>Appendix 2</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931</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cost(NIS)</w:t>
            </w: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480"/>
          </w:cols>
          <w:pgMar w:left="280" w:top="753" w:right="139" w:bottom="1440" w:gutter="0" w:footer="0" w:header="0"/>
        </w:sectPr>
      </w:pPr>
    </w:p>
    <w:bookmarkStart w:id="61" w:name="page62"/>
    <w:bookmarkEnd w:id="61"/>
    <w:p>
      <w:pPr>
        <w:spacing w:after="0"/>
        <w:rPr>
          <w:sz w:val="20"/>
          <w:szCs w:val="20"/>
          <w:color w:val="auto"/>
        </w:rPr>
      </w:pPr>
      <w:r>
        <w:rPr>
          <w:rFonts w:ascii="Arial" w:cs="Arial" w:eastAsia="Arial" w:hAnsi="Arial"/>
          <w:sz w:val="15"/>
          <w:szCs w:val="15"/>
          <w:b w:val="1"/>
          <w:bCs w:val="1"/>
          <w:color w:val="auto"/>
        </w:rPr>
        <w:t>Appendix 2</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931</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cost(NIS)</w:t>
            </w: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480"/>
          </w:cols>
          <w:pgMar w:left="280" w:top="753" w:right="1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Appendix 2</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931</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cost(NIS)</w:t>
            </w: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16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480"/>
          </w:cols>
          <w:pgMar w:left="280" w:top="745" w:right="139" w:bottom="1440" w:gutter="0" w:footer="0" w:header="0"/>
        </w:sectPr>
      </w:pPr>
    </w:p>
    <w:bookmarkStart w:id="63" w:name="page64"/>
    <w:bookmarkEnd w:id="63"/>
    <w:p>
      <w:pPr>
        <w:spacing w:after="0"/>
        <w:rPr>
          <w:sz w:val="20"/>
          <w:szCs w:val="20"/>
          <w:color w:val="auto"/>
        </w:rPr>
      </w:pPr>
      <w:r>
        <w:rPr>
          <w:rFonts w:ascii="Arial" w:cs="Arial" w:eastAsia="Arial" w:hAnsi="Arial"/>
          <w:sz w:val="15"/>
          <w:szCs w:val="15"/>
          <w:b w:val="1"/>
          <w:bCs w:val="1"/>
          <w:color w:val="auto"/>
        </w:rPr>
        <w:t>Appendix 2</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931</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cost(NIS)</w:t>
            </w: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480"/>
          </w:cols>
          <w:pgMar w:left="280" w:top="753" w:right="139" w:bottom="1440" w:gutter="0" w:footer="0" w:header="0"/>
        </w:sectPr>
      </w:pPr>
    </w:p>
    <w:bookmarkStart w:id="64" w:name="page65"/>
    <w:bookmarkEnd w:id="64"/>
    <w:p>
      <w:pPr>
        <w:spacing w:after="0"/>
        <w:rPr>
          <w:sz w:val="20"/>
          <w:szCs w:val="20"/>
          <w:color w:val="auto"/>
        </w:rPr>
      </w:pPr>
      <w:r>
        <w:rPr>
          <w:rFonts w:ascii="Arial" w:cs="Arial" w:eastAsia="Arial" w:hAnsi="Arial"/>
          <w:sz w:val="15"/>
          <w:szCs w:val="15"/>
          <w:b w:val="1"/>
          <w:bCs w:val="1"/>
          <w:color w:val="auto"/>
        </w:rPr>
        <w:t>Appendix 2</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931</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cost(NIS)</w:t>
            </w: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16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480"/>
          </w:cols>
          <w:pgMar w:left="280" w:top="753" w:right="139" w:bottom="1440" w:gutter="0" w:footer="0" w:header="0"/>
        </w:sectPr>
      </w:pPr>
    </w:p>
    <w:bookmarkStart w:id="65" w:name="page66"/>
    <w:bookmarkEnd w:id="65"/>
    <w:p>
      <w:pPr>
        <w:spacing w:after="0"/>
        <w:rPr>
          <w:sz w:val="20"/>
          <w:szCs w:val="20"/>
          <w:color w:val="auto"/>
        </w:rPr>
      </w:pPr>
      <w:r>
        <w:rPr>
          <w:rFonts w:ascii="Arial" w:cs="Arial" w:eastAsia="Arial" w:hAnsi="Arial"/>
          <w:sz w:val="15"/>
          <w:szCs w:val="15"/>
          <w:b w:val="1"/>
          <w:bCs w:val="1"/>
          <w:color w:val="auto"/>
        </w:rPr>
        <w:t>Appendix 2</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931</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cost(NIS)</w:t>
            </w: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0"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right w:val="single" w:sz="8" w:color="auto"/>
            </w:tcBorders>
          </w:tcPr>
          <w:p>
            <w:pPr>
              <w:ind w:left="120"/>
              <w:spacing w:after="0" w:line="170"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16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right w:val="single" w:sz="8" w:color="auto"/>
            </w:tcBorders>
          </w:tcPr>
          <w:p>
            <w:pPr>
              <w:ind w:left="120"/>
              <w:spacing w:after="0" w:line="170"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right w:val="single" w:sz="8" w:color="auto"/>
            </w:tcBorders>
          </w:tcPr>
          <w:p>
            <w:pPr>
              <w:ind w:left="120"/>
              <w:spacing w:after="0" w:line="170"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16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right w:val="single" w:sz="8" w:color="auto"/>
            </w:tcBorders>
          </w:tcPr>
          <w:p>
            <w:pPr>
              <w:ind w:left="120"/>
              <w:spacing w:after="0" w:line="170"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right w:val="single" w:sz="8" w:color="auto"/>
            </w:tcBorders>
          </w:tcPr>
          <w:p>
            <w:pPr>
              <w:ind w:left="120"/>
              <w:spacing w:after="0" w:line="170"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right w:val="single" w:sz="8" w:color="auto"/>
            </w:tcBorders>
          </w:tcPr>
          <w:p>
            <w:pPr>
              <w:ind w:left="120"/>
              <w:spacing w:after="0" w:line="170"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right w:val="single" w:sz="8" w:color="auto"/>
            </w:tcBorders>
          </w:tcPr>
          <w:p>
            <w:pPr>
              <w:ind w:left="120"/>
              <w:spacing w:after="0" w:line="170"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right w:val="single" w:sz="8" w:color="auto"/>
            </w:tcBorders>
          </w:tcPr>
          <w:p>
            <w:pPr>
              <w:ind w:left="120"/>
              <w:spacing w:after="0" w:line="170"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right w:val="single" w:sz="8" w:color="auto"/>
            </w:tcBorders>
          </w:tcPr>
          <w:p>
            <w:pPr>
              <w:ind w:left="120"/>
              <w:spacing w:after="0" w:line="170"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right w:val="single" w:sz="8" w:color="auto"/>
            </w:tcBorders>
          </w:tcPr>
          <w:p>
            <w:pPr>
              <w:ind w:left="120"/>
              <w:spacing w:after="0" w:line="170"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right w:val="single" w:sz="8" w:color="auto"/>
            </w:tcBorders>
          </w:tcPr>
          <w:p>
            <w:pPr>
              <w:ind w:left="120"/>
              <w:spacing w:after="0" w:line="170"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right w:val="single" w:sz="8" w:color="auto"/>
            </w:tcBorders>
          </w:tcPr>
          <w:p>
            <w:pPr>
              <w:ind w:left="120"/>
              <w:spacing w:after="0" w:line="170"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right w:val="single" w:sz="8" w:color="auto"/>
            </w:tcBorders>
          </w:tcPr>
          <w:p>
            <w:pPr>
              <w:ind w:left="120"/>
              <w:spacing w:after="0" w:line="170"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right w:val="single" w:sz="8" w:color="auto"/>
            </w:tcBorders>
          </w:tcPr>
          <w:p>
            <w:pPr>
              <w:ind w:left="120"/>
              <w:spacing w:after="0" w:line="170"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16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right w:val="single" w:sz="8" w:color="auto"/>
            </w:tcBorders>
          </w:tcPr>
          <w:p>
            <w:pPr>
              <w:ind w:left="120"/>
              <w:spacing w:after="0" w:line="170"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right w:val="single" w:sz="8" w:color="auto"/>
            </w:tcBorders>
          </w:tcPr>
          <w:p>
            <w:pPr>
              <w:ind w:left="120"/>
              <w:spacing w:after="0" w:line="170"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right w:val="single" w:sz="8" w:color="auto"/>
            </w:tcBorders>
          </w:tcPr>
          <w:p>
            <w:pPr>
              <w:ind w:left="120"/>
              <w:spacing w:after="0" w:line="170"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right w:val="single" w:sz="8" w:color="auto"/>
            </w:tcBorders>
          </w:tcPr>
          <w:p>
            <w:pPr>
              <w:ind w:left="120"/>
              <w:spacing w:after="0" w:line="170"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right w:val="single" w:sz="8" w:color="auto"/>
            </w:tcBorders>
          </w:tcPr>
          <w:p>
            <w:pPr>
              <w:ind w:left="120"/>
              <w:spacing w:after="0" w:line="170"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right w:val="single" w:sz="8" w:color="auto"/>
            </w:tcBorders>
          </w:tcPr>
          <w:p>
            <w:pPr>
              <w:ind w:left="120"/>
              <w:spacing w:after="0" w:line="170"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right w:val="single" w:sz="8" w:color="auto"/>
            </w:tcBorders>
          </w:tcPr>
          <w:p>
            <w:pPr>
              <w:ind w:left="120"/>
              <w:spacing w:after="0" w:line="170"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480"/>
          </w:cols>
          <w:pgMar w:left="280" w:top="753" w:right="139" w:bottom="1440" w:gutter="0" w:footer="0" w:header="0"/>
        </w:sectPr>
      </w:pPr>
    </w:p>
    <w:bookmarkStart w:id="66" w:name="page67"/>
    <w:bookmarkEnd w:id="66"/>
    <w:p>
      <w:pPr>
        <w:spacing w:after="0"/>
        <w:rPr>
          <w:sz w:val="20"/>
          <w:szCs w:val="20"/>
          <w:color w:val="auto"/>
        </w:rPr>
      </w:pPr>
      <w:r>
        <w:rPr>
          <w:rFonts w:ascii="Arial" w:cs="Arial" w:eastAsia="Arial" w:hAnsi="Arial"/>
          <w:sz w:val="15"/>
          <w:szCs w:val="15"/>
          <w:b w:val="1"/>
          <w:bCs w:val="1"/>
          <w:color w:val="auto"/>
        </w:rPr>
        <w:t>Appendix 2</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931</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cost(NIS)</w:t>
            </w: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480"/>
          </w:cols>
          <w:pgMar w:left="280" w:top="753" w:right="139" w:bottom="1440" w:gutter="0" w:footer="0" w:header="0"/>
        </w:sectPr>
      </w:pPr>
    </w:p>
    <w:bookmarkStart w:id="67" w:name="page68"/>
    <w:bookmarkEnd w:id="67"/>
    <w:p>
      <w:pPr>
        <w:spacing w:after="0"/>
        <w:rPr>
          <w:sz w:val="20"/>
          <w:szCs w:val="20"/>
          <w:color w:val="auto"/>
        </w:rPr>
      </w:pPr>
      <w:r>
        <w:rPr>
          <w:rFonts w:ascii="Arial" w:cs="Arial" w:eastAsia="Arial" w:hAnsi="Arial"/>
          <w:sz w:val="15"/>
          <w:szCs w:val="15"/>
          <w:b w:val="1"/>
          <w:bCs w:val="1"/>
          <w:color w:val="auto"/>
        </w:rPr>
        <w:t>Appendix 2</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931</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cost(NIS)</w:t>
            </w: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480"/>
          </w:cols>
          <w:pgMar w:left="280" w:top="753" w:right="139" w:bottom="1440" w:gutter="0" w:footer="0" w:header="0"/>
        </w:sectPr>
      </w:pPr>
    </w:p>
    <w:bookmarkStart w:id="68" w:name="page69"/>
    <w:bookmarkEnd w:id="68"/>
    <w:p>
      <w:pPr>
        <w:spacing w:after="0"/>
        <w:rPr>
          <w:sz w:val="20"/>
          <w:szCs w:val="20"/>
          <w:color w:val="auto"/>
        </w:rPr>
      </w:pPr>
      <w:r>
        <w:rPr>
          <w:rFonts w:ascii="Arial" w:cs="Arial" w:eastAsia="Arial" w:hAnsi="Arial"/>
          <w:sz w:val="15"/>
          <w:szCs w:val="15"/>
          <w:b w:val="1"/>
          <w:bCs w:val="1"/>
          <w:color w:val="auto"/>
        </w:rPr>
        <w:t>Appendix 2</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931</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cost(NIS)</w:t>
            </w: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480"/>
          </w:cols>
          <w:pgMar w:left="280" w:top="753" w:right="139" w:bottom="1440" w:gutter="0" w:footer="0" w:header="0"/>
        </w:sectPr>
      </w:pPr>
    </w:p>
    <w:bookmarkStart w:id="69" w:name="page70"/>
    <w:bookmarkEnd w:id="69"/>
    <w:p>
      <w:pPr>
        <w:spacing w:after="0"/>
        <w:rPr>
          <w:sz w:val="20"/>
          <w:szCs w:val="20"/>
          <w:color w:val="auto"/>
        </w:rPr>
      </w:pPr>
      <w:r>
        <w:rPr>
          <w:rFonts w:ascii="Arial" w:cs="Arial" w:eastAsia="Arial" w:hAnsi="Arial"/>
          <w:sz w:val="15"/>
          <w:szCs w:val="15"/>
          <w:b w:val="1"/>
          <w:bCs w:val="1"/>
          <w:color w:val="auto"/>
        </w:rPr>
        <w:t>Appendix 2</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931</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cost(NIS)</w:t>
            </w: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480"/>
          </w:cols>
          <w:pgMar w:left="280" w:top="753" w:right="139" w:bottom="1440" w:gutter="0" w:footer="0" w:header="0"/>
        </w:sectPr>
      </w:pPr>
    </w:p>
    <w:bookmarkStart w:id="70" w:name="page71"/>
    <w:bookmarkEnd w:id="70"/>
    <w:p>
      <w:pPr>
        <w:spacing w:after="0"/>
        <w:rPr>
          <w:sz w:val="20"/>
          <w:szCs w:val="20"/>
          <w:color w:val="auto"/>
        </w:rPr>
      </w:pPr>
      <w:r>
        <w:rPr>
          <w:rFonts w:ascii="Arial" w:cs="Arial" w:eastAsia="Arial" w:hAnsi="Arial"/>
          <w:sz w:val="15"/>
          <w:szCs w:val="15"/>
          <w:b w:val="1"/>
          <w:bCs w:val="1"/>
          <w:color w:val="auto"/>
        </w:rPr>
        <w:t>Appendix 2</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931</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cost(NIS)</w:t>
            </w: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480"/>
          </w:cols>
          <w:pgMar w:left="280" w:top="753" w:right="139" w:bottom="1440" w:gutter="0" w:footer="0" w:header="0"/>
        </w:sectPr>
      </w:pPr>
    </w:p>
    <w:bookmarkStart w:id="71" w:name="page72"/>
    <w:bookmarkEnd w:id="71"/>
    <w:p>
      <w:pPr>
        <w:spacing w:after="0"/>
        <w:rPr>
          <w:sz w:val="20"/>
          <w:szCs w:val="20"/>
          <w:color w:val="auto"/>
        </w:rPr>
      </w:pPr>
      <w:r>
        <w:rPr>
          <w:rFonts w:ascii="Arial" w:cs="Arial" w:eastAsia="Arial" w:hAnsi="Arial"/>
          <w:sz w:val="15"/>
          <w:szCs w:val="15"/>
          <w:b w:val="1"/>
          <w:bCs w:val="1"/>
          <w:color w:val="auto"/>
        </w:rPr>
        <w:t>Appendix 2</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42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931</w:t>
            </w:r>
          </w:p>
        </w:tc>
        <w:tc>
          <w:tcPr>
            <w:tcW w:w="52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7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4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cost(NIS)</w:t>
            </w:r>
          </w:p>
        </w:tc>
        <w:tc>
          <w:tcPr>
            <w:tcW w:w="10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***Confidential treatment has been requested for redacted portions of this exhibit. This copy omits the information subject to the confidentiality request. Omissions are designated as [***].</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60"/>
          </w:cols>
          <w:pgMar w:left="280" w:top="753" w:right="259" w:bottom="1440" w:gutter="0" w:footer="0" w:header="0"/>
        </w:sectPr>
      </w:pPr>
    </w:p>
    <w:bookmarkStart w:id="72" w:name="page73"/>
    <w:bookmarkEnd w:id="72"/>
    <w:p>
      <w:pPr>
        <w:spacing w:after="0"/>
        <w:rPr>
          <w:sz w:val="20"/>
          <w:szCs w:val="20"/>
          <w:color w:val="auto"/>
        </w:rPr>
      </w:pPr>
      <w:r>
        <w:rPr>
          <w:rFonts w:ascii="Arial" w:cs="Arial" w:eastAsia="Arial" w:hAnsi="Arial"/>
          <w:sz w:val="15"/>
          <w:szCs w:val="15"/>
          <w:b w:val="1"/>
          <w:bCs w:val="1"/>
          <w:color w:val="auto"/>
        </w:rPr>
        <w:t>Appendix 2</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42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931</w:t>
            </w:r>
          </w:p>
        </w:tc>
        <w:tc>
          <w:tcPr>
            <w:tcW w:w="52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7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4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cost(NIS)</w:t>
            </w:r>
          </w:p>
        </w:tc>
        <w:tc>
          <w:tcPr>
            <w:tcW w:w="10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***Confidential treatment has been requested for redacted portions of this exhibit. This copy omits the information subject to the confidentiality request. Omissions are designated as [***].</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60"/>
          </w:cols>
          <w:pgMar w:left="280" w:top="753" w:right="259" w:bottom="1440" w:gutter="0" w:footer="0" w:header="0"/>
        </w:sectPr>
      </w:pPr>
    </w:p>
    <w:bookmarkStart w:id="73" w:name="page74"/>
    <w:bookmarkEnd w:id="73"/>
    <w:p>
      <w:pPr>
        <w:spacing w:after="0"/>
        <w:rPr>
          <w:sz w:val="20"/>
          <w:szCs w:val="20"/>
          <w:color w:val="auto"/>
        </w:rPr>
      </w:pPr>
      <w:r>
        <w:rPr>
          <w:rFonts w:ascii="Arial" w:cs="Arial" w:eastAsia="Arial" w:hAnsi="Arial"/>
          <w:sz w:val="15"/>
          <w:szCs w:val="15"/>
          <w:b w:val="1"/>
          <w:bCs w:val="1"/>
          <w:color w:val="auto"/>
        </w:rPr>
        <w:t>Appendix 2</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931</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cost(NIS)</w:t>
            </w: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480"/>
          </w:cols>
          <w:pgMar w:left="280" w:top="753" w:right="139" w:bottom="1440" w:gutter="0" w:footer="0" w:header="0"/>
        </w:sectPr>
      </w:pPr>
    </w:p>
    <w:bookmarkStart w:id="74" w:name="page75"/>
    <w:bookmarkEnd w:id="74"/>
    <w:p>
      <w:pPr>
        <w:spacing w:after="0"/>
        <w:rPr>
          <w:sz w:val="20"/>
          <w:szCs w:val="20"/>
          <w:color w:val="auto"/>
        </w:rPr>
      </w:pPr>
      <w:r>
        <w:rPr>
          <w:rFonts w:ascii="Arial" w:cs="Arial" w:eastAsia="Arial" w:hAnsi="Arial"/>
          <w:sz w:val="15"/>
          <w:szCs w:val="15"/>
          <w:b w:val="1"/>
          <w:bCs w:val="1"/>
          <w:color w:val="auto"/>
        </w:rPr>
        <w:t>Appendix 3</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NON-DISCLOSURE; PROPRIETARY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AND NON COMPETITION AGREEMENT</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This Confidential Non-Disclosure Proprietary and Non-Competition Agreement (this “</w:t>
      </w:r>
      <w:r>
        <w:rPr>
          <w:rFonts w:ascii="Arial" w:cs="Arial" w:eastAsia="Arial" w:hAnsi="Arial"/>
          <w:sz w:val="15"/>
          <w:szCs w:val="15"/>
          <w:b w:val="1"/>
          <w:bCs w:val="1"/>
          <w:color w:val="auto"/>
        </w:rPr>
        <w:t>Agreement</w:t>
      </w:r>
      <w:r>
        <w:rPr>
          <w:rFonts w:ascii="Arial" w:cs="Arial" w:eastAsia="Arial" w:hAnsi="Arial"/>
          <w:sz w:val="15"/>
          <w:szCs w:val="15"/>
          <w:color w:val="auto"/>
        </w:rPr>
        <w:t xml:space="preserve">”) is entered into this 19 November, 2014 by and between </w:t>
      </w:r>
      <w:r>
        <w:rPr>
          <w:rFonts w:ascii="Arial" w:cs="Arial" w:eastAsia="Arial" w:hAnsi="Arial"/>
          <w:sz w:val="15"/>
          <w:szCs w:val="15"/>
          <w:b w:val="1"/>
          <w:bCs w:val="1"/>
          <w:color w:val="auto"/>
        </w:rPr>
        <w:t>Kornit Digital Technologies</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Ltd. </w:t>
      </w:r>
      <w:r>
        <w:rPr>
          <w:rFonts w:ascii="Arial" w:cs="Arial" w:eastAsia="Arial" w:hAnsi="Arial"/>
          <w:sz w:val="15"/>
          <w:szCs w:val="15"/>
          <w:color w:val="auto"/>
        </w:rPr>
        <w:t>(collectively, the “</w:t>
      </w:r>
      <w:r>
        <w:rPr>
          <w:rFonts w:ascii="Arial" w:cs="Arial" w:eastAsia="Arial" w:hAnsi="Arial"/>
          <w:sz w:val="15"/>
          <w:szCs w:val="15"/>
          <w:b w:val="1"/>
          <w:bCs w:val="1"/>
          <w:color w:val="auto"/>
        </w:rPr>
        <w:t>Company</w:t>
      </w:r>
      <w:r>
        <w:rPr>
          <w:rFonts w:ascii="Arial" w:cs="Arial" w:eastAsia="Arial" w:hAnsi="Arial"/>
          <w:sz w:val="15"/>
          <w:szCs w:val="15"/>
          <w:color w:val="auto"/>
        </w:rPr>
        <w:t>”) and ITS Industrial Techno-logic Solutions Ltd. (which will be referred to herein as the “</w:t>
      </w:r>
      <w:r>
        <w:rPr>
          <w:rFonts w:ascii="Arial" w:cs="Arial" w:eastAsia="Arial" w:hAnsi="Arial"/>
          <w:sz w:val="15"/>
          <w:szCs w:val="15"/>
          <w:b w:val="1"/>
          <w:bCs w:val="1"/>
          <w:color w:val="auto"/>
        </w:rPr>
        <w:t>Recipient</w:t>
      </w:r>
      <w:r>
        <w:rPr>
          <w:rFonts w:ascii="Arial" w:cs="Arial" w:eastAsia="Arial" w:hAnsi="Arial"/>
          <w:sz w:val="15"/>
          <w:szCs w:val="15"/>
          <w:color w:val="auto"/>
        </w:rPr>
        <w:t>”). Each of Company and the Recipient shall be</w:t>
      </w:r>
      <w:r>
        <w:rPr>
          <w:rFonts w:ascii="Arial" w:cs="Arial" w:eastAsia="Arial" w:hAnsi="Arial"/>
          <w:sz w:val="15"/>
          <w:szCs w:val="15"/>
          <w:b w:val="1"/>
          <w:bCs w:val="1"/>
          <w:color w:val="auto"/>
        </w:rPr>
        <w:t xml:space="preserve"> </w:t>
      </w:r>
      <w:r>
        <w:rPr>
          <w:rFonts w:ascii="Arial" w:cs="Arial" w:eastAsia="Arial" w:hAnsi="Arial"/>
          <w:sz w:val="15"/>
          <w:szCs w:val="15"/>
          <w:color w:val="auto"/>
        </w:rPr>
        <w:t>referred to as “a Party”, and both Company and Recipient shall jointly hereinafter be referred to as “the Parties”.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WITNESSETH</w:t>
      </w:r>
    </w:p>
    <w:p>
      <w:pPr>
        <w:sectPr>
          <w:pgSz w:w="11900" w:h="16838" w:orient="portrait"/>
          <w:cols w:equalWidth="0" w:num="1">
            <w:col w:w="11340"/>
          </w:cols>
          <w:pgMar w:left="280" w:top="753" w:right="279" w:bottom="1440" w:gutter="0" w:footer="0" w:header="0"/>
        </w:sectPr>
      </w:pPr>
    </w:p>
    <w:p>
      <w:pPr>
        <w:spacing w:after="0" w:line="186"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WHEREAS</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both"/>
        <w:ind w:right="100"/>
        <w:spacing w:after="0" w:line="264" w:lineRule="auto"/>
        <w:rPr>
          <w:sz w:val="20"/>
          <w:szCs w:val="20"/>
          <w:color w:val="auto"/>
        </w:rPr>
      </w:pPr>
      <w:r>
        <w:rPr>
          <w:rFonts w:ascii="Arial" w:cs="Arial" w:eastAsia="Arial" w:hAnsi="Arial"/>
          <w:sz w:val="15"/>
          <w:szCs w:val="15"/>
          <w:color w:val="auto"/>
        </w:rPr>
        <w:t>the Company and the Recipient have entered into a Services Agreement, dated May 24, 2009 (the “</w:t>
      </w:r>
      <w:r>
        <w:rPr>
          <w:rFonts w:ascii="Arial" w:cs="Arial" w:eastAsia="Arial" w:hAnsi="Arial"/>
          <w:sz w:val="15"/>
          <w:szCs w:val="15"/>
          <w:b w:val="1"/>
          <w:bCs w:val="1"/>
          <w:color w:val="auto"/>
        </w:rPr>
        <w:t>Previous Services Agreement</w:t>
      </w:r>
      <w:r>
        <w:rPr>
          <w:rFonts w:ascii="Arial" w:cs="Arial" w:eastAsia="Arial" w:hAnsi="Arial"/>
          <w:sz w:val="15"/>
          <w:szCs w:val="15"/>
          <w:color w:val="auto"/>
        </w:rPr>
        <w:t>”) which was replaced by the parties by an agreement dated 19 November, 2014, so that the Previous Service Agreement has been terminated and is no longer in force and effect; and</w:t>
      </w:r>
    </w:p>
    <w:p>
      <w:pPr>
        <w:spacing w:after="0" w:line="59" w:lineRule="exact"/>
        <w:rPr>
          <w:sz w:val="20"/>
          <w:szCs w:val="20"/>
          <w:color w:val="auto"/>
        </w:rPr>
      </w:pPr>
    </w:p>
    <w:p>
      <w:pPr>
        <w:sectPr>
          <w:pgSz w:w="11900" w:h="16838" w:orient="portrait"/>
          <w:cols w:equalWidth="0" w:num="2">
            <w:col w:w="1420" w:space="720"/>
            <w:col w:w="9200"/>
          </w:cols>
          <w:pgMar w:left="280" w:top="753" w:right="279" w:bottom="1440" w:gutter="0" w:footer="0" w:header="0"/>
          <w:type w:val="continuous"/>
        </w:sectPr>
      </w:pPr>
    </w:p>
    <w:p>
      <w:pPr>
        <w:ind w:left="100"/>
        <w:spacing w:after="0"/>
        <w:rPr>
          <w:sz w:val="20"/>
          <w:szCs w:val="20"/>
          <w:color w:val="auto"/>
        </w:rPr>
      </w:pPr>
      <w:r>
        <w:rPr>
          <w:rFonts w:ascii="Arial" w:cs="Arial" w:eastAsia="Arial" w:hAnsi="Arial"/>
          <w:sz w:val="14"/>
          <w:szCs w:val="14"/>
          <w:b w:val="1"/>
          <w:bCs w:val="1"/>
          <w:color w:val="auto"/>
        </w:rPr>
        <w:t>WHEREAS</w:t>
      </w:r>
    </w:p>
    <w:p>
      <w:pPr>
        <w:spacing w:after="0" w:line="20" w:lineRule="exact"/>
        <w:rPr>
          <w:sz w:val="20"/>
          <w:szCs w:val="20"/>
          <w:color w:val="auto"/>
        </w:rPr>
      </w:pPr>
      <w:r>
        <w:rPr>
          <w:sz w:val="20"/>
          <w:szCs w:val="20"/>
          <w:color w:val="auto"/>
        </w:rPr>
        <w:br w:type="column"/>
      </w:r>
    </w:p>
    <w:p>
      <w:pPr>
        <w:ind w:right="100"/>
        <w:spacing w:after="0" w:line="272" w:lineRule="auto"/>
        <w:rPr>
          <w:sz w:val="20"/>
          <w:szCs w:val="20"/>
          <w:color w:val="auto"/>
        </w:rPr>
      </w:pPr>
      <w:r>
        <w:rPr>
          <w:rFonts w:ascii="Arial" w:cs="Arial" w:eastAsia="Arial" w:hAnsi="Arial"/>
          <w:sz w:val="15"/>
          <w:szCs w:val="15"/>
          <w:color w:val="auto"/>
        </w:rPr>
        <w:t>the Recipient has been exposed and had access to confidential and/or proprietary information and technology of the Company as a result of providing services pursuant to the Previous Services Agreement; and</w:t>
      </w:r>
    </w:p>
    <w:p>
      <w:pPr>
        <w:spacing w:after="0" w:line="54" w:lineRule="exact"/>
        <w:rPr>
          <w:sz w:val="20"/>
          <w:szCs w:val="20"/>
          <w:color w:val="auto"/>
        </w:rPr>
      </w:pPr>
    </w:p>
    <w:p>
      <w:pPr>
        <w:sectPr>
          <w:pgSz w:w="11900" w:h="16838" w:orient="portrait"/>
          <w:cols w:equalWidth="0" w:num="2">
            <w:col w:w="1420" w:space="720"/>
            <w:col w:w="9200"/>
          </w:cols>
          <w:pgMar w:left="280" w:top="753" w:right="279" w:bottom="1440" w:gutter="0" w:footer="0" w:header="0"/>
          <w:type w:val="continuous"/>
        </w:sectPr>
      </w:pPr>
    </w:p>
    <w:p>
      <w:pPr>
        <w:ind w:left="100"/>
        <w:spacing w:after="0"/>
        <w:rPr>
          <w:sz w:val="20"/>
          <w:szCs w:val="20"/>
          <w:color w:val="auto"/>
        </w:rPr>
      </w:pPr>
      <w:r>
        <w:rPr>
          <w:rFonts w:ascii="Arial" w:cs="Arial" w:eastAsia="Arial" w:hAnsi="Arial"/>
          <w:sz w:val="14"/>
          <w:szCs w:val="14"/>
          <w:b w:val="1"/>
          <w:bCs w:val="1"/>
          <w:color w:val="auto"/>
        </w:rPr>
        <w:t>WHEREAS</w:t>
      </w:r>
    </w:p>
    <w:p>
      <w:pPr>
        <w:spacing w:after="0" w:line="20" w:lineRule="exact"/>
        <w:rPr>
          <w:sz w:val="20"/>
          <w:szCs w:val="20"/>
          <w:color w:val="auto"/>
        </w:rPr>
      </w:pPr>
      <w:r>
        <w:rPr>
          <w:sz w:val="20"/>
          <w:szCs w:val="20"/>
          <w:color w:val="auto"/>
        </w:rPr>
        <w:br w:type="column"/>
      </w:r>
    </w:p>
    <w:p>
      <w:pPr>
        <w:jc w:val="both"/>
        <w:ind w:right="100"/>
        <w:spacing w:after="0" w:line="281" w:lineRule="auto"/>
        <w:rPr>
          <w:sz w:val="20"/>
          <w:szCs w:val="20"/>
          <w:color w:val="auto"/>
        </w:rPr>
      </w:pPr>
      <w:r>
        <w:rPr>
          <w:rFonts w:ascii="Arial" w:cs="Arial" w:eastAsia="Arial" w:hAnsi="Arial"/>
          <w:sz w:val="14"/>
          <w:szCs w:val="14"/>
          <w:color w:val="auto"/>
        </w:rPr>
        <w:t>the Recipient will be exposed and have access to confidential and/or proprietary information and technology of the Company for purposes of providing certain services under a services agreement dated 19 November, 2014 (the “</w:t>
      </w:r>
      <w:r>
        <w:rPr>
          <w:rFonts w:ascii="Arial" w:cs="Arial" w:eastAsia="Arial" w:hAnsi="Arial"/>
          <w:sz w:val="14"/>
          <w:szCs w:val="14"/>
          <w:b w:val="1"/>
          <w:bCs w:val="1"/>
          <w:color w:val="auto"/>
        </w:rPr>
        <w:t>Services Agreement</w:t>
      </w:r>
      <w:r>
        <w:rPr>
          <w:rFonts w:ascii="Arial" w:cs="Arial" w:eastAsia="Arial" w:hAnsi="Arial"/>
          <w:sz w:val="14"/>
          <w:szCs w:val="14"/>
          <w:color w:val="auto"/>
        </w:rPr>
        <w:t>”) to which this Agreement constitutes a schedule (the Service Agreement including all appendices replaces the Previous Services Agreement in its entirety) and is executed in order to allow each of the Parties to execute their undertakings under the Service Agreement (the “</w:t>
      </w:r>
      <w:r>
        <w:rPr>
          <w:rFonts w:ascii="Arial" w:cs="Arial" w:eastAsia="Arial" w:hAnsi="Arial"/>
          <w:sz w:val="14"/>
          <w:szCs w:val="14"/>
          <w:b w:val="1"/>
          <w:bCs w:val="1"/>
          <w:color w:val="auto"/>
        </w:rPr>
        <w:t>Purposes</w:t>
      </w:r>
      <w:r>
        <w:rPr>
          <w:rFonts w:ascii="Arial" w:cs="Arial" w:eastAsia="Arial" w:hAnsi="Arial"/>
          <w:sz w:val="14"/>
          <w:szCs w:val="14"/>
          <w:color w:val="auto"/>
        </w:rPr>
        <w:t>”); and</w:t>
      </w:r>
    </w:p>
    <w:p>
      <w:pPr>
        <w:spacing w:after="0" w:line="49" w:lineRule="exact"/>
        <w:rPr>
          <w:sz w:val="20"/>
          <w:szCs w:val="20"/>
          <w:color w:val="auto"/>
        </w:rPr>
      </w:pPr>
    </w:p>
    <w:p>
      <w:pPr>
        <w:sectPr>
          <w:pgSz w:w="11900" w:h="16838" w:orient="portrait"/>
          <w:cols w:equalWidth="0" w:num="2">
            <w:col w:w="1420" w:space="720"/>
            <w:col w:w="9200"/>
          </w:cols>
          <w:pgMar w:left="280" w:top="753" w:right="279" w:bottom="1440" w:gutter="0" w:footer="0" w:header="0"/>
          <w:type w:val="continuous"/>
        </w:sectPr>
      </w:pPr>
    </w:p>
    <w:p>
      <w:pPr>
        <w:ind w:left="100"/>
        <w:spacing w:after="0"/>
        <w:rPr>
          <w:sz w:val="20"/>
          <w:szCs w:val="20"/>
          <w:color w:val="auto"/>
        </w:rPr>
      </w:pPr>
      <w:r>
        <w:rPr>
          <w:rFonts w:ascii="Arial" w:cs="Arial" w:eastAsia="Arial" w:hAnsi="Arial"/>
          <w:sz w:val="14"/>
          <w:szCs w:val="14"/>
          <w:b w:val="1"/>
          <w:bCs w:val="1"/>
          <w:color w:val="auto"/>
        </w:rPr>
        <w:t>WHEREAS</w:t>
      </w:r>
    </w:p>
    <w:p>
      <w:pPr>
        <w:spacing w:after="0" w:line="20" w:lineRule="exact"/>
        <w:rPr>
          <w:sz w:val="20"/>
          <w:szCs w:val="20"/>
          <w:color w:val="auto"/>
        </w:rPr>
      </w:pPr>
      <w:r>
        <w:rPr>
          <w:sz w:val="20"/>
          <w:szCs w:val="20"/>
          <w:color w:val="auto"/>
        </w:rPr>
        <w:br w:type="column"/>
      </w:r>
    </w:p>
    <w:p>
      <w:pPr>
        <w:ind w:right="100"/>
        <w:spacing w:after="0" w:line="272" w:lineRule="auto"/>
        <w:rPr>
          <w:sz w:val="20"/>
          <w:szCs w:val="20"/>
          <w:color w:val="auto"/>
        </w:rPr>
      </w:pPr>
      <w:r>
        <w:rPr>
          <w:rFonts w:ascii="Arial" w:cs="Arial" w:eastAsia="Arial" w:hAnsi="Arial"/>
          <w:sz w:val="15"/>
          <w:szCs w:val="15"/>
          <w:color w:val="auto"/>
        </w:rPr>
        <w:t>in order to allow continued exposure and access, the parties hereto desire to undertake certain obligations of confidentiality, non-disclosure as set forth herein; and</w:t>
      </w:r>
    </w:p>
    <w:p>
      <w:pPr>
        <w:spacing w:after="0" w:line="54" w:lineRule="exact"/>
        <w:rPr>
          <w:sz w:val="20"/>
          <w:szCs w:val="20"/>
          <w:color w:val="auto"/>
        </w:rPr>
      </w:pPr>
    </w:p>
    <w:p>
      <w:pPr>
        <w:sectPr>
          <w:pgSz w:w="11900" w:h="16838" w:orient="portrait"/>
          <w:cols w:equalWidth="0" w:num="2">
            <w:col w:w="1420" w:space="720"/>
            <w:col w:w="9200"/>
          </w:cols>
          <w:pgMar w:left="280" w:top="753" w:right="279" w:bottom="1440" w:gutter="0" w:footer="0" w:header="0"/>
          <w:type w:val="continuous"/>
        </w:sectPr>
      </w:pPr>
    </w:p>
    <w:p>
      <w:pPr>
        <w:ind w:left="100"/>
        <w:spacing w:after="0"/>
        <w:rPr>
          <w:sz w:val="20"/>
          <w:szCs w:val="20"/>
          <w:color w:val="auto"/>
        </w:rPr>
      </w:pPr>
      <w:r>
        <w:rPr>
          <w:rFonts w:ascii="Arial" w:cs="Arial" w:eastAsia="Arial" w:hAnsi="Arial"/>
          <w:sz w:val="14"/>
          <w:szCs w:val="14"/>
          <w:b w:val="1"/>
          <w:bCs w:val="1"/>
          <w:color w:val="auto"/>
        </w:rPr>
        <w:t>WHEREAS</w:t>
      </w:r>
    </w:p>
    <w:p>
      <w:pPr>
        <w:spacing w:after="0" w:line="20" w:lineRule="exact"/>
        <w:rPr>
          <w:sz w:val="20"/>
          <w:szCs w:val="20"/>
          <w:color w:val="auto"/>
        </w:rPr>
      </w:pPr>
      <w:r>
        <w:rPr>
          <w:sz w:val="20"/>
          <w:szCs w:val="20"/>
          <w:color w:val="auto"/>
        </w:rPr>
        <w:br w:type="column"/>
      </w:r>
    </w:p>
    <w:p>
      <w:pPr>
        <w:ind w:right="100"/>
        <w:spacing w:after="0" w:line="272" w:lineRule="auto"/>
        <w:rPr>
          <w:sz w:val="20"/>
          <w:szCs w:val="20"/>
          <w:color w:val="auto"/>
        </w:rPr>
      </w:pPr>
      <w:r>
        <w:rPr>
          <w:rFonts w:ascii="Arial" w:cs="Arial" w:eastAsia="Arial" w:hAnsi="Arial"/>
          <w:sz w:val="15"/>
          <w:szCs w:val="15"/>
          <w:color w:val="auto"/>
        </w:rPr>
        <w:t>the Recipient is a well-known contractor in the digital printing industry, specialized in turn key assembly solutions, with a current know how and expertise in digital printing.</w:t>
      </w:r>
    </w:p>
    <w:p>
      <w:pPr>
        <w:spacing w:after="0" w:line="200" w:lineRule="exact"/>
        <w:rPr>
          <w:sz w:val="20"/>
          <w:szCs w:val="20"/>
          <w:color w:val="auto"/>
        </w:rPr>
      </w:pPr>
    </w:p>
    <w:p>
      <w:pPr>
        <w:sectPr>
          <w:pgSz w:w="11900" w:h="16838" w:orient="portrait"/>
          <w:cols w:equalWidth="0" w:num="2">
            <w:col w:w="1420" w:space="720"/>
            <w:col w:w="9200"/>
          </w:cols>
          <w:pgMar w:left="280" w:top="753" w:right="279" w:bottom="1440" w:gutter="0" w:footer="0" w:header="0"/>
          <w:type w:val="continuous"/>
        </w:sectPr>
      </w:pP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NOW THEREFORE; </w:t>
      </w:r>
      <w:r>
        <w:rPr>
          <w:rFonts w:ascii="Arial" w:cs="Arial" w:eastAsia="Arial" w:hAnsi="Arial"/>
          <w:sz w:val="15"/>
          <w:szCs w:val="15"/>
          <w:color w:val="auto"/>
        </w:rPr>
        <w:t>in consideration of the mutual undertakings and promises herein, the parties hereto hereby agree as follows:</w:t>
      </w:r>
    </w:p>
    <w:p>
      <w:pPr>
        <w:spacing w:after="0" w:line="186" w:lineRule="exact"/>
        <w:rPr>
          <w:sz w:val="20"/>
          <w:szCs w:val="20"/>
          <w:color w:val="auto"/>
        </w:rPr>
      </w:pPr>
    </w:p>
    <w:p>
      <w:pPr>
        <w:ind w:left="540" w:hanging="531"/>
        <w:spacing w:after="0"/>
        <w:tabs>
          <w:tab w:leader="none" w:pos="540" w:val="left"/>
        </w:tabs>
        <w:numPr>
          <w:ilvl w:val="0"/>
          <w:numId w:val="57"/>
        </w:numPr>
        <w:rPr>
          <w:rFonts w:ascii="Arial" w:cs="Arial" w:eastAsia="Arial" w:hAnsi="Arial"/>
          <w:sz w:val="15"/>
          <w:szCs w:val="15"/>
          <w:color w:val="auto"/>
        </w:rPr>
      </w:pPr>
      <w:r>
        <w:rPr>
          <w:rFonts w:ascii="Arial" w:cs="Arial" w:eastAsia="Arial" w:hAnsi="Arial"/>
          <w:sz w:val="15"/>
          <w:szCs w:val="15"/>
          <w:b w:val="1"/>
          <w:bCs w:val="1"/>
          <w:u w:val="single" w:color="auto"/>
          <w:color w:val="auto"/>
        </w:rPr>
        <w:t>Confidential Information</w:t>
      </w:r>
    </w:p>
    <w:p>
      <w:pPr>
        <w:spacing w:after="0" w:line="190" w:lineRule="exact"/>
        <w:rPr>
          <w:rFonts w:ascii="Arial" w:cs="Arial" w:eastAsia="Arial" w:hAnsi="Arial"/>
          <w:sz w:val="15"/>
          <w:szCs w:val="15"/>
          <w:color w:val="auto"/>
        </w:rPr>
      </w:pPr>
    </w:p>
    <w:p>
      <w:pPr>
        <w:ind w:left="1080" w:hanging="538"/>
        <w:spacing w:after="0" w:line="252" w:lineRule="auto"/>
        <w:rPr>
          <w:rFonts w:ascii="Arial" w:cs="Arial" w:eastAsia="Arial" w:hAnsi="Arial"/>
          <w:sz w:val="15"/>
          <w:szCs w:val="15"/>
          <w:color w:val="auto"/>
        </w:rPr>
      </w:pPr>
      <w:r>
        <w:rPr>
          <w:rFonts w:ascii="Arial" w:cs="Arial" w:eastAsia="Arial" w:hAnsi="Arial"/>
          <w:sz w:val="15"/>
          <w:szCs w:val="15"/>
          <w:color w:val="auto"/>
        </w:rPr>
        <w:t>1.1.In this Agreement, the term “Information” shall mean any and all any document, material, idea, data or other information which relates to a Party’s research and development, trade secrets or business affairs which is marked as confidential and disclosed by a Party to the other Party, and any confidential and/or proprietary information and technology owned by said Party to this Agreement, in whatever form, including but not limited to any and all formulae, specifications, prototypes, designs, equipment, samples, analyses, computer programs, trade secrets, data, methods, techniques, developments, processes, prices, memoranda, notes, marketing and customer information, projections and any other data or information (in whatever form), as well as improvements and know-how related thereto, relating to or concerning the said Party’s technology, names and lists of suppliers, clients, research and development activities and products, and any other commercial, financial and/or technological information. Information shall be deemed to include any and all information which has been or may be disclosed, directly or indirectly, by or on behalf of said Party's, irrespective of form.</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280" w:top="753" w:right="279" w:bottom="1440" w:gutter="0" w:footer="0" w:header="0"/>
          <w:type w:val="continuous"/>
        </w:sectPr>
      </w:pPr>
    </w:p>
    <w:bookmarkStart w:id="75" w:name="page76"/>
    <w:bookmarkEnd w:id="75"/>
    <w:p>
      <w:pPr>
        <w:jc w:val="both"/>
        <w:ind w:left="1080" w:hanging="537"/>
        <w:spacing w:after="0" w:line="277" w:lineRule="auto"/>
        <w:tabs>
          <w:tab w:leader="none" w:pos="1060" w:val="left"/>
        </w:tabs>
        <w:rPr>
          <w:sz w:val="20"/>
          <w:szCs w:val="20"/>
          <w:color w:val="auto"/>
        </w:rPr>
      </w:pPr>
      <w:r>
        <w:rPr>
          <w:rFonts w:ascii="Arial" w:cs="Arial" w:eastAsia="Arial" w:hAnsi="Arial"/>
          <w:sz w:val="15"/>
          <w:szCs w:val="15"/>
          <w:color w:val="auto"/>
        </w:rPr>
        <w:t>1.2.</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color w:val="auto"/>
        </w:rPr>
        <w:t>Information</w:t>
      </w:r>
      <w:r>
        <w:rPr>
          <w:rFonts w:ascii="Arial" w:cs="Arial" w:eastAsia="Arial" w:hAnsi="Arial"/>
          <w:sz w:val="14"/>
          <w:szCs w:val="14"/>
          <w:color w:val="auto"/>
        </w:rPr>
        <w:t>” shall not include information that (a) was independently developed by the other Party prior to its disclosure by the disclosing Party other than through disclosure of such information by the disclosing Party to the Receiving Party; (b) shall have become a part of the public knowledge except as a result of breach of this Agreement by the receiving Party ; (c) is approved in writing by the disclosing Party for release by the receiving Party; or (d) pursuant to a valid order issued by a court of or government agency of competent jurisdiction over the receiving Party, provided that the receiving Party provides the disclosing Party: (i) where possible, prior written notice of such obligation, and (ii) shall cooperate with the disclosing Party regarding such disclosure, provided however, that nothing contained herein shall in any way interfere with receiving Party’s compliance with the provisions of any relevant law and/or order and/or injunction.</w:t>
      </w:r>
    </w:p>
    <w:p>
      <w:pPr>
        <w:spacing w:after="0" w:line="141" w:lineRule="exact"/>
        <w:rPr>
          <w:sz w:val="20"/>
          <w:szCs w:val="20"/>
          <w:color w:val="auto"/>
        </w:rPr>
      </w:pPr>
    </w:p>
    <w:p>
      <w:pPr>
        <w:ind w:left="800" w:hanging="544"/>
        <w:spacing w:after="0"/>
        <w:tabs>
          <w:tab w:leader="none" w:pos="800" w:val="left"/>
        </w:tabs>
        <w:numPr>
          <w:ilvl w:val="0"/>
          <w:numId w:val="58"/>
        </w:numPr>
        <w:rPr>
          <w:rFonts w:ascii="Arial" w:cs="Arial" w:eastAsia="Arial" w:hAnsi="Arial"/>
          <w:sz w:val="15"/>
          <w:szCs w:val="15"/>
          <w:color w:val="auto"/>
        </w:rPr>
      </w:pPr>
      <w:r>
        <w:rPr>
          <w:rFonts w:ascii="Arial" w:cs="Arial" w:eastAsia="Arial" w:hAnsi="Arial"/>
          <w:sz w:val="15"/>
          <w:szCs w:val="15"/>
          <w:b w:val="1"/>
          <w:bCs w:val="1"/>
          <w:u w:val="single" w:color="auto"/>
          <w:color w:val="auto"/>
        </w:rPr>
        <w:t>Obligations of Confidentiality</w:t>
      </w:r>
    </w:p>
    <w:p>
      <w:pPr>
        <w:spacing w:after="0" w:line="392" w:lineRule="exact"/>
        <w:rPr>
          <w:sz w:val="20"/>
          <w:szCs w:val="20"/>
          <w:color w:val="auto"/>
        </w:rPr>
      </w:pPr>
    </w:p>
    <w:p>
      <w:pPr>
        <w:jc w:val="both"/>
        <w:ind w:left="1080" w:hanging="537"/>
        <w:spacing w:after="0" w:line="253" w:lineRule="auto"/>
        <w:tabs>
          <w:tab w:leader="none" w:pos="1060" w:val="left"/>
        </w:tabs>
        <w:rPr>
          <w:sz w:val="20"/>
          <w:szCs w:val="20"/>
          <w:color w:val="auto"/>
        </w:rPr>
      </w:pPr>
      <w:r>
        <w:rPr>
          <w:rFonts w:ascii="Arial" w:cs="Arial" w:eastAsia="Arial" w:hAnsi="Arial"/>
          <w:sz w:val="15"/>
          <w:szCs w:val="15"/>
          <w:color w:val="auto"/>
        </w:rPr>
        <w:t>2.1.</w:t>
      </w:r>
      <w:r>
        <w:rPr>
          <w:sz w:val="20"/>
          <w:szCs w:val="20"/>
          <w:color w:val="auto"/>
        </w:rPr>
        <w:tab/>
      </w:r>
      <w:r>
        <w:rPr>
          <w:rFonts w:ascii="Arial" w:cs="Arial" w:eastAsia="Arial" w:hAnsi="Arial"/>
          <w:sz w:val="15"/>
          <w:szCs w:val="15"/>
          <w:color w:val="auto"/>
        </w:rPr>
        <w:t>The Recipient agrees to treat all Information disclosed to it by the Company as strictly confidential and not to exploit or make use, directly or indirectly, of such Company Information without the express written consent of the Company, except for the Purposes. The Recipient shall only make the Company Information available to its employees who have a “need to know” in order to carry out the Purposes authorized herein and who have, prior to any such disclosure of Information signed a non-disclosure agreement containing terms at least as restrictive as the terms contained herein. Recipient shall assume full responsibility for enforcing this Agreement, shall be responsible for any breach of this Agreement by its employees and shall take appropriate measures with its employees to ensure that such persons are bound by a like covenant of secrecy, including but not limited to informing any employee of Recipient receiving such Company Information that such Company Information shall not be disclosed except as provided herein.</w:t>
      </w:r>
    </w:p>
    <w:p>
      <w:pPr>
        <w:spacing w:after="0" w:line="162" w:lineRule="exact"/>
        <w:rPr>
          <w:sz w:val="20"/>
          <w:szCs w:val="20"/>
          <w:color w:val="auto"/>
        </w:rPr>
      </w:pPr>
    </w:p>
    <w:p>
      <w:pPr>
        <w:jc w:val="both"/>
        <w:ind w:left="1080" w:hanging="537"/>
        <w:spacing w:after="0" w:line="257" w:lineRule="auto"/>
        <w:tabs>
          <w:tab w:leader="none" w:pos="1060" w:val="left"/>
        </w:tabs>
        <w:rPr>
          <w:sz w:val="20"/>
          <w:szCs w:val="20"/>
          <w:color w:val="auto"/>
        </w:rPr>
      </w:pPr>
      <w:r>
        <w:rPr>
          <w:rFonts w:ascii="Arial" w:cs="Arial" w:eastAsia="Arial" w:hAnsi="Arial"/>
          <w:sz w:val="15"/>
          <w:szCs w:val="15"/>
          <w:color w:val="auto"/>
        </w:rPr>
        <w:t>2.2.</w:t>
      </w:r>
      <w:r>
        <w:rPr>
          <w:sz w:val="20"/>
          <w:szCs w:val="20"/>
          <w:color w:val="auto"/>
        </w:rPr>
        <w:tab/>
      </w:r>
      <w:r>
        <w:rPr>
          <w:rFonts w:ascii="Arial" w:cs="Arial" w:eastAsia="Arial" w:hAnsi="Arial"/>
          <w:sz w:val="15"/>
          <w:szCs w:val="15"/>
          <w:color w:val="auto"/>
        </w:rPr>
        <w:t>The Recipient hereby agree to refrain from analyzing or attempting to analyze samples provided by the Company under this Agreement containing the Company Information in order to determine the construction, code, algorithm or topology (composition, formula or specifications) thereof, either by itself or through any third party. The Recipient shall not reverse- engineer, decompile, or disassemble any and all Company Information and technology disclosed to it by the Company under this Agreement.</w:t>
      </w:r>
    </w:p>
    <w:p>
      <w:pPr>
        <w:sectPr>
          <w:pgSz w:w="11900" w:h="16838" w:orient="portrait"/>
          <w:cols w:equalWidth="0" w:num="1">
            <w:col w:w="11340"/>
          </w:cols>
          <w:pgMar w:left="280" w:top="596" w:right="279" w:bottom="1440" w:gutter="0" w:footer="0" w:header="0"/>
        </w:sectPr>
      </w:pP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KORNIT DIGITAL TECHNOLOGIES LTD.</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ITS INDUSTRIAL TECHNO-</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LOGIC SOLUTIONS LTD</w:t>
      </w:r>
    </w:p>
    <w:p>
      <w:pPr>
        <w:spacing w:after="0" w:line="200" w:lineRule="exact"/>
        <w:rPr>
          <w:sz w:val="20"/>
          <w:szCs w:val="20"/>
          <w:color w:val="auto"/>
        </w:rPr>
      </w:pPr>
    </w:p>
    <w:p>
      <w:pPr>
        <w:sectPr>
          <w:pgSz w:w="11900" w:h="16838" w:orient="portrait"/>
          <w:cols w:equalWidth="0" w:num="2">
            <w:col w:w="7220" w:space="720"/>
            <w:col w:w="3400"/>
          </w:cols>
          <w:pgMar w:left="280" w:top="596" w:right="279" w:bottom="1440" w:gutter="0" w:footer="0" w:header="0"/>
          <w:type w:val="continuous"/>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40"/>
          </w:cols>
          <w:pgMar w:left="280" w:top="596" w:right="279" w:bottom="1440" w:gutter="0" w:footer="0" w:header="0"/>
          <w:type w:val="continuous"/>
        </w:sectPr>
      </w:pPr>
    </w:p>
    <w:bookmarkStart w:id="76" w:name="page77"/>
    <w:bookmarkEnd w:id="76"/>
    <w:p>
      <w:pPr>
        <w:jc w:val="both"/>
        <w:ind w:left="1080" w:hanging="537"/>
        <w:spacing w:after="0" w:line="281" w:lineRule="auto"/>
        <w:tabs>
          <w:tab w:leader="none" w:pos="1060" w:val="left"/>
        </w:tabs>
        <w:rPr>
          <w:sz w:val="20"/>
          <w:szCs w:val="20"/>
          <w:color w:val="auto"/>
        </w:rPr>
      </w:pPr>
      <w:r>
        <w:rPr>
          <w:rFonts w:ascii="Arial" w:cs="Arial" w:eastAsia="Arial" w:hAnsi="Arial"/>
          <w:sz w:val="15"/>
          <w:szCs w:val="15"/>
          <w:color w:val="auto"/>
        </w:rPr>
        <w:t>2.3.</w:t>
      </w:r>
      <w:r>
        <w:rPr>
          <w:sz w:val="20"/>
          <w:szCs w:val="20"/>
          <w:color w:val="auto"/>
        </w:rPr>
        <w:tab/>
      </w:r>
      <w:r>
        <w:rPr>
          <w:rFonts w:ascii="Arial" w:cs="Arial" w:eastAsia="Arial" w:hAnsi="Arial"/>
          <w:sz w:val="14"/>
          <w:szCs w:val="14"/>
          <w:color w:val="auto"/>
        </w:rPr>
        <w:t>It is understood and agreed that the disclosure of the Company Information by the Company shall not grant the Recipient any express, implied or other license or rights to patents or trade secrets of the Company or their suppliers, whether or not patentable, nor shall it constitute or be deemed to create a partnership, joint venture or other undertaking. Further, the Recipient agrees that it shall not remove or otherwise alter any of the Company trademarks or service marks, serial numbers, logos, copyrights, notices or other proprietary notices or indicia, if any, fixed or attached to Company Information or any part thereof.</w:t>
      </w:r>
    </w:p>
    <w:p>
      <w:pPr>
        <w:spacing w:after="0" w:line="139" w:lineRule="exact"/>
        <w:rPr>
          <w:sz w:val="20"/>
          <w:szCs w:val="20"/>
          <w:color w:val="auto"/>
        </w:rPr>
      </w:pPr>
    </w:p>
    <w:p>
      <w:pPr>
        <w:ind w:left="540" w:hanging="531"/>
        <w:spacing w:after="0"/>
        <w:tabs>
          <w:tab w:leader="none" w:pos="540" w:val="left"/>
        </w:tabs>
        <w:numPr>
          <w:ilvl w:val="0"/>
          <w:numId w:val="59"/>
        </w:numPr>
        <w:rPr>
          <w:rFonts w:ascii="Arial" w:cs="Arial" w:eastAsia="Arial" w:hAnsi="Arial"/>
          <w:sz w:val="15"/>
          <w:szCs w:val="15"/>
          <w:color w:val="auto"/>
        </w:rPr>
      </w:pPr>
      <w:r>
        <w:rPr>
          <w:rFonts w:ascii="Arial" w:cs="Arial" w:eastAsia="Arial" w:hAnsi="Arial"/>
          <w:sz w:val="15"/>
          <w:szCs w:val="15"/>
          <w:b w:val="1"/>
          <w:bCs w:val="1"/>
          <w:u w:val="single" w:color="auto"/>
          <w:color w:val="auto"/>
        </w:rPr>
        <w:t>Return of Company’s Information</w:t>
      </w:r>
    </w:p>
    <w:p>
      <w:pPr>
        <w:spacing w:after="0" w:line="190" w:lineRule="exact"/>
        <w:rPr>
          <w:rFonts w:ascii="Arial" w:cs="Arial" w:eastAsia="Arial" w:hAnsi="Arial"/>
          <w:sz w:val="15"/>
          <w:szCs w:val="15"/>
          <w:color w:val="auto"/>
        </w:rPr>
      </w:pPr>
    </w:p>
    <w:p>
      <w:pPr>
        <w:ind w:left="540"/>
        <w:spacing w:after="0"/>
        <w:rPr>
          <w:rFonts w:ascii="Arial" w:cs="Arial" w:eastAsia="Arial" w:hAnsi="Arial"/>
          <w:sz w:val="15"/>
          <w:szCs w:val="15"/>
          <w:color w:val="auto"/>
        </w:rPr>
      </w:pPr>
      <w:r>
        <w:rPr>
          <w:rFonts w:ascii="Arial" w:cs="Arial" w:eastAsia="Arial" w:hAnsi="Arial"/>
          <w:sz w:val="13"/>
          <w:szCs w:val="13"/>
          <w:color w:val="auto"/>
        </w:rPr>
        <w:t>Unless otherwise required by statute or government rule or regulation, upon: (a) demand by the Company, or (b) termination of the Services Agreement; the earlier to occur, the</w:t>
      </w:r>
    </w:p>
    <w:p>
      <w:pPr>
        <w:spacing w:after="0" w:line="39" w:lineRule="exact"/>
        <w:rPr>
          <w:rFonts w:ascii="Arial" w:cs="Arial" w:eastAsia="Arial" w:hAnsi="Arial"/>
          <w:sz w:val="15"/>
          <w:szCs w:val="15"/>
          <w:color w:val="auto"/>
        </w:rPr>
      </w:pPr>
    </w:p>
    <w:p>
      <w:pPr>
        <w:jc w:val="both"/>
        <w:ind w:left="540"/>
        <w:spacing w:after="0" w:line="252" w:lineRule="auto"/>
        <w:rPr>
          <w:rFonts w:ascii="Arial" w:cs="Arial" w:eastAsia="Arial" w:hAnsi="Arial"/>
          <w:sz w:val="15"/>
          <w:szCs w:val="15"/>
          <w:color w:val="auto"/>
        </w:rPr>
      </w:pPr>
      <w:r>
        <w:rPr>
          <w:rFonts w:ascii="Arial" w:cs="Arial" w:eastAsia="Arial" w:hAnsi="Arial"/>
          <w:sz w:val="15"/>
          <w:szCs w:val="15"/>
          <w:color w:val="auto"/>
        </w:rPr>
        <w:t>Recipient shall: (i) cease using Company’s Information; (ii) return all notes, copies and extracts thereof of Company’s Information to the Company immediately without retaining copies thereof, unless such copies are necessary in order to maintain the Recipient’s undertakings under any law and/ or in order to protect Recipients rights, provided, however, that all Company Information retained shall continue to be protected under the provisions of this Agreement so long as it is in the Recipient’s possession; and (iii) upon request of the Company, certify in writing that the Recipient has complied with the obligations set forth in this paragraph.</w:t>
      </w:r>
    </w:p>
    <w:p>
      <w:pPr>
        <w:spacing w:after="0" w:line="158" w:lineRule="exact"/>
        <w:rPr>
          <w:rFonts w:ascii="Arial" w:cs="Arial" w:eastAsia="Arial" w:hAnsi="Arial"/>
          <w:sz w:val="15"/>
          <w:szCs w:val="15"/>
          <w:color w:val="auto"/>
        </w:rPr>
      </w:pPr>
    </w:p>
    <w:p>
      <w:pPr>
        <w:ind w:left="540" w:hanging="531"/>
        <w:spacing w:after="0"/>
        <w:tabs>
          <w:tab w:leader="none" w:pos="540" w:val="left"/>
        </w:tabs>
        <w:numPr>
          <w:ilvl w:val="0"/>
          <w:numId w:val="59"/>
        </w:numPr>
        <w:rPr>
          <w:rFonts w:ascii="Arial" w:cs="Arial" w:eastAsia="Arial" w:hAnsi="Arial"/>
          <w:sz w:val="15"/>
          <w:szCs w:val="15"/>
          <w:color w:val="auto"/>
        </w:rPr>
      </w:pPr>
      <w:r>
        <w:rPr>
          <w:rFonts w:ascii="Arial" w:cs="Arial" w:eastAsia="Arial" w:hAnsi="Arial"/>
          <w:sz w:val="15"/>
          <w:szCs w:val="15"/>
          <w:b w:val="1"/>
          <w:bCs w:val="1"/>
          <w:u w:val="single" w:color="auto"/>
          <w:color w:val="auto"/>
        </w:rPr>
        <w:t>Intellectual Property Rights&lt;&lt;</w:t>
      </w:r>
    </w:p>
    <w:p>
      <w:pPr>
        <w:spacing w:after="0" w:line="190" w:lineRule="exact"/>
        <w:rPr>
          <w:rFonts w:ascii="Arial" w:cs="Arial" w:eastAsia="Arial" w:hAnsi="Arial"/>
          <w:sz w:val="15"/>
          <w:szCs w:val="15"/>
          <w:color w:val="auto"/>
        </w:rPr>
      </w:pPr>
    </w:p>
    <w:p>
      <w:pPr>
        <w:ind w:left="1080" w:hanging="538"/>
        <w:spacing w:after="0" w:line="257" w:lineRule="auto"/>
        <w:rPr>
          <w:rFonts w:ascii="Arial" w:cs="Arial" w:eastAsia="Arial" w:hAnsi="Arial"/>
          <w:sz w:val="15"/>
          <w:szCs w:val="15"/>
          <w:color w:val="auto"/>
        </w:rPr>
      </w:pPr>
      <w:r>
        <w:rPr>
          <w:rFonts w:ascii="Arial" w:cs="Arial" w:eastAsia="Arial" w:hAnsi="Arial"/>
          <w:sz w:val="15"/>
          <w:szCs w:val="15"/>
          <w:color w:val="auto"/>
        </w:rPr>
        <w:t>4.1.In the event that the Recipient or anyone to whom the Recipient transmit the Company Information pursuant to this Agreement become legally compelled to disclose any of the Company Information, the Recipient will: (i) provide the Company with prompt notice thereof so that the Company may seek a protective order or other appropriate remedy and/or waive compliance with the provisions of this Agreement, and (ii) only disclose such Company Information to the extent required pursuant to said law, regulation, judicial or administrative order.</w:t>
      </w:r>
    </w:p>
    <w:p>
      <w:pPr>
        <w:spacing w:after="0" w:line="154" w:lineRule="exact"/>
        <w:rPr>
          <w:rFonts w:ascii="Arial" w:cs="Arial" w:eastAsia="Arial" w:hAnsi="Arial"/>
          <w:sz w:val="15"/>
          <w:szCs w:val="15"/>
          <w:color w:val="auto"/>
        </w:rPr>
      </w:pPr>
    </w:p>
    <w:p>
      <w:pPr>
        <w:ind w:left="1080" w:right="20" w:hanging="538"/>
        <w:spacing w:after="0" w:line="278" w:lineRule="auto"/>
        <w:rPr>
          <w:rFonts w:ascii="Arial" w:cs="Arial" w:eastAsia="Arial" w:hAnsi="Arial"/>
          <w:sz w:val="15"/>
          <w:szCs w:val="15"/>
          <w:color w:val="auto"/>
        </w:rPr>
      </w:pPr>
      <w:r>
        <w:rPr>
          <w:rFonts w:ascii="Arial" w:cs="Arial" w:eastAsia="Arial" w:hAnsi="Arial"/>
          <w:sz w:val="15"/>
          <w:szCs w:val="15"/>
          <w:color w:val="auto"/>
        </w:rPr>
        <w:t>4.2.The Recipient acknowledges and agrees that the Information furnished hereunder by the Company (“</w:t>
      </w:r>
      <w:r>
        <w:rPr>
          <w:rFonts w:ascii="Arial" w:cs="Arial" w:eastAsia="Arial" w:hAnsi="Arial"/>
          <w:sz w:val="15"/>
          <w:szCs w:val="15"/>
          <w:b w:val="1"/>
          <w:bCs w:val="1"/>
          <w:color w:val="auto"/>
        </w:rPr>
        <w:t>Company Information</w:t>
      </w:r>
      <w:r>
        <w:rPr>
          <w:rFonts w:ascii="Arial" w:cs="Arial" w:eastAsia="Arial" w:hAnsi="Arial"/>
          <w:sz w:val="15"/>
          <w:szCs w:val="15"/>
          <w:color w:val="auto"/>
        </w:rPr>
        <w:t>”) is and shall remain proprietary to the Company.</w:t>
      </w:r>
    </w:p>
    <w:p>
      <w:pPr>
        <w:spacing w:after="0" w:line="143" w:lineRule="exact"/>
        <w:rPr>
          <w:sz w:val="20"/>
          <w:szCs w:val="20"/>
          <w:color w:val="auto"/>
        </w:rPr>
      </w:pPr>
    </w:p>
    <w:p>
      <w:pPr>
        <w:jc w:val="both"/>
        <w:ind w:left="1080" w:right="20" w:hanging="537"/>
        <w:spacing w:after="0" w:line="319" w:lineRule="auto"/>
        <w:tabs>
          <w:tab w:leader="none" w:pos="1060" w:val="left"/>
        </w:tabs>
        <w:rPr>
          <w:sz w:val="20"/>
          <w:szCs w:val="20"/>
          <w:color w:val="auto"/>
        </w:rPr>
      </w:pPr>
      <w:r>
        <w:rPr>
          <w:rFonts w:ascii="Arial" w:cs="Arial" w:eastAsia="Arial" w:hAnsi="Arial"/>
          <w:sz w:val="15"/>
          <w:szCs w:val="15"/>
          <w:color w:val="auto"/>
        </w:rPr>
        <w:t>4.3.</w:t>
      </w:r>
      <w:r>
        <w:rPr>
          <w:sz w:val="20"/>
          <w:szCs w:val="20"/>
          <w:color w:val="auto"/>
        </w:rPr>
        <w:tab/>
      </w:r>
      <w:r>
        <w:rPr>
          <w:rFonts w:ascii="Arial" w:cs="Arial" w:eastAsia="Arial" w:hAnsi="Arial"/>
          <w:sz w:val="13"/>
          <w:szCs w:val="13"/>
          <w:color w:val="auto"/>
        </w:rPr>
        <w:t>The Recipient hereby declares that it has no, and shall have no suit and/or claim of any kind against the Company in any matter relating, whether directly or indirectly, to any idea, product of the Company, the Information disclosed to it by the Company, or other information of the Company which shall come to its knowledge as a result of its connection or relationship with the Company, provided nothing contained herein shall infringe, in any way, upon the Recipient’s rights to the Recipient Information.</w:t>
      </w:r>
    </w:p>
    <w:p>
      <w:pPr>
        <w:sectPr>
          <w:pgSz w:w="11900" w:h="16838" w:orient="portrait"/>
          <w:cols w:equalWidth="0" w:num="1">
            <w:col w:w="11340"/>
          </w:cols>
          <w:pgMar w:left="280" w:top="600" w:right="279" w:bottom="1440" w:gutter="0" w:footer="0" w:header="0"/>
        </w:sectPr>
      </w:pP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KORNIT DIGITAL TECHNOLOGIES LTD.</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ITS INDUSTRIAL TECHNO-</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LOGIC SOLUTIONS LTD</w:t>
      </w:r>
    </w:p>
    <w:p>
      <w:pPr>
        <w:spacing w:after="0" w:line="191" w:lineRule="exact"/>
        <w:rPr>
          <w:sz w:val="20"/>
          <w:szCs w:val="20"/>
          <w:color w:val="auto"/>
        </w:rPr>
      </w:pPr>
    </w:p>
    <w:p>
      <w:pPr>
        <w:sectPr>
          <w:pgSz w:w="11900" w:h="16838" w:orient="portrait"/>
          <w:cols w:equalWidth="0" w:num="2">
            <w:col w:w="7220" w:space="720"/>
            <w:col w:w="3400"/>
          </w:cols>
          <w:pgMar w:left="280" w:top="600" w:right="279" w:bottom="1440" w:gutter="0" w:footer="0" w:header="0"/>
          <w:type w:val="continuous"/>
        </w:sect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40"/>
          </w:cols>
          <w:pgMar w:left="280" w:top="600" w:right="279" w:bottom="1440" w:gutter="0" w:footer="0" w:header="0"/>
          <w:type w:val="continuous"/>
        </w:sectPr>
      </w:pPr>
    </w:p>
    <w:bookmarkStart w:id="77" w:name="page78"/>
    <w:bookmarkEnd w:id="77"/>
    <w:p>
      <w:pPr>
        <w:jc w:val="both"/>
        <w:ind w:left="1080" w:hanging="537"/>
        <w:spacing w:after="0" w:line="253" w:lineRule="auto"/>
        <w:tabs>
          <w:tab w:leader="none" w:pos="1060" w:val="left"/>
        </w:tabs>
        <w:rPr>
          <w:sz w:val="20"/>
          <w:szCs w:val="20"/>
          <w:color w:val="auto"/>
        </w:rPr>
      </w:pPr>
      <w:r>
        <w:rPr>
          <w:rFonts w:ascii="Arial" w:cs="Arial" w:eastAsia="Arial" w:hAnsi="Arial"/>
          <w:sz w:val="15"/>
          <w:szCs w:val="15"/>
          <w:color w:val="auto"/>
        </w:rPr>
        <w:t>4.4.</w:t>
      </w:r>
      <w:r>
        <w:rPr>
          <w:sz w:val="20"/>
          <w:szCs w:val="20"/>
          <w:color w:val="auto"/>
        </w:rPr>
        <w:tab/>
      </w:r>
      <w:r>
        <w:rPr>
          <w:rFonts w:ascii="Arial" w:cs="Arial" w:eastAsia="Arial" w:hAnsi="Arial"/>
          <w:sz w:val="15"/>
          <w:szCs w:val="15"/>
          <w:color w:val="auto"/>
        </w:rPr>
        <w:t>The Recipient hereby declares and confirms: (i) that it does not have any proprietary right, including, without limitation, copyright or other right, relating to the Information disclosed to it by the Company, any idea of the Company, product of the Company or any other development of the Company, and that all such rights belong exclusively to the Company, and (ii) that all rights title and interest in and to development and/or products, including, but not limited to, trade secrets and know-how, patents and other rights, in connection therewith, expressly developed or obtained by the Recipient under the Service Agreement or the Previous Service Agreement, for or on behalf of the Company, as a part of executing the Recipient’s undertakings under this Agreement or the Previous Service Agreement, are hereby assigned to the Company, and shall be sole and exclusive property of the Company, and the Recipient shall execute all documents necessary to assign any patents to the Company and otherwise transfer such proprietary rights to the Company.</w:t>
      </w:r>
    </w:p>
    <w:p>
      <w:pPr>
        <w:spacing w:after="0" w:line="162" w:lineRule="exact"/>
        <w:rPr>
          <w:sz w:val="20"/>
          <w:szCs w:val="20"/>
          <w:color w:val="auto"/>
        </w:rPr>
      </w:pPr>
    </w:p>
    <w:p>
      <w:pPr>
        <w:jc w:val="both"/>
        <w:ind w:left="1080" w:hanging="537"/>
        <w:spacing w:after="0" w:line="309" w:lineRule="auto"/>
        <w:tabs>
          <w:tab w:leader="none" w:pos="1060" w:val="left"/>
        </w:tabs>
        <w:rPr>
          <w:sz w:val="20"/>
          <w:szCs w:val="20"/>
          <w:color w:val="auto"/>
        </w:rPr>
      </w:pPr>
      <w:r>
        <w:rPr>
          <w:rFonts w:ascii="Arial" w:cs="Arial" w:eastAsia="Arial" w:hAnsi="Arial"/>
          <w:sz w:val="15"/>
          <w:szCs w:val="15"/>
          <w:color w:val="auto"/>
        </w:rPr>
        <w:t>4.5.</w:t>
      </w:r>
      <w:r>
        <w:rPr>
          <w:sz w:val="20"/>
          <w:szCs w:val="20"/>
          <w:color w:val="auto"/>
        </w:rPr>
        <w:tab/>
      </w:r>
      <w:r>
        <w:rPr>
          <w:rFonts w:ascii="Arial" w:cs="Arial" w:eastAsia="Arial" w:hAnsi="Arial"/>
          <w:sz w:val="14"/>
          <w:szCs w:val="14"/>
          <w:color w:val="auto"/>
        </w:rPr>
        <w:t>The above notwithstanding, Company hereby confirms and acknowledges that the Recipient is the owner of certain Information, in the field of digital printing and turn key projects in varies other areas, including, without limitation, digital printing and turn key projects in varies other areas (“</w:t>
      </w:r>
      <w:r>
        <w:rPr>
          <w:rFonts w:ascii="Arial" w:cs="Arial" w:eastAsia="Arial" w:hAnsi="Arial"/>
          <w:sz w:val="14"/>
          <w:szCs w:val="14"/>
          <w:b w:val="1"/>
          <w:bCs w:val="1"/>
          <w:color w:val="auto"/>
        </w:rPr>
        <w:t>Recipient Information</w:t>
      </w:r>
      <w:r>
        <w:rPr>
          <w:rFonts w:ascii="Arial" w:cs="Arial" w:eastAsia="Arial" w:hAnsi="Arial"/>
          <w:sz w:val="14"/>
          <w:szCs w:val="14"/>
          <w:color w:val="auto"/>
        </w:rPr>
        <w:t>”).</w:t>
      </w:r>
    </w:p>
    <w:p>
      <w:pPr>
        <w:spacing w:after="0" w:line="124" w:lineRule="exact"/>
        <w:rPr>
          <w:sz w:val="20"/>
          <w:szCs w:val="20"/>
          <w:color w:val="auto"/>
        </w:rPr>
      </w:pPr>
    </w:p>
    <w:p>
      <w:pPr>
        <w:jc w:val="both"/>
        <w:ind w:left="1080" w:hanging="537"/>
        <w:spacing w:after="0" w:line="272" w:lineRule="auto"/>
        <w:tabs>
          <w:tab w:leader="none" w:pos="1060" w:val="left"/>
        </w:tabs>
        <w:rPr>
          <w:sz w:val="20"/>
          <w:szCs w:val="20"/>
          <w:color w:val="auto"/>
        </w:rPr>
      </w:pPr>
      <w:r>
        <w:rPr>
          <w:rFonts w:ascii="Arial" w:cs="Arial" w:eastAsia="Arial" w:hAnsi="Arial"/>
          <w:sz w:val="15"/>
          <w:szCs w:val="15"/>
          <w:color w:val="auto"/>
        </w:rPr>
        <w:t>4.6.</w:t>
      </w:r>
      <w:r>
        <w:rPr>
          <w:sz w:val="20"/>
          <w:szCs w:val="20"/>
          <w:color w:val="auto"/>
        </w:rPr>
        <w:tab/>
      </w:r>
      <w:r>
        <w:rPr>
          <w:rFonts w:ascii="Arial" w:cs="Arial" w:eastAsia="Arial" w:hAnsi="Arial"/>
          <w:sz w:val="14"/>
          <w:szCs w:val="14"/>
          <w:color w:val="auto"/>
        </w:rPr>
        <w:t>Company hereby acknowledges and confirms that it does not have any proprietary right, including, without limitation, copyright or other right, relating to the Recipient Information, and that all such proprietary rights belong exclusively to the Recipient. Company hereby confirms and acknowledges that all Intellectual Property or Information developed by the Recipient during the term of this non-disclosure agreement and/or the term of the execution of the Service Agreement or the Previous Service Agreement, on the basis of the Recipient Information, (without any reference to the Company Information and without derogating from the Company’s proprietary rights in the Developed Product (as such term is defined in the Service Agreement) (</w:t>
      </w:r>
      <w:r>
        <w:rPr>
          <w:rFonts w:ascii="Arial" w:cs="Arial" w:eastAsia="Arial" w:hAnsi="Arial"/>
          <w:sz w:val="14"/>
          <w:szCs w:val="14"/>
          <w:color w:val="auto"/>
        </w:rPr>
        <w:t>חותיפה ירצות</w:t>
      </w:r>
      <w:r>
        <w:rPr>
          <w:rFonts w:ascii="Arial" w:cs="Arial" w:eastAsia="Arial" w:hAnsi="Arial"/>
          <w:sz w:val="14"/>
          <w:szCs w:val="14"/>
          <w:color w:val="auto"/>
        </w:rPr>
        <w:t>)), including but not limited to inventions, ideas, designs, concepts, techniques, discoveries, trade secrets, processes, formulae, source and object codes, data programs, know-how developments, methods, apparatus, technologies, or improvements, whether or not patentable, conceived or developed by Recipient regardless of whether reduced to practice, or any prototype shall be deemed as an integral part of Recipient Information and shall be owned exclusively by the Recipient, and the Company and/or anyone acting on its behalf will retain no rights to use such Recipient Information, and shall not infringe upon Recipient Information.</w:t>
      </w:r>
    </w:p>
    <w:p>
      <w:pPr>
        <w:spacing w:after="0" w:line="148" w:lineRule="exact"/>
        <w:rPr>
          <w:sz w:val="20"/>
          <w:szCs w:val="20"/>
          <w:color w:val="auto"/>
        </w:rPr>
      </w:pPr>
    </w:p>
    <w:p>
      <w:pPr>
        <w:ind w:left="540" w:hanging="531"/>
        <w:spacing w:after="0"/>
        <w:tabs>
          <w:tab w:leader="none" w:pos="540" w:val="left"/>
        </w:tabs>
        <w:numPr>
          <w:ilvl w:val="0"/>
          <w:numId w:val="60"/>
        </w:numPr>
        <w:rPr>
          <w:rFonts w:ascii="Arial" w:cs="Arial" w:eastAsia="Arial" w:hAnsi="Arial"/>
          <w:sz w:val="15"/>
          <w:szCs w:val="15"/>
          <w:color w:val="auto"/>
        </w:rPr>
      </w:pPr>
      <w:r>
        <w:rPr>
          <w:rFonts w:ascii="Arial" w:cs="Arial" w:eastAsia="Arial" w:hAnsi="Arial"/>
          <w:sz w:val="15"/>
          <w:szCs w:val="15"/>
          <w:b w:val="1"/>
          <w:bCs w:val="1"/>
          <w:u w:val="single" w:color="auto"/>
          <w:color w:val="auto"/>
        </w:rPr>
        <w:t>Non Competition</w:t>
      </w:r>
    </w:p>
    <w:p>
      <w:pPr>
        <w:spacing w:after="0" w:line="190" w:lineRule="exact"/>
        <w:rPr>
          <w:rFonts w:ascii="Arial" w:cs="Arial" w:eastAsia="Arial" w:hAnsi="Arial"/>
          <w:sz w:val="15"/>
          <w:szCs w:val="15"/>
          <w:color w:val="auto"/>
        </w:rPr>
      </w:pPr>
    </w:p>
    <w:p>
      <w:pPr>
        <w:ind w:left="1080" w:hanging="538"/>
        <w:spacing w:after="0" w:line="254" w:lineRule="auto"/>
        <w:rPr>
          <w:rFonts w:ascii="Arial" w:cs="Arial" w:eastAsia="Arial" w:hAnsi="Arial"/>
          <w:sz w:val="15"/>
          <w:szCs w:val="15"/>
          <w:color w:val="auto"/>
        </w:rPr>
      </w:pPr>
      <w:r>
        <w:rPr>
          <w:rFonts w:ascii="Arial" w:cs="Arial" w:eastAsia="Arial" w:hAnsi="Arial"/>
          <w:sz w:val="15"/>
          <w:szCs w:val="15"/>
          <w:color w:val="auto"/>
        </w:rPr>
        <w:t>5.1.The Recipient agree that during the term of the Services Agreement and for a period of two years following the termination of the Service Agreement for any reason whatsoever, it will not, directly or indirectly, engage, whether as an employee, independent contractor, partner, joint venture, shareholder (other than as a shareholder of not more than 5% of the shares), investor, director, consultant or otherwise, be engaged in any business or activity, all over the world, in the specific field of digital printing on textile garments and cut textile pieces in which the Company currently actually conducts its business, while using and/or implementing the same technology used and/or implemented by the Company, which is competitive with the current products and/or services of the Company in the business in which the Company is currently engaged.</w:t>
      </w:r>
    </w:p>
    <w:p>
      <w:pPr>
        <w:sectPr>
          <w:pgSz w:w="11900" w:h="16838" w:orient="portrait"/>
          <w:cols w:equalWidth="0" w:num="1">
            <w:col w:w="11340"/>
          </w:cols>
          <w:pgMar w:left="280" w:top="600" w:right="279" w:bottom="1440" w:gutter="0" w:footer="0" w:header="0"/>
        </w:sectPr>
      </w:pP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KORNIT DIGITAL TECHNOLOGIES LTD.</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ITS INDUSTRIAL TECHNO-</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LOGIC SOLUTIONS LTD</w:t>
      </w:r>
    </w:p>
    <w:p>
      <w:pPr>
        <w:spacing w:after="0" w:line="200" w:lineRule="exact"/>
        <w:rPr>
          <w:sz w:val="20"/>
          <w:szCs w:val="20"/>
          <w:color w:val="auto"/>
        </w:rPr>
      </w:pPr>
    </w:p>
    <w:p>
      <w:pPr>
        <w:sectPr>
          <w:pgSz w:w="11900" w:h="16838" w:orient="portrait"/>
          <w:cols w:equalWidth="0" w:num="2">
            <w:col w:w="7220" w:space="720"/>
            <w:col w:w="3400"/>
          </w:cols>
          <w:pgMar w:left="280" w:top="600" w:right="279" w:bottom="1440" w:gutter="0" w:footer="0" w:header="0"/>
          <w:type w:val="continuous"/>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40"/>
          </w:cols>
          <w:pgMar w:left="280" w:top="600" w:right="279" w:bottom="1440" w:gutter="0" w:footer="0" w:header="0"/>
          <w:type w:val="continuous"/>
        </w:sectPr>
      </w:pPr>
    </w:p>
    <w:bookmarkStart w:id="78" w:name="page79"/>
    <w:bookmarkEnd w:id="78"/>
    <w:p>
      <w:pPr>
        <w:ind w:left="540"/>
        <w:spacing w:after="0"/>
        <w:tabs>
          <w:tab w:leader="none" w:pos="1060" w:val="left"/>
        </w:tabs>
        <w:rPr>
          <w:sz w:val="20"/>
          <w:szCs w:val="20"/>
          <w:color w:val="auto"/>
        </w:rPr>
      </w:pPr>
      <w:r>
        <w:rPr>
          <w:rFonts w:ascii="Arial" w:cs="Arial" w:eastAsia="Arial" w:hAnsi="Arial"/>
          <w:sz w:val="15"/>
          <w:szCs w:val="15"/>
          <w:color w:val="auto"/>
        </w:rPr>
        <w:t>5.2.</w:t>
      </w:r>
      <w:r>
        <w:rPr>
          <w:sz w:val="20"/>
          <w:szCs w:val="20"/>
          <w:color w:val="auto"/>
        </w:rPr>
        <w:tab/>
      </w:r>
      <w:r>
        <w:rPr>
          <w:rFonts w:ascii="Arial" w:cs="Arial" w:eastAsia="Arial" w:hAnsi="Arial"/>
          <w:sz w:val="14"/>
          <w:szCs w:val="14"/>
          <w:color w:val="auto"/>
        </w:rPr>
        <w:t>During the term of the Service Agreement and for a period of 12 months following the termination of the Service Agreement the Parties to this Agreement shall not:</w:t>
      </w:r>
    </w:p>
    <w:p>
      <w:pPr>
        <w:spacing w:after="0" w:line="17" w:lineRule="exact"/>
        <w:rPr>
          <w:sz w:val="20"/>
          <w:szCs w:val="20"/>
          <w:color w:val="auto"/>
        </w:rPr>
      </w:pPr>
    </w:p>
    <w:p>
      <w:pPr>
        <w:jc w:val="both"/>
        <w:ind w:left="1080" w:firstLine="6"/>
        <w:spacing w:after="0" w:line="274" w:lineRule="auto"/>
        <w:tabs>
          <w:tab w:leader="none" w:pos="1273" w:val="left"/>
        </w:tabs>
        <w:numPr>
          <w:ilvl w:val="0"/>
          <w:numId w:val="61"/>
        </w:numPr>
        <w:rPr>
          <w:rFonts w:ascii="Arial" w:cs="Arial" w:eastAsia="Arial" w:hAnsi="Arial"/>
          <w:sz w:val="14"/>
          <w:szCs w:val="14"/>
          <w:color w:val="auto"/>
        </w:rPr>
      </w:pPr>
      <w:r>
        <w:rPr>
          <w:rFonts w:ascii="Arial" w:cs="Arial" w:eastAsia="Arial" w:hAnsi="Arial"/>
          <w:sz w:val="14"/>
          <w:szCs w:val="14"/>
          <w:color w:val="auto"/>
        </w:rPr>
        <w:t>solicit, induce, recruit, hire or encourage any employee or consultant of the counter party to leave such position, or attempt to do any of the foregoing, either for themselves or for any other person or entity, (ii) contact any supplier or customers of the counter Party (who does not currently have a business relationship with the first Party) for the purpose of selling to those suppliers or customers any products or services which are the same as or substantially similar to, or competitive with, the products or services sold and/or provided by the other party in relation to its business at such date, or (iii) otherwise interfere in any manner, with the contractual or employment relationship between a Party to this Agreement and any of its employees, consultants, suppliers or customers.</w:t>
      </w:r>
    </w:p>
    <w:p>
      <w:pPr>
        <w:spacing w:after="0" w:line="148" w:lineRule="exact"/>
        <w:rPr>
          <w:sz w:val="20"/>
          <w:szCs w:val="20"/>
          <w:color w:val="auto"/>
        </w:rPr>
      </w:pPr>
    </w:p>
    <w:p>
      <w:pPr>
        <w:jc w:val="both"/>
        <w:ind w:left="1080" w:hanging="537"/>
        <w:spacing w:after="0" w:line="257" w:lineRule="auto"/>
        <w:tabs>
          <w:tab w:leader="none" w:pos="1060" w:val="left"/>
        </w:tabs>
        <w:rPr>
          <w:sz w:val="20"/>
          <w:szCs w:val="20"/>
          <w:color w:val="auto"/>
        </w:rPr>
      </w:pPr>
      <w:r>
        <w:rPr>
          <w:rFonts w:ascii="Arial" w:cs="Arial" w:eastAsia="Arial" w:hAnsi="Arial"/>
          <w:sz w:val="15"/>
          <w:szCs w:val="15"/>
          <w:color w:val="auto"/>
        </w:rPr>
        <w:t>5.3.</w:t>
      </w:r>
      <w:r>
        <w:rPr>
          <w:sz w:val="20"/>
          <w:szCs w:val="20"/>
          <w:color w:val="auto"/>
        </w:rPr>
        <w:tab/>
      </w:r>
      <w:r>
        <w:rPr>
          <w:rFonts w:ascii="Arial" w:cs="Arial" w:eastAsia="Arial" w:hAnsi="Arial"/>
          <w:sz w:val="15"/>
          <w:szCs w:val="15"/>
          <w:color w:val="auto"/>
        </w:rPr>
        <w:t>Nothing contained herein shall prohibit and/or prevent the Recipient from the continued conduct of its business, as it is conducted today, and as it may be conducted in future, including, without limited, from the design and/or manufacture and/or sale and/or distribution of printers including digital printers by the Recipient for Recipient’s business and/or on behalf of any third party, other than the specific field of digital printing on textile garments and cut textile pieces in which the Company actually conducts its business at the time of the execution of this Agreement.</w:t>
      </w:r>
    </w:p>
    <w:p>
      <w:pPr>
        <w:spacing w:after="0" w:line="154" w:lineRule="exact"/>
        <w:rPr>
          <w:sz w:val="20"/>
          <w:szCs w:val="20"/>
          <w:color w:val="auto"/>
        </w:rPr>
      </w:pPr>
    </w:p>
    <w:p>
      <w:pPr>
        <w:ind w:left="540" w:hanging="531"/>
        <w:spacing w:after="0"/>
        <w:tabs>
          <w:tab w:leader="none" w:pos="540" w:val="left"/>
        </w:tabs>
        <w:numPr>
          <w:ilvl w:val="0"/>
          <w:numId w:val="62"/>
        </w:numPr>
        <w:rPr>
          <w:rFonts w:ascii="Arial" w:cs="Arial" w:eastAsia="Arial" w:hAnsi="Arial"/>
          <w:sz w:val="15"/>
          <w:szCs w:val="15"/>
          <w:color w:val="auto"/>
        </w:rPr>
      </w:pPr>
      <w:r>
        <w:rPr>
          <w:rFonts w:ascii="Arial" w:cs="Arial" w:eastAsia="Arial" w:hAnsi="Arial"/>
          <w:sz w:val="15"/>
          <w:szCs w:val="15"/>
          <w:b w:val="1"/>
          <w:bCs w:val="1"/>
          <w:u w:val="single" w:color="auto"/>
          <w:color w:val="auto"/>
        </w:rPr>
        <w:t>Miscellaneous</w:t>
      </w:r>
    </w:p>
    <w:p>
      <w:pPr>
        <w:spacing w:after="0" w:line="190" w:lineRule="exact"/>
        <w:rPr>
          <w:rFonts w:ascii="Arial" w:cs="Arial" w:eastAsia="Arial" w:hAnsi="Arial"/>
          <w:sz w:val="15"/>
          <w:szCs w:val="15"/>
          <w:color w:val="auto"/>
        </w:rPr>
      </w:pPr>
    </w:p>
    <w:p>
      <w:pPr>
        <w:ind w:left="1080" w:hanging="538"/>
        <w:spacing w:after="0" w:line="288" w:lineRule="auto"/>
        <w:rPr>
          <w:rFonts w:ascii="Arial" w:cs="Arial" w:eastAsia="Arial" w:hAnsi="Arial"/>
          <w:sz w:val="15"/>
          <w:szCs w:val="15"/>
          <w:color w:val="auto"/>
        </w:rPr>
      </w:pPr>
      <w:r>
        <w:rPr>
          <w:rFonts w:ascii="Arial" w:cs="Arial" w:eastAsia="Arial" w:hAnsi="Arial"/>
          <w:sz w:val="15"/>
          <w:szCs w:val="15"/>
          <w:color w:val="auto"/>
        </w:rPr>
        <w:t>6.1.</w:t>
      </w:r>
      <w:r>
        <w:rPr>
          <w:rFonts w:ascii="Arial" w:cs="Arial" w:eastAsia="Arial" w:hAnsi="Arial"/>
          <w:sz w:val="14"/>
          <w:szCs w:val="14"/>
          <w:color w:val="auto"/>
        </w:rPr>
        <w:t>The confidentiality undertakings herein shall be binding upon the Parties to this Agreement and their respective affiliates, subsidiaries or successors and shall continue until such time as the substance of the disclosure has entered the public domain through no fault or negligence on the said Party to this Agreement, or until permission is specifically granted in writing to the Party by the other Party to release or make use of the Information otherwise than as stated herein.</w:t>
      </w:r>
    </w:p>
    <w:p>
      <w:pPr>
        <w:spacing w:after="0" w:line="138" w:lineRule="exact"/>
        <w:rPr>
          <w:sz w:val="20"/>
          <w:szCs w:val="20"/>
          <w:color w:val="auto"/>
        </w:rPr>
      </w:pPr>
    </w:p>
    <w:p>
      <w:pPr>
        <w:jc w:val="both"/>
        <w:ind w:left="1080" w:hanging="537"/>
        <w:spacing w:after="0" w:line="261" w:lineRule="auto"/>
        <w:tabs>
          <w:tab w:leader="none" w:pos="1060" w:val="left"/>
        </w:tabs>
        <w:rPr>
          <w:sz w:val="20"/>
          <w:szCs w:val="20"/>
          <w:color w:val="auto"/>
        </w:rPr>
      </w:pPr>
      <w:r>
        <w:rPr>
          <w:rFonts w:ascii="Arial" w:cs="Arial" w:eastAsia="Arial" w:hAnsi="Arial"/>
          <w:sz w:val="15"/>
          <w:szCs w:val="15"/>
          <w:color w:val="auto"/>
        </w:rPr>
        <w:t>6.2.</w:t>
      </w:r>
      <w:r>
        <w:rPr>
          <w:sz w:val="20"/>
          <w:szCs w:val="20"/>
          <w:color w:val="auto"/>
        </w:rPr>
        <w:tab/>
      </w:r>
      <w:r>
        <w:rPr>
          <w:rFonts w:ascii="Arial" w:cs="Arial" w:eastAsia="Arial" w:hAnsi="Arial"/>
          <w:sz w:val="15"/>
          <w:szCs w:val="15"/>
          <w:color w:val="auto"/>
        </w:rPr>
        <w:t>No failure or delay on the part of the parties to exercise any right, power or remedy under this Agreement shall operate as a waiver thereof, nor shall any single or partial exercise by either of the parts of any rights, powers or remedies. The rights, powers and remedies provided herein are cumulative and are not exclusive of any rights, powers or remedies by law.</w:t>
      </w:r>
    </w:p>
    <w:p>
      <w:pPr>
        <w:sectPr>
          <w:pgSz w:w="11900" w:h="16838" w:orient="portrait"/>
          <w:cols w:equalWidth="0" w:num="1">
            <w:col w:w="11340"/>
          </w:cols>
          <w:pgMar w:left="280" w:top="600" w:right="279" w:bottom="1440" w:gutter="0" w:footer="0" w:header="0"/>
        </w:sectPr>
      </w:pP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KORNIT DIGITAL TECHNOLOGIES LTD.</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ITS INDUSTRIAL TECHNO-</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LOGIC SOLUTIONS LTD</w:t>
      </w:r>
    </w:p>
    <w:p>
      <w:pPr>
        <w:spacing w:after="0" w:line="200" w:lineRule="exact"/>
        <w:rPr>
          <w:sz w:val="20"/>
          <w:szCs w:val="20"/>
          <w:color w:val="auto"/>
        </w:rPr>
      </w:pPr>
    </w:p>
    <w:p>
      <w:pPr>
        <w:sectPr>
          <w:pgSz w:w="11900" w:h="16838" w:orient="portrait"/>
          <w:cols w:equalWidth="0" w:num="2">
            <w:col w:w="7220" w:space="720"/>
            <w:col w:w="3400"/>
          </w:cols>
          <w:pgMar w:left="280" w:top="600" w:right="279" w:bottom="1440" w:gutter="0" w:footer="0" w:header="0"/>
          <w:type w:val="continuous"/>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40"/>
          </w:cols>
          <w:pgMar w:left="280" w:top="600" w:right="279" w:bottom="1440" w:gutter="0" w:footer="0" w:header="0"/>
          <w:type w:val="continuous"/>
        </w:sectPr>
      </w:pPr>
    </w:p>
    <w:bookmarkStart w:id="79" w:name="page80"/>
    <w:bookmarkEnd w:id="79"/>
    <w:p>
      <w:pPr>
        <w:ind w:left="540"/>
        <w:spacing w:after="0"/>
        <w:tabs>
          <w:tab w:leader="none" w:pos="1060" w:val="left"/>
        </w:tabs>
        <w:rPr>
          <w:sz w:val="20"/>
          <w:szCs w:val="20"/>
          <w:color w:val="auto"/>
        </w:rPr>
      </w:pPr>
      <w:r>
        <w:rPr>
          <w:rFonts w:ascii="Arial" w:cs="Arial" w:eastAsia="Arial" w:hAnsi="Arial"/>
          <w:sz w:val="15"/>
          <w:szCs w:val="15"/>
          <w:color w:val="auto"/>
        </w:rPr>
        <w:t>6.3.</w:t>
      </w:r>
      <w:r>
        <w:rPr>
          <w:sz w:val="20"/>
          <w:szCs w:val="20"/>
          <w:color w:val="auto"/>
        </w:rPr>
        <w:tab/>
      </w:r>
      <w:r>
        <w:rPr>
          <w:rFonts w:ascii="Arial" w:cs="Arial" w:eastAsia="Arial" w:hAnsi="Arial"/>
          <w:sz w:val="13"/>
          <w:szCs w:val="13"/>
          <w:color w:val="auto"/>
        </w:rPr>
        <w:t>This Agreement may not be assigned by either party, without the prior written consent of the other party.</w:t>
      </w:r>
    </w:p>
    <w:p>
      <w:pPr>
        <w:spacing w:after="0" w:line="186" w:lineRule="exact"/>
        <w:rPr>
          <w:sz w:val="20"/>
          <w:szCs w:val="20"/>
          <w:color w:val="auto"/>
        </w:rPr>
      </w:pPr>
    </w:p>
    <w:p>
      <w:pPr>
        <w:jc w:val="both"/>
        <w:ind w:left="1080" w:hanging="537"/>
        <w:spacing w:after="0" w:line="257" w:lineRule="auto"/>
        <w:tabs>
          <w:tab w:leader="none" w:pos="1060" w:val="left"/>
        </w:tabs>
        <w:rPr>
          <w:sz w:val="20"/>
          <w:szCs w:val="20"/>
          <w:color w:val="auto"/>
        </w:rPr>
      </w:pPr>
      <w:r>
        <w:rPr>
          <w:rFonts w:ascii="Arial" w:cs="Arial" w:eastAsia="Arial" w:hAnsi="Arial"/>
          <w:sz w:val="15"/>
          <w:szCs w:val="15"/>
          <w:color w:val="auto"/>
        </w:rPr>
        <w:t>6.4.</w:t>
      </w:r>
      <w:r>
        <w:rPr>
          <w:sz w:val="20"/>
          <w:szCs w:val="20"/>
          <w:color w:val="auto"/>
        </w:rPr>
        <w:tab/>
      </w:r>
      <w:r>
        <w:rPr>
          <w:rFonts w:ascii="Arial" w:cs="Arial" w:eastAsia="Arial" w:hAnsi="Arial"/>
          <w:sz w:val="15"/>
          <w:szCs w:val="15"/>
          <w:color w:val="auto"/>
        </w:rPr>
        <w:t>If any one or more of the terms contained in this Agreement shall for any reason be held to be excessively broad with regard to time, geographic scope or activity, that term shall be construed in a manner to enable it to be enforced to the extent compatible with applicable law. A determination that any term is void or unenforceable shall not affect the validity or enforceability of any other term or condition and any such invalid provision shall be construed and enforced (to the extent possible) in accordance with the original intent of the parties as herein expressed.</w:t>
      </w:r>
    </w:p>
    <w:p>
      <w:pPr>
        <w:spacing w:after="0" w:line="158" w:lineRule="exact"/>
        <w:rPr>
          <w:sz w:val="20"/>
          <w:szCs w:val="20"/>
          <w:color w:val="auto"/>
        </w:rPr>
      </w:pPr>
    </w:p>
    <w:p>
      <w:pPr>
        <w:jc w:val="both"/>
        <w:ind w:left="1080" w:hanging="537"/>
        <w:spacing w:after="0" w:line="261" w:lineRule="auto"/>
        <w:tabs>
          <w:tab w:leader="none" w:pos="1060" w:val="left"/>
        </w:tabs>
        <w:rPr>
          <w:sz w:val="20"/>
          <w:szCs w:val="20"/>
          <w:color w:val="auto"/>
        </w:rPr>
      </w:pPr>
      <w:r>
        <w:rPr>
          <w:rFonts w:ascii="Arial" w:cs="Arial" w:eastAsia="Arial" w:hAnsi="Arial"/>
          <w:sz w:val="15"/>
          <w:szCs w:val="15"/>
          <w:color w:val="auto"/>
        </w:rPr>
        <w:t>6.5.</w:t>
      </w:r>
      <w:r>
        <w:rPr>
          <w:sz w:val="20"/>
          <w:szCs w:val="20"/>
          <w:color w:val="auto"/>
        </w:rPr>
        <w:tab/>
      </w:r>
      <w:r>
        <w:rPr>
          <w:rFonts w:ascii="Arial" w:cs="Arial" w:eastAsia="Arial" w:hAnsi="Arial"/>
          <w:sz w:val="15"/>
          <w:szCs w:val="15"/>
          <w:color w:val="auto"/>
        </w:rPr>
        <w:t>The parties agree that an impending or existing violation of any provision of this Agreement would cause the Company irreparable injury for which it would have no adequate remedy at law, and agree that the Company shall be entitled to seek immediate injunctive relief prohibiting such violation, in addition to any other rights and remedies available to it.</w:t>
      </w:r>
    </w:p>
    <w:p>
      <w:pPr>
        <w:spacing w:after="0" w:line="155" w:lineRule="exact"/>
        <w:rPr>
          <w:sz w:val="20"/>
          <w:szCs w:val="20"/>
          <w:color w:val="auto"/>
        </w:rPr>
      </w:pPr>
    </w:p>
    <w:p>
      <w:pPr>
        <w:jc w:val="both"/>
        <w:ind w:left="1080" w:hanging="537"/>
        <w:spacing w:after="0" w:line="309" w:lineRule="auto"/>
        <w:tabs>
          <w:tab w:leader="none" w:pos="1060" w:val="left"/>
        </w:tabs>
        <w:rPr>
          <w:sz w:val="20"/>
          <w:szCs w:val="20"/>
          <w:color w:val="auto"/>
        </w:rPr>
      </w:pPr>
      <w:r>
        <w:rPr>
          <w:rFonts w:ascii="Arial" w:cs="Arial" w:eastAsia="Arial" w:hAnsi="Arial"/>
          <w:sz w:val="15"/>
          <w:szCs w:val="15"/>
          <w:color w:val="auto"/>
        </w:rPr>
        <w:t>6.6.</w:t>
      </w:r>
      <w:r>
        <w:rPr>
          <w:sz w:val="20"/>
          <w:szCs w:val="20"/>
          <w:color w:val="auto"/>
        </w:rPr>
        <w:tab/>
      </w:r>
      <w:r>
        <w:rPr>
          <w:rFonts w:ascii="Arial" w:cs="Arial" w:eastAsia="Arial" w:hAnsi="Arial"/>
          <w:sz w:val="14"/>
          <w:szCs w:val="14"/>
          <w:color w:val="auto"/>
        </w:rPr>
        <w:t>The construction, validity and performance of this Agreement shall be exclusively governed by and construed in accordance with the laws of the State of Israel. The competent courts of the state of Tel-Aviv shall have exclusive jurisdiction with respect to this Agreement and any and all matters relating to this Agreement.</w:t>
      </w:r>
    </w:p>
    <w:p>
      <w:pPr>
        <w:spacing w:after="0" w:line="29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IN WITNESS WHEREOF </w:t>
      </w:r>
      <w:r>
        <w:rPr>
          <w:rFonts w:ascii="Arial" w:cs="Arial" w:eastAsia="Arial" w:hAnsi="Arial"/>
          <w:sz w:val="15"/>
          <w:szCs w:val="15"/>
          <w:color w:val="auto"/>
        </w:rPr>
        <w:t>the parties have executed this Agreement as of the date first written above.</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5"/>
                <w:szCs w:val="15"/>
                <w:b w:val="1"/>
                <w:bCs w:val="1"/>
                <w:color w:val="auto"/>
              </w:rPr>
              <w:t>KORNIT DIGITAL TECHNOLOGIES LTD.</w:t>
            </w:r>
          </w:p>
        </w:tc>
        <w:tc>
          <w:tcPr>
            <w:tcW w:w="6900" w:type="dxa"/>
            <w:vAlign w:val="bottom"/>
            <w:gridSpan w:val="2"/>
          </w:tcPr>
          <w:p>
            <w:pPr>
              <w:ind w:left="2780"/>
              <w:spacing w:after="0"/>
              <w:rPr>
                <w:sz w:val="20"/>
                <w:szCs w:val="20"/>
                <w:color w:val="auto"/>
              </w:rPr>
            </w:pPr>
            <w:r>
              <w:rPr>
                <w:rFonts w:ascii="Arial" w:cs="Arial" w:eastAsia="Arial" w:hAnsi="Arial"/>
                <w:sz w:val="15"/>
                <w:szCs w:val="15"/>
                <w:b w:val="1"/>
                <w:bCs w:val="1"/>
                <w:color w:val="auto"/>
              </w:rPr>
              <w:t>ITS INDUSTRIAL TECHNO- LOGIC SOLUTIONS LTD.</w:t>
            </w:r>
          </w:p>
        </w:tc>
      </w:tr>
      <w:tr>
        <w:trPr>
          <w:trHeight w:val="191"/>
        </w:trPr>
        <w:tc>
          <w:tcPr>
            <w:tcW w:w="100" w:type="dxa"/>
            <w:vAlign w:val="bottom"/>
          </w:tcPr>
          <w:p>
            <w:pPr>
              <w:spacing w:after="0"/>
              <w:rPr>
                <w:sz w:val="16"/>
                <w:szCs w:val="16"/>
                <w:color w:val="auto"/>
              </w:rPr>
            </w:pPr>
          </w:p>
        </w:tc>
        <w:tc>
          <w:tcPr>
            <w:tcW w:w="3460" w:type="dxa"/>
            <w:vAlign w:val="bottom"/>
            <w:tcBorders>
              <w:bottom w:val="single" w:sz="8" w:color="auto"/>
            </w:tcBorders>
          </w:tcPr>
          <w:p>
            <w:pPr>
              <w:spacing w:after="0"/>
              <w:rPr>
                <w:sz w:val="16"/>
                <w:szCs w:val="16"/>
                <w:color w:val="auto"/>
              </w:rPr>
            </w:pPr>
          </w:p>
        </w:tc>
        <w:tc>
          <w:tcPr>
            <w:tcW w:w="2780" w:type="dxa"/>
            <w:vAlign w:val="bottom"/>
          </w:tcPr>
          <w:p>
            <w:pPr>
              <w:spacing w:after="0"/>
              <w:rPr>
                <w:sz w:val="16"/>
                <w:szCs w:val="16"/>
                <w:color w:val="auto"/>
              </w:rPr>
            </w:pPr>
          </w:p>
        </w:tc>
        <w:tc>
          <w:tcPr>
            <w:tcW w:w="4120" w:type="dxa"/>
            <w:vAlign w:val="bottom"/>
            <w:tcBorders>
              <w:bottom w:val="single" w:sz="8" w:color="auto"/>
            </w:tcBorders>
          </w:tcPr>
          <w:p>
            <w:pPr>
              <w:spacing w:after="0"/>
              <w:rPr>
                <w:sz w:val="16"/>
                <w:szCs w:val="16"/>
                <w:color w:val="auto"/>
              </w:rPr>
            </w:pPr>
          </w:p>
        </w:tc>
      </w:tr>
      <w:tr>
        <w:trPr>
          <w:trHeight w:val="347"/>
        </w:trPr>
        <w:tc>
          <w:tcPr>
            <w:tcW w:w="100" w:type="dxa"/>
            <w:vAlign w:val="bottom"/>
          </w:tcPr>
          <w:p>
            <w:pPr>
              <w:spacing w:after="0"/>
              <w:rPr>
                <w:sz w:val="24"/>
                <w:szCs w:val="24"/>
                <w:color w:val="auto"/>
              </w:rPr>
            </w:pPr>
          </w:p>
        </w:tc>
        <w:tc>
          <w:tcPr>
            <w:tcW w:w="3460" w:type="dxa"/>
            <w:vAlign w:val="bottom"/>
          </w:tcPr>
          <w:p>
            <w:pPr>
              <w:spacing w:after="0"/>
              <w:rPr>
                <w:sz w:val="20"/>
                <w:szCs w:val="20"/>
                <w:color w:val="auto"/>
              </w:rPr>
            </w:pPr>
            <w:r>
              <w:rPr>
                <w:rFonts w:ascii="Arial" w:cs="Arial" w:eastAsia="Arial" w:hAnsi="Arial"/>
                <w:sz w:val="15"/>
                <w:szCs w:val="15"/>
                <w:b w:val="1"/>
                <w:bCs w:val="1"/>
                <w:color w:val="auto"/>
              </w:rPr>
              <w:t xml:space="preserve">By: </w:t>
            </w:r>
            <w:r>
              <w:rPr>
                <w:rFonts w:ascii="Arial" w:cs="Arial" w:eastAsia="Arial" w:hAnsi="Arial"/>
                <w:sz w:val="15"/>
                <w:szCs w:val="15"/>
                <w:color w:val="auto"/>
              </w:rPr>
              <w:t>___________________</w:t>
            </w:r>
          </w:p>
        </w:tc>
        <w:tc>
          <w:tcPr>
            <w:tcW w:w="6900" w:type="dxa"/>
            <w:vAlign w:val="bottom"/>
            <w:gridSpan w:val="2"/>
          </w:tcPr>
          <w:p>
            <w:pPr>
              <w:ind w:left="2780"/>
              <w:spacing w:after="0"/>
              <w:rPr>
                <w:sz w:val="20"/>
                <w:szCs w:val="20"/>
                <w:color w:val="auto"/>
              </w:rPr>
            </w:pPr>
            <w:r>
              <w:rPr>
                <w:rFonts w:ascii="Arial" w:cs="Arial" w:eastAsia="Arial" w:hAnsi="Arial"/>
                <w:sz w:val="15"/>
                <w:szCs w:val="15"/>
                <w:b w:val="1"/>
                <w:bCs w:val="1"/>
                <w:color w:val="auto"/>
              </w:rPr>
              <w:t>By: Gera Eron</w:t>
            </w:r>
          </w:p>
        </w:tc>
      </w:tr>
      <w:tr>
        <w:trPr>
          <w:trHeight w:val="193"/>
        </w:trPr>
        <w:tc>
          <w:tcPr>
            <w:tcW w:w="10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5"/>
                <w:szCs w:val="15"/>
                <w:b w:val="1"/>
                <w:bCs w:val="1"/>
                <w:color w:val="auto"/>
              </w:rPr>
              <w:t>Title: CEO</w:t>
            </w:r>
          </w:p>
        </w:tc>
        <w:tc>
          <w:tcPr>
            <w:tcW w:w="6900" w:type="dxa"/>
            <w:vAlign w:val="bottom"/>
            <w:gridSpan w:val="2"/>
          </w:tcPr>
          <w:p>
            <w:pPr>
              <w:ind w:left="2780"/>
              <w:spacing w:after="0"/>
              <w:rPr>
                <w:sz w:val="20"/>
                <w:szCs w:val="20"/>
                <w:color w:val="auto"/>
              </w:rPr>
            </w:pPr>
            <w:r>
              <w:rPr>
                <w:rFonts w:ascii="Arial" w:cs="Arial" w:eastAsia="Arial" w:hAnsi="Arial"/>
                <w:sz w:val="15"/>
                <w:szCs w:val="15"/>
                <w:b w:val="1"/>
                <w:bCs w:val="1"/>
                <w:color w:val="auto"/>
              </w:rPr>
              <w:t>Title: CEO</w:t>
            </w:r>
          </w:p>
        </w:tc>
      </w:tr>
      <w:tr>
        <w:trPr>
          <w:trHeight w:val="524"/>
        </w:trPr>
        <w:tc>
          <w:tcPr>
            <w:tcW w:w="3560" w:type="dxa"/>
            <w:vAlign w:val="bottom"/>
            <w:gridSpan w:val="2"/>
          </w:tcPr>
          <w:p>
            <w:pPr>
              <w:spacing w:after="0"/>
              <w:rPr>
                <w:sz w:val="20"/>
                <w:szCs w:val="20"/>
                <w:color w:val="auto"/>
              </w:rPr>
            </w:pPr>
            <w:r>
              <w:rPr>
                <w:rFonts w:ascii="Arial" w:cs="Arial" w:eastAsia="Arial" w:hAnsi="Arial"/>
                <w:sz w:val="15"/>
                <w:szCs w:val="15"/>
                <w:b w:val="1"/>
                <w:bCs w:val="1"/>
                <w:color w:val="auto"/>
              </w:rPr>
              <w:t>KORNIT DIGITAL TECHNOLOGIES LTD.</w:t>
            </w:r>
          </w:p>
        </w:tc>
        <w:tc>
          <w:tcPr>
            <w:tcW w:w="2780" w:type="dxa"/>
            <w:vAlign w:val="bottom"/>
          </w:tcPr>
          <w:p>
            <w:pPr>
              <w:spacing w:after="0"/>
              <w:rPr>
                <w:sz w:val="24"/>
                <w:szCs w:val="24"/>
                <w:color w:val="auto"/>
              </w:rPr>
            </w:pPr>
          </w:p>
        </w:tc>
        <w:tc>
          <w:tcPr>
            <w:tcW w:w="4120" w:type="dxa"/>
            <w:vAlign w:val="bottom"/>
          </w:tcPr>
          <w:p>
            <w:pPr>
              <w:ind w:left="1600"/>
              <w:spacing w:after="0"/>
              <w:rPr>
                <w:sz w:val="20"/>
                <w:szCs w:val="20"/>
                <w:color w:val="auto"/>
              </w:rPr>
            </w:pPr>
            <w:r>
              <w:rPr>
                <w:rFonts w:ascii="Arial" w:cs="Arial" w:eastAsia="Arial" w:hAnsi="Arial"/>
                <w:sz w:val="15"/>
                <w:szCs w:val="15"/>
                <w:b w:val="1"/>
                <w:bCs w:val="1"/>
                <w:color w:val="auto"/>
              </w:rPr>
              <w:t>ITS INDUSTRIAL TECHNO-</w:t>
            </w:r>
          </w:p>
        </w:tc>
      </w:tr>
      <w:tr>
        <w:trPr>
          <w:trHeight w:val="193"/>
        </w:trPr>
        <w:tc>
          <w:tcPr>
            <w:tcW w:w="10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4120" w:type="dxa"/>
            <w:vAlign w:val="bottom"/>
          </w:tcPr>
          <w:p>
            <w:pPr>
              <w:ind w:left="1600"/>
              <w:spacing w:after="0"/>
              <w:rPr>
                <w:sz w:val="20"/>
                <w:szCs w:val="20"/>
                <w:color w:val="auto"/>
              </w:rPr>
            </w:pPr>
            <w:r>
              <w:rPr>
                <w:rFonts w:ascii="Arial" w:cs="Arial" w:eastAsia="Arial" w:hAnsi="Arial"/>
                <w:sz w:val="15"/>
                <w:szCs w:val="15"/>
                <w:b w:val="1"/>
                <w:bCs w:val="1"/>
                <w:color w:val="auto"/>
              </w:rPr>
              <w:t>LOGIC SOLUTIONS LTD</w:t>
            </w:r>
          </w:p>
        </w:tc>
      </w:tr>
    </w:tbl>
    <w:p>
      <w:pPr>
        <w:sectPr>
          <w:pgSz w:w="11900" w:h="16838" w:orient="portrait"/>
          <w:cols w:equalWidth="0" w:num="1">
            <w:col w:w="11340"/>
          </w:cols>
          <w:pgMar w:left="280" w:top="420" w:right="27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Appendix 4</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Certificate of Insurance</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5"/>
          <w:szCs w:val="15"/>
          <w:color w:val="auto"/>
        </w:rPr>
        <w:t>Date: August 11, 2014</w:t>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auto"/>
        </w:rPr>
        <w:t>To:</w:t>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auto"/>
        </w:rPr>
        <w:t>Kornit Digital Technologies Ltd.</w:t>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auto"/>
        </w:rPr>
        <w:t>12 Ha-Amal Street, Park Afek, Rosh Ha’ayin, 48092.</w:t>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auto"/>
        </w:rPr>
        <w:t>Hereinafter: the “Customer”)</w:t>
      </w:r>
    </w:p>
    <w:p>
      <w:pPr>
        <w:spacing w:after="0" w:line="177" w:lineRule="exact"/>
        <w:rPr>
          <w:sz w:val="20"/>
          <w:szCs w:val="20"/>
          <w:color w:val="auto"/>
        </w:rPr>
      </w:pPr>
    </w:p>
    <w:p>
      <w:pPr>
        <w:jc w:val="both"/>
        <w:ind w:left="4320"/>
        <w:spacing w:after="0" w:line="261" w:lineRule="auto"/>
        <w:rPr>
          <w:sz w:val="20"/>
          <w:szCs w:val="20"/>
          <w:color w:val="auto"/>
        </w:rPr>
      </w:pPr>
      <w:r>
        <w:rPr>
          <w:rFonts w:ascii="Arial" w:cs="Arial" w:eastAsia="Arial" w:hAnsi="Arial"/>
          <w:sz w:val="15"/>
          <w:szCs w:val="15"/>
          <w:color w:val="auto"/>
        </w:rPr>
        <w:t>The Policies, including the liability ceilings set out in this Certificate, shall apply to all of the operations of all of the entities set out in the Policies, and inter alia, to the operations the subject of this Certificate, to the extent not amended herein.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Re: Certificate of Insurance</w:t>
      </w:r>
    </w:p>
    <w:p>
      <w:pPr>
        <w:spacing w:after="0" w:line="190"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 xml:space="preserve">We, the undersigned, </w:t>
      </w:r>
      <w:r>
        <w:rPr>
          <w:rFonts w:ascii="Arial" w:cs="Arial" w:eastAsia="Arial" w:hAnsi="Arial"/>
          <w:sz w:val="14"/>
          <w:szCs w:val="14"/>
          <w:i w:val="1"/>
          <w:iCs w:val="1"/>
          <w:u w:val="single" w:color="auto"/>
          <w:color w:val="auto"/>
        </w:rPr>
        <w:t>Menora Mivtachim</w:t>
      </w:r>
      <w:r>
        <w:rPr>
          <w:rFonts w:ascii="Arial" w:cs="Arial" w:eastAsia="Arial" w:hAnsi="Arial"/>
          <w:sz w:val="14"/>
          <w:szCs w:val="14"/>
          <w:color w:val="auto"/>
        </w:rPr>
        <w:t xml:space="preserve"> Ltd., hereby declare that we have taken out the insurance policies set out below for ITS Techno Logic Solutions (hereinafter: the “Supplier”), </w:t>
      </w:r>
      <w:r>
        <w:rPr>
          <w:rFonts w:ascii="Arial" w:cs="Arial" w:eastAsia="Arial" w:hAnsi="Arial"/>
          <w:sz w:val="14"/>
          <w:szCs w:val="14"/>
          <w:i w:val="1"/>
          <w:iCs w:val="1"/>
          <w:color w:val="auto"/>
        </w:rPr>
        <w:t>inter</w:t>
      </w:r>
      <w:r>
        <w:rPr>
          <w:rFonts w:ascii="Arial" w:cs="Arial" w:eastAsia="Arial" w:hAnsi="Arial"/>
          <w:sz w:val="14"/>
          <w:szCs w:val="14"/>
          <w:color w:val="auto"/>
        </w:rPr>
        <w:t xml:space="preserve"> </w:t>
      </w:r>
      <w:r>
        <w:rPr>
          <w:rFonts w:ascii="Arial" w:cs="Arial" w:eastAsia="Arial" w:hAnsi="Arial"/>
          <w:sz w:val="14"/>
          <w:szCs w:val="14"/>
          <w:i w:val="1"/>
          <w:iCs w:val="1"/>
          <w:color w:val="auto"/>
        </w:rPr>
        <w:t>alia</w:t>
      </w:r>
      <w:r>
        <w:rPr>
          <w:rFonts w:ascii="Arial" w:cs="Arial" w:eastAsia="Arial" w:hAnsi="Arial"/>
          <w:sz w:val="14"/>
          <w:szCs w:val="14"/>
          <w:color w:val="auto"/>
        </w:rPr>
        <w:t>, with respect to the</w:t>
      </w:r>
      <w:r>
        <w:rPr>
          <w:rFonts w:ascii="Arial" w:cs="Arial" w:eastAsia="Arial" w:hAnsi="Arial"/>
          <w:sz w:val="14"/>
          <w:szCs w:val="14"/>
          <w:i w:val="1"/>
          <w:iCs w:val="1"/>
          <w:color w:val="auto"/>
        </w:rPr>
        <w:t xml:space="preserve"> operations the subject </w:t>
      </w:r>
      <w:r>
        <w:rPr>
          <w:rFonts w:ascii="Arial" w:cs="Arial" w:eastAsia="Arial" w:hAnsi="Arial"/>
          <w:sz w:val="14"/>
          <w:szCs w:val="14"/>
          <w:color w:val="auto"/>
        </w:rPr>
        <w:t>of the Framework Agreement for the Serial Turn Key Manufacture and Supply of digital printing machinery and other products, between you</w:t>
      </w:r>
      <w:r>
        <w:rPr>
          <w:rFonts w:ascii="Arial" w:cs="Arial" w:eastAsia="Arial" w:hAnsi="Arial"/>
          <w:sz w:val="14"/>
          <w:szCs w:val="14"/>
          <w:i w:val="1"/>
          <w:iCs w:val="1"/>
          <w:color w:val="auto"/>
        </w:rPr>
        <w:t xml:space="preserve"> </w:t>
      </w:r>
      <w:r>
        <w:rPr>
          <w:rFonts w:ascii="Arial" w:cs="Arial" w:eastAsia="Arial" w:hAnsi="Arial"/>
          <w:sz w:val="14"/>
          <w:szCs w:val="14"/>
          <w:color w:val="auto"/>
        </w:rPr>
        <w:t>and the Supplier (hereinafter: the “Agreement”), inter alia with respect to any service and/or other order relating to the Agreement (hereinafter: the “Services”).</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For the period commencing on </w:t>
      </w:r>
      <w:r>
        <w:rPr>
          <w:rFonts w:ascii="Arial" w:cs="Arial" w:eastAsia="Arial" w:hAnsi="Arial"/>
          <w:sz w:val="15"/>
          <w:szCs w:val="15"/>
          <w:i w:val="1"/>
          <w:iCs w:val="1"/>
          <w:color w:val="auto"/>
        </w:rPr>
        <w:t>March 1, 2014</w:t>
      </w:r>
      <w:r>
        <w:rPr>
          <w:rFonts w:ascii="Arial" w:cs="Arial" w:eastAsia="Arial" w:hAnsi="Arial"/>
          <w:sz w:val="15"/>
          <w:szCs w:val="15"/>
          <w:color w:val="auto"/>
        </w:rPr>
        <w:t xml:space="preserve"> and ending on </w:t>
      </w:r>
      <w:r>
        <w:rPr>
          <w:rFonts w:ascii="Arial" w:cs="Arial" w:eastAsia="Arial" w:hAnsi="Arial"/>
          <w:sz w:val="15"/>
          <w:szCs w:val="15"/>
          <w:i w:val="1"/>
          <w:iCs w:val="1"/>
          <w:color w:val="auto"/>
        </w:rPr>
        <w:t>February 28, 2015</w:t>
      </w:r>
      <w:r>
        <w:rPr>
          <w:rFonts w:ascii="Arial" w:cs="Arial" w:eastAsia="Arial" w:hAnsi="Arial"/>
          <w:sz w:val="15"/>
          <w:szCs w:val="15"/>
          <w:color w:val="auto"/>
        </w:rPr>
        <w:t>, both dates being inclusive (hereinafter: the “Insurance Term”).</w:t>
      </w:r>
    </w:p>
    <w:p>
      <w:pPr>
        <w:spacing w:after="0" w:line="182" w:lineRule="exact"/>
        <w:rPr>
          <w:sz w:val="20"/>
          <w:szCs w:val="20"/>
          <w:color w:val="auto"/>
        </w:rPr>
      </w:pPr>
    </w:p>
    <w:p>
      <w:pPr>
        <w:jc w:val="both"/>
        <w:ind w:left="540" w:hanging="531"/>
        <w:spacing w:after="0" w:line="254" w:lineRule="auto"/>
        <w:tabs>
          <w:tab w:leader="none" w:pos="540" w:val="left"/>
        </w:tabs>
        <w:numPr>
          <w:ilvl w:val="0"/>
          <w:numId w:val="63"/>
        </w:numPr>
        <w:rPr>
          <w:rFonts w:ascii="Arial" w:cs="Arial" w:eastAsia="Arial" w:hAnsi="Arial"/>
          <w:sz w:val="15"/>
          <w:szCs w:val="15"/>
          <w:color w:val="auto"/>
        </w:rPr>
      </w:pPr>
      <w:r>
        <w:rPr>
          <w:rFonts w:ascii="Arial" w:cs="Arial" w:eastAsia="Arial" w:hAnsi="Arial"/>
          <w:sz w:val="15"/>
          <w:szCs w:val="15"/>
          <w:b w:val="1"/>
          <w:bCs w:val="1"/>
          <w:color w:val="auto"/>
        </w:rPr>
        <w:t xml:space="preserve">Property Insurance </w:t>
      </w:r>
      <w:r>
        <w:rPr>
          <w:rFonts w:ascii="Arial" w:cs="Arial" w:eastAsia="Arial" w:hAnsi="Arial"/>
          <w:sz w:val="15"/>
          <w:szCs w:val="15"/>
          <w:color w:val="auto"/>
        </w:rPr>
        <w:t>– Policy No.</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0009184903-14-8</w:t>
      </w:r>
      <w:r>
        <w:rPr>
          <w:rFonts w:ascii="Arial" w:cs="Arial" w:eastAsia="Arial" w:hAnsi="Arial"/>
          <w:sz w:val="15"/>
          <w:szCs w:val="15"/>
          <w:color w:val="auto"/>
        </w:rPr>
        <w:t>. Insurance covering the Supplier's property, including property in its possession and/or under its responsibility and/or held by it</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in a deposit and for which it is liable, at the purchase value as new, and/or reconstruction of the property including inventory insured in accordance with the definition in the Policy, against loss or damage due to the risks covered by the policy known as an “Extended Fire” Insurance Policy, including additional insured risks and extensions as defined in the policy known as “BIT 2013”. Without derogating from the generality of the aforesaid, including loss or damage due to the following </w:t>
      </w:r>
      <w:r>
        <w:rPr>
          <w:rFonts w:ascii="Arial" w:cs="Arial" w:eastAsia="Arial" w:hAnsi="Arial"/>
          <w:sz w:val="15"/>
          <w:szCs w:val="15"/>
          <w:i w:val="1"/>
          <w:iCs w:val="1"/>
          <w:color w:val="auto"/>
        </w:rPr>
        <w:t>insured</w:t>
      </w:r>
      <w:r>
        <w:rPr>
          <w:rFonts w:ascii="Arial" w:cs="Arial" w:eastAsia="Arial" w:hAnsi="Arial"/>
          <w:sz w:val="15"/>
          <w:szCs w:val="15"/>
          <w:color w:val="auto"/>
        </w:rPr>
        <w:t xml:space="preserve"> risks: fire, lightning, explosion, damage due to liquids and bursts, collision, the costs of removal of demolitions up to 10% of the sum of the damage, break-in, theft and burglary on the basis of first damage, natural damages, earthquake damages, strikes, riots, malicious damage, reconstruction of documents, breakage of windowpanes, loss of rental, collapse of shelves, as defined in the policy known as “BIT 2013”.</w:t>
      </w:r>
    </w:p>
    <w:p>
      <w:pPr>
        <w:spacing w:after="0" w:line="157" w:lineRule="exact"/>
        <w:rPr>
          <w:rFonts w:ascii="Arial" w:cs="Arial" w:eastAsia="Arial" w:hAnsi="Arial"/>
          <w:sz w:val="15"/>
          <w:szCs w:val="15"/>
          <w:color w:val="auto"/>
        </w:rPr>
      </w:pPr>
    </w:p>
    <w:p>
      <w:pPr>
        <w:jc w:val="both"/>
        <w:ind w:left="540"/>
        <w:spacing w:after="0" w:line="259" w:lineRule="auto"/>
        <w:rPr>
          <w:rFonts w:ascii="Arial" w:cs="Arial" w:eastAsia="Arial" w:hAnsi="Arial"/>
          <w:sz w:val="15"/>
          <w:szCs w:val="15"/>
          <w:color w:val="auto"/>
        </w:rPr>
      </w:pPr>
      <w:r>
        <w:rPr>
          <w:rFonts w:ascii="Arial" w:cs="Arial" w:eastAsia="Arial" w:hAnsi="Arial"/>
          <w:sz w:val="15"/>
          <w:szCs w:val="15"/>
          <w:b w:val="1"/>
          <w:bCs w:val="1"/>
          <w:color w:val="auto"/>
        </w:rPr>
        <w:t xml:space="preserve">Consequential Loss Insurance </w:t>
      </w:r>
      <w:r>
        <w:rPr>
          <w:rFonts w:ascii="Arial" w:cs="Arial" w:eastAsia="Arial" w:hAnsi="Arial"/>
          <w:sz w:val="15"/>
          <w:szCs w:val="15"/>
          <w:color w:val="auto"/>
        </w:rPr>
        <w:t>– Policy No.</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0009184903-14-8</w:t>
      </w:r>
      <w:r>
        <w:rPr>
          <w:rFonts w:ascii="Arial" w:cs="Arial" w:eastAsia="Arial" w:hAnsi="Arial"/>
          <w:sz w:val="15"/>
          <w:szCs w:val="15"/>
          <w:color w:val="auto"/>
        </w:rPr>
        <w:t>. Insurance for loss of turnover, increase of operating costs and any expansions as defined in the policy known as</w:t>
      </w:r>
      <w:r>
        <w:rPr>
          <w:rFonts w:ascii="Arial" w:cs="Arial" w:eastAsia="Arial" w:hAnsi="Arial"/>
          <w:sz w:val="15"/>
          <w:szCs w:val="15"/>
          <w:b w:val="1"/>
          <w:bCs w:val="1"/>
          <w:color w:val="auto"/>
        </w:rPr>
        <w:t xml:space="preserve"> </w:t>
      </w:r>
      <w:r>
        <w:rPr>
          <w:rFonts w:ascii="Arial" w:cs="Arial" w:eastAsia="Arial" w:hAnsi="Arial"/>
          <w:sz w:val="15"/>
          <w:szCs w:val="15"/>
          <w:color w:val="auto"/>
        </w:rPr>
        <w:t>“BIT 2013”. Without derogating from the generality of the aforesaid, including for: compensation for breach of contract, unpaid debts, increased operating costs and the costs of preparation of lawsuits which may be incurred by the Supplier due to the events insured under section 1, Property Insurance, known as “Extended Fire” Insurance, above. The term of the indemnity under this insurance shall be 12 months.</w:t>
      </w:r>
    </w:p>
    <w:p>
      <w:pPr>
        <w:spacing w:after="0" w:line="152" w:lineRule="exact"/>
        <w:rPr>
          <w:rFonts w:ascii="Arial" w:cs="Arial" w:eastAsia="Arial" w:hAnsi="Arial"/>
          <w:sz w:val="15"/>
          <w:szCs w:val="15"/>
          <w:color w:val="auto"/>
        </w:rPr>
      </w:pPr>
    </w:p>
    <w:p>
      <w:pPr>
        <w:jc w:val="both"/>
        <w:ind w:left="540" w:hanging="531"/>
        <w:spacing w:after="0" w:line="254" w:lineRule="auto"/>
        <w:tabs>
          <w:tab w:leader="none" w:pos="540" w:val="left"/>
        </w:tabs>
        <w:numPr>
          <w:ilvl w:val="0"/>
          <w:numId w:val="63"/>
        </w:numPr>
        <w:rPr>
          <w:rFonts w:ascii="Arial" w:cs="Arial" w:eastAsia="Arial" w:hAnsi="Arial"/>
          <w:sz w:val="15"/>
          <w:szCs w:val="15"/>
          <w:color w:val="auto"/>
        </w:rPr>
      </w:pPr>
      <w:r>
        <w:rPr>
          <w:rFonts w:ascii="Arial" w:cs="Arial" w:eastAsia="Arial" w:hAnsi="Arial"/>
          <w:sz w:val="15"/>
          <w:szCs w:val="15"/>
          <w:b w:val="1"/>
          <w:bCs w:val="1"/>
          <w:color w:val="auto"/>
        </w:rPr>
        <w:t xml:space="preserve">Employer's Liability Insurance </w:t>
      </w:r>
      <w:r>
        <w:rPr>
          <w:rFonts w:ascii="Arial" w:cs="Arial" w:eastAsia="Arial" w:hAnsi="Arial"/>
          <w:sz w:val="15"/>
          <w:szCs w:val="15"/>
          <w:color w:val="auto"/>
        </w:rPr>
        <w:t>– Policy No.</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0004091271-14-4</w:t>
      </w:r>
      <w:r>
        <w:rPr>
          <w:rFonts w:ascii="Arial" w:cs="Arial" w:eastAsia="Arial" w:hAnsi="Arial"/>
          <w:sz w:val="15"/>
          <w:szCs w:val="15"/>
          <w:color w:val="auto"/>
        </w:rPr>
        <w:t>. To insure the liability of the Supplier, by law, vis-à-vis its employees, for death and/or bodily injury and/or mental</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injury and/or emotional injury and/or industrial disease to its employees during the course of and/or as a result of their employment and/or work, without derogating from the generality of the aforesaid with respect to “Services”, up to a liability ceiling of NIS 20,000,000 per event and in total for an annual insurance term. This policy shall not contain any exception, exclusion or restriction with respect to: traps and poisons, work days and times, work at heights or depths, the </w:t>
      </w:r>
      <w:r>
        <w:rPr>
          <w:rFonts w:ascii="Arial" w:cs="Arial" w:eastAsia="Arial" w:hAnsi="Arial"/>
          <w:sz w:val="15"/>
          <w:szCs w:val="15"/>
          <w:i w:val="1"/>
          <w:iCs w:val="1"/>
          <w:color w:val="auto"/>
        </w:rPr>
        <w:t>lawful</w:t>
      </w:r>
      <w:r>
        <w:rPr>
          <w:rFonts w:ascii="Arial" w:cs="Arial" w:eastAsia="Arial" w:hAnsi="Arial"/>
          <w:sz w:val="15"/>
          <w:szCs w:val="15"/>
          <w:color w:val="auto"/>
        </w:rPr>
        <w:t xml:space="preserve"> employment of youth, liability for contractors, sub-contractors and their employees, in the event that the Supplier is deemed to be the employer of the above. The policy is extended to indemnify the Customer and/or its managers and/or employees for any claim that may be filed against any of them and/or for any allegation that they bear employer's liability vis-à-vis any of the employees of the Supplier.</w:t>
      </w:r>
    </w:p>
    <w:p>
      <w:pPr>
        <w:sectPr>
          <w:pgSz w:w="11900" w:h="16838" w:orient="portrait"/>
          <w:cols w:equalWidth="0" w:num="1">
            <w:col w:w="11340"/>
          </w:cols>
          <w:pgMar w:left="280" w:top="610" w:right="279" w:bottom="1440" w:gutter="0" w:footer="0" w:header="0"/>
        </w:sectPr>
      </w:pPr>
    </w:p>
    <w:bookmarkStart w:id="81" w:name="page82"/>
    <w:bookmarkEnd w:id="81"/>
    <w:p>
      <w:pPr>
        <w:spacing w:after="0"/>
        <w:rPr>
          <w:sz w:val="20"/>
          <w:szCs w:val="20"/>
          <w:color w:val="auto"/>
        </w:rPr>
      </w:pPr>
      <w:r>
        <w:rPr>
          <w:rFonts w:ascii="Arial" w:cs="Arial" w:eastAsia="Arial" w:hAnsi="Arial"/>
          <w:sz w:val="15"/>
          <w:szCs w:val="15"/>
          <w:b w:val="1"/>
          <w:bCs w:val="1"/>
          <w:color w:val="auto"/>
        </w:rPr>
        <w:t>Appendix 4</w:t>
      </w:r>
    </w:p>
    <w:p>
      <w:pPr>
        <w:spacing w:after="0" w:line="198" w:lineRule="exact"/>
        <w:rPr>
          <w:sz w:val="20"/>
          <w:szCs w:val="20"/>
          <w:color w:val="auto"/>
        </w:rPr>
      </w:pPr>
    </w:p>
    <w:p>
      <w:pPr>
        <w:jc w:val="both"/>
        <w:ind w:left="540" w:hanging="531"/>
        <w:spacing w:after="0" w:line="295" w:lineRule="auto"/>
        <w:tabs>
          <w:tab w:leader="none" w:pos="540" w:val="left"/>
        </w:tabs>
        <w:numPr>
          <w:ilvl w:val="0"/>
          <w:numId w:val="64"/>
        </w:numPr>
        <w:rPr>
          <w:rFonts w:ascii="Arial" w:cs="Arial" w:eastAsia="Arial" w:hAnsi="Arial"/>
          <w:sz w:val="13"/>
          <w:szCs w:val="13"/>
          <w:color w:val="auto"/>
        </w:rPr>
      </w:pPr>
      <w:r>
        <w:rPr>
          <w:rFonts w:ascii="Arial" w:cs="Arial" w:eastAsia="Arial" w:hAnsi="Arial"/>
          <w:sz w:val="13"/>
          <w:szCs w:val="13"/>
          <w:b w:val="1"/>
          <w:bCs w:val="1"/>
          <w:color w:val="auto"/>
        </w:rPr>
        <w:t xml:space="preserve">Third Party Liability Insurance </w:t>
      </w:r>
      <w:r>
        <w:rPr>
          <w:rFonts w:ascii="Arial" w:cs="Arial" w:eastAsia="Arial" w:hAnsi="Arial"/>
          <w:sz w:val="13"/>
          <w:szCs w:val="13"/>
          <w:color w:val="auto"/>
        </w:rPr>
        <w:t>– Policy No.</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0006171940-14-4</w:t>
      </w:r>
      <w:r>
        <w:rPr>
          <w:rFonts w:ascii="Arial" w:cs="Arial" w:eastAsia="Arial" w:hAnsi="Arial"/>
          <w:sz w:val="13"/>
          <w:szCs w:val="13"/>
          <w:color w:val="auto"/>
        </w:rPr>
        <w:t>. Insurance covering the liability of the Supplier by law for damage and/or loss caused and/or that may be caused</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to a third party, including to the Customer and/or any person acting on its behalf, during the course of and/or as a result of the “Services”. At a liability ceiling of NIS 4,000,000 per event and in total for an annual insurance term. The policy shall not include any exception, exclusion or limitation with respect to: fire, explosion, accidental and </w:t>
      </w:r>
      <w:r>
        <w:rPr>
          <w:rFonts w:ascii="Arial" w:cs="Arial" w:eastAsia="Arial" w:hAnsi="Arial"/>
          <w:sz w:val="13"/>
          <w:szCs w:val="13"/>
          <w:i w:val="1"/>
          <w:iCs w:val="1"/>
          <w:color w:val="auto"/>
        </w:rPr>
        <w:t>unexpected</w:t>
      </w:r>
      <w:r>
        <w:rPr>
          <w:rFonts w:ascii="Arial" w:cs="Arial" w:eastAsia="Arial" w:hAnsi="Arial"/>
          <w:sz w:val="13"/>
          <w:szCs w:val="13"/>
          <w:color w:val="auto"/>
        </w:rPr>
        <w:t xml:space="preserve"> pollution, anything harmful in food or beverage, panic, machinery for lifting, loading and unloading, liability for sub-contractors and their employees, faulty sanitary facilities, poisoning, strikes and lock-outs, subrogation claims by the National Insurance Institute, without derogating from the coverage given under the extended insurance policy, to cover: damage to such portion of the property worked on at the time of the occurrence of the insurance event, on condition that the damage was caused directly by the said activity, except for the portion worked upon, up to a liability ceiling of not less than the sum of NIS 1,000,000 per event and in total for an annual insurance term, damage to third party property as a result of vehicles, above the coverage given in the vehicle policy. The employees of the Supplier and/or any person deemed to be an employee of the Supplier shall be deemed to be a third party with respect to the Customer and/or, its employees and customers, including their property, shall be deemed to be a third party [sic]. The policy is extended to indemnify the Customer for liability that might be imposed upon it due to the acts and/or omissions of the Supplier and/or persons acting on its behalf, the policy to include a cross-liability clause under which the policy shall be deemed to have been drafted for each of the individual insured persons.</w:t>
      </w:r>
    </w:p>
    <w:p>
      <w:pPr>
        <w:spacing w:after="0" w:line="131" w:lineRule="exact"/>
        <w:rPr>
          <w:rFonts w:ascii="Arial" w:cs="Arial" w:eastAsia="Arial" w:hAnsi="Arial"/>
          <w:sz w:val="13"/>
          <w:szCs w:val="13"/>
          <w:color w:val="auto"/>
        </w:rPr>
      </w:pPr>
    </w:p>
    <w:p>
      <w:pPr>
        <w:jc w:val="both"/>
        <w:ind w:left="540" w:hanging="531"/>
        <w:spacing w:after="0" w:line="274" w:lineRule="auto"/>
        <w:tabs>
          <w:tab w:leader="none" w:pos="540" w:val="left"/>
        </w:tabs>
        <w:numPr>
          <w:ilvl w:val="0"/>
          <w:numId w:val="64"/>
        </w:numPr>
        <w:rPr>
          <w:rFonts w:ascii="Arial" w:cs="Arial" w:eastAsia="Arial" w:hAnsi="Arial"/>
          <w:sz w:val="14"/>
          <w:szCs w:val="14"/>
          <w:color w:val="auto"/>
        </w:rPr>
      </w:pPr>
      <w:r>
        <w:rPr>
          <w:rFonts w:ascii="Arial" w:cs="Arial" w:eastAsia="Arial" w:hAnsi="Arial"/>
          <w:sz w:val="14"/>
          <w:szCs w:val="14"/>
          <w:b w:val="1"/>
          <w:bCs w:val="1"/>
          <w:color w:val="auto"/>
        </w:rPr>
        <w:t xml:space="preserve">Professional Liability Insurance </w:t>
      </w:r>
      <w:r>
        <w:rPr>
          <w:rFonts w:ascii="Arial" w:cs="Arial" w:eastAsia="Arial" w:hAnsi="Arial"/>
          <w:sz w:val="14"/>
          <w:szCs w:val="14"/>
          <w:color w:val="auto"/>
        </w:rPr>
        <w:t>– Policy No.</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0010226638-14-6</w:t>
      </w:r>
      <w:r>
        <w:rPr>
          <w:rFonts w:ascii="Arial" w:cs="Arial" w:eastAsia="Arial" w:hAnsi="Arial"/>
          <w:sz w:val="14"/>
          <w:szCs w:val="14"/>
          <w:color w:val="auto"/>
        </w:rPr>
        <w:t>. For the Supplier's liability due to any claim and/or demand first submitted during the course of the insurance</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term for a professional act or omission on the part of the Supplier and/or its </w:t>
      </w:r>
      <w:r>
        <w:rPr>
          <w:rFonts w:ascii="Arial" w:cs="Arial" w:eastAsia="Arial" w:hAnsi="Arial"/>
          <w:sz w:val="14"/>
          <w:szCs w:val="14"/>
          <w:i w:val="1"/>
          <w:iCs w:val="1"/>
          <w:color w:val="auto"/>
        </w:rPr>
        <w:t>employees</w:t>
      </w:r>
      <w:r>
        <w:rPr>
          <w:rFonts w:ascii="Arial" w:cs="Arial" w:eastAsia="Arial" w:hAnsi="Arial"/>
          <w:sz w:val="14"/>
          <w:szCs w:val="14"/>
          <w:color w:val="auto"/>
        </w:rPr>
        <w:t>, including with respect to provision of the Services the subject of this Certificate. At a liability ceiling of USD 4,500,000 per event and in total for an annual insurance term. Territorial boundaries – worldwide. Jurisdiction – Israel only. The policy is extended to indemnify the Customer for liability that might be imposed upon it due to the act and/or omission of the Supplier and/or any person acting on its behalf, subject to a cross-liability clause under which the policy shall be deemed to have been drafted for each of the individual insured persons separately, and without derogating from the insurance of the Supplier's liability to the Customer. The policy shall include a 6 month disclosure period after the end of the insurance term, which shall come into force in the event of cancellation of this policy or an adverse amendment of the conditions of it or failure to renew it, unless the Supplier takes out alternative insurance which provides coverage as is required by the provisions of this section. The aforesaid insurance includes a retroactive date that is not later than January 1, 2008.</w:t>
      </w:r>
    </w:p>
    <w:p>
      <w:pPr>
        <w:spacing w:after="0" w:line="144" w:lineRule="exact"/>
        <w:rPr>
          <w:rFonts w:ascii="Arial" w:cs="Arial" w:eastAsia="Arial" w:hAnsi="Arial"/>
          <w:sz w:val="14"/>
          <w:szCs w:val="14"/>
          <w:color w:val="auto"/>
        </w:rPr>
      </w:pPr>
    </w:p>
    <w:p>
      <w:pPr>
        <w:jc w:val="both"/>
        <w:ind w:left="540" w:hanging="531"/>
        <w:spacing w:after="0" w:line="275" w:lineRule="auto"/>
        <w:tabs>
          <w:tab w:leader="none" w:pos="540" w:val="left"/>
        </w:tabs>
        <w:numPr>
          <w:ilvl w:val="0"/>
          <w:numId w:val="64"/>
        </w:numPr>
        <w:rPr>
          <w:rFonts w:ascii="Arial" w:cs="Arial" w:eastAsia="Arial" w:hAnsi="Arial"/>
          <w:sz w:val="14"/>
          <w:szCs w:val="14"/>
          <w:color w:val="auto"/>
        </w:rPr>
      </w:pPr>
      <w:r>
        <w:rPr>
          <w:rFonts w:ascii="Arial" w:cs="Arial" w:eastAsia="Arial" w:hAnsi="Arial"/>
          <w:sz w:val="14"/>
          <w:szCs w:val="14"/>
          <w:b w:val="1"/>
          <w:bCs w:val="1"/>
          <w:color w:val="auto"/>
        </w:rPr>
        <w:t xml:space="preserve">Product Liability Insurance </w:t>
      </w:r>
      <w:r>
        <w:rPr>
          <w:rFonts w:ascii="Arial" w:cs="Arial" w:eastAsia="Arial" w:hAnsi="Arial"/>
          <w:sz w:val="14"/>
          <w:szCs w:val="14"/>
          <w:color w:val="auto"/>
        </w:rPr>
        <w:t>– Policy No.</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009499235314-6</w:t>
      </w:r>
      <w:r>
        <w:rPr>
          <w:rFonts w:ascii="Arial" w:cs="Arial" w:eastAsia="Arial" w:hAnsi="Arial"/>
          <w:sz w:val="14"/>
          <w:szCs w:val="14"/>
          <w:color w:val="auto"/>
        </w:rPr>
        <w:t>. For the Supplier's liability under the law; territorial boundaries – worldwide; jurisdiction – Israel only; for any damage</w:t>
      </w:r>
      <w:r>
        <w:rPr>
          <w:rFonts w:ascii="Arial" w:cs="Arial" w:eastAsia="Arial" w:hAnsi="Arial"/>
          <w:sz w:val="14"/>
          <w:szCs w:val="14"/>
          <w:b w:val="1"/>
          <w:bCs w:val="1"/>
          <w:color w:val="auto"/>
        </w:rPr>
        <w:t xml:space="preserve"> </w:t>
      </w:r>
      <w:r>
        <w:rPr>
          <w:rFonts w:ascii="Arial" w:cs="Arial" w:eastAsia="Arial" w:hAnsi="Arial"/>
          <w:sz w:val="14"/>
          <w:szCs w:val="14"/>
          <w:color w:val="auto"/>
        </w:rPr>
        <w:t>to the person and/or property of any person and/or entity including consequential damage with respect to damage due to and/or as a result of the products manufactured and/or handled and/or marketed and/or supplied by the Supplier and/or the persons acting on its behalf, including with respect to the products the subject of this Certificate, at a liability ceiling of NIS 4,500,000 per event and in total for an annual insurance period. The policy shall be extended to indemnify the Customer for its liability for the acts and/or omissions of the Supplier and/or its employees and managers, without derogating from the Supplier's liability vis-à-vis the Customer and/or any person acting on its behalf. The policy shall include a 6 month disclosure period after the end of the insurance term, unless the Supplier takes out alternative insurance which provides coverage as is required by the provisions of this section. The retroactive date in the Policy shall be not later than January 1, 2008.</w:t>
      </w:r>
    </w:p>
    <w:p>
      <w:pPr>
        <w:sectPr>
          <w:pgSz w:w="11900" w:h="16838" w:orient="portrait"/>
          <w:cols w:equalWidth="0" w:num="1">
            <w:col w:w="11340"/>
          </w:cols>
          <w:pgMar w:left="280" w:top="596" w:right="279" w:bottom="1440" w:gutter="0" w:footer="0" w:header="0"/>
        </w:sectPr>
      </w:pPr>
    </w:p>
    <w:bookmarkStart w:id="82" w:name="page83"/>
    <w:bookmarkEnd w:id="82"/>
    <w:p>
      <w:pPr>
        <w:spacing w:after="0"/>
        <w:rPr>
          <w:sz w:val="20"/>
          <w:szCs w:val="20"/>
          <w:color w:val="auto"/>
        </w:rPr>
      </w:pPr>
      <w:r>
        <w:rPr>
          <w:rFonts w:ascii="Arial" w:cs="Arial" w:eastAsia="Arial" w:hAnsi="Arial"/>
          <w:sz w:val="15"/>
          <w:szCs w:val="15"/>
          <w:b w:val="1"/>
          <w:bCs w:val="1"/>
          <w:color w:val="auto"/>
        </w:rPr>
        <w:t>Appendix 4</w:t>
      </w:r>
    </w:p>
    <w:p>
      <w:pPr>
        <w:spacing w:after="0" w:line="202" w:lineRule="exact"/>
        <w:rPr>
          <w:sz w:val="20"/>
          <w:szCs w:val="20"/>
          <w:color w:val="auto"/>
        </w:rPr>
      </w:pPr>
    </w:p>
    <w:p>
      <w:pPr>
        <w:ind w:left="540" w:right="2120" w:hanging="531"/>
        <w:spacing w:after="0" w:line="499" w:lineRule="auto"/>
        <w:tabs>
          <w:tab w:leader="none" w:pos="540" w:val="left"/>
        </w:tabs>
        <w:numPr>
          <w:ilvl w:val="0"/>
          <w:numId w:val="65"/>
        </w:numPr>
        <w:rPr>
          <w:rFonts w:ascii="Arial" w:cs="Arial" w:eastAsia="Arial" w:hAnsi="Arial"/>
          <w:sz w:val="15"/>
          <w:szCs w:val="15"/>
          <w:color w:val="auto"/>
        </w:rPr>
      </w:pPr>
      <w:r>
        <w:rPr>
          <w:rFonts w:ascii="Arial" w:cs="Arial" w:eastAsia="Arial" w:hAnsi="Arial"/>
          <w:sz w:val="15"/>
          <w:szCs w:val="15"/>
          <w:color w:val="auto"/>
        </w:rPr>
        <w:t>For the avoidance of doubt, the liability ceiling in the property liability insurance is shared with that of the professional liability insurance policy. All of the insurance policies contain the following express conditions:</w:t>
      </w:r>
    </w:p>
    <w:p>
      <w:pPr>
        <w:ind w:left="1080" w:hanging="532"/>
        <w:spacing w:after="0" w:line="272" w:lineRule="auto"/>
        <w:tabs>
          <w:tab w:leader="none" w:pos="1080" w:val="left"/>
        </w:tabs>
        <w:numPr>
          <w:ilvl w:val="1"/>
          <w:numId w:val="65"/>
        </w:numPr>
        <w:rPr>
          <w:rFonts w:ascii="Arial" w:cs="Arial" w:eastAsia="Arial" w:hAnsi="Arial"/>
          <w:sz w:val="15"/>
          <w:szCs w:val="15"/>
          <w:color w:val="auto"/>
        </w:rPr>
      </w:pPr>
      <w:r>
        <w:rPr>
          <w:rFonts w:ascii="Arial" w:cs="Arial" w:eastAsia="Arial" w:hAnsi="Arial"/>
          <w:sz w:val="15"/>
          <w:szCs w:val="15"/>
          <w:color w:val="auto"/>
        </w:rPr>
        <w:t>The name of the insured on every policy shall include Kornit Digital Technologies Ltd. and/or subsidiaries acting on its behalf and/or its employees and/or managers acting for it (hereinafter: the “Customer”).</w:t>
      </w:r>
    </w:p>
    <w:p>
      <w:pPr>
        <w:spacing w:after="0" w:line="147" w:lineRule="exact"/>
        <w:rPr>
          <w:rFonts w:ascii="Arial" w:cs="Arial" w:eastAsia="Arial" w:hAnsi="Arial"/>
          <w:sz w:val="15"/>
          <w:szCs w:val="15"/>
          <w:color w:val="auto"/>
        </w:rPr>
      </w:pPr>
    </w:p>
    <w:p>
      <w:pPr>
        <w:jc w:val="both"/>
        <w:ind w:left="1080" w:right="20" w:hanging="532"/>
        <w:spacing w:after="0" w:line="261" w:lineRule="auto"/>
        <w:tabs>
          <w:tab w:leader="none" w:pos="1080" w:val="left"/>
        </w:tabs>
        <w:numPr>
          <w:ilvl w:val="1"/>
          <w:numId w:val="65"/>
        </w:numPr>
        <w:rPr>
          <w:rFonts w:ascii="Arial" w:cs="Arial" w:eastAsia="Arial" w:hAnsi="Arial"/>
          <w:sz w:val="15"/>
          <w:szCs w:val="15"/>
          <w:color w:val="auto"/>
        </w:rPr>
      </w:pPr>
      <w:r>
        <w:rPr>
          <w:rFonts w:ascii="Arial" w:cs="Arial" w:eastAsia="Arial" w:hAnsi="Arial"/>
          <w:sz w:val="15"/>
          <w:szCs w:val="15"/>
          <w:color w:val="auto"/>
        </w:rPr>
        <w:t>The scope of the coverage under the policies, with the exception of the professional liability insurance, shall not be lower than the coverage given under the form of policy known as “BIT 2008” * [*except for property insurance and consequential loss insurance] in accordance with the insurance coverage set out above, in accordance with the BIT form existing as at the date of execution of the insurance policies, with all of the expansions set out in the policies.</w:t>
      </w:r>
    </w:p>
    <w:p>
      <w:pPr>
        <w:spacing w:after="0" w:line="154" w:lineRule="exact"/>
        <w:rPr>
          <w:rFonts w:ascii="Arial" w:cs="Arial" w:eastAsia="Arial" w:hAnsi="Arial"/>
          <w:sz w:val="15"/>
          <w:szCs w:val="15"/>
          <w:color w:val="auto"/>
        </w:rPr>
      </w:pPr>
    </w:p>
    <w:p>
      <w:pPr>
        <w:ind w:left="1080" w:right="20" w:hanging="532"/>
        <w:spacing w:after="0" w:line="272" w:lineRule="auto"/>
        <w:tabs>
          <w:tab w:leader="none" w:pos="1080" w:val="left"/>
        </w:tabs>
        <w:numPr>
          <w:ilvl w:val="1"/>
          <w:numId w:val="65"/>
        </w:numPr>
        <w:rPr>
          <w:rFonts w:ascii="Arial" w:cs="Arial" w:eastAsia="Arial" w:hAnsi="Arial"/>
          <w:sz w:val="15"/>
          <w:szCs w:val="15"/>
          <w:color w:val="auto"/>
        </w:rPr>
      </w:pPr>
      <w:r>
        <w:rPr>
          <w:rFonts w:ascii="Arial" w:cs="Arial" w:eastAsia="Arial" w:hAnsi="Arial"/>
          <w:sz w:val="15"/>
          <w:szCs w:val="15"/>
          <w:color w:val="auto"/>
        </w:rPr>
        <w:t>The failure to perform the conditions and stipulations of the policies in good faith by the Supplier shall not derogate from the “Customer's” rights to receive indemnification under the policies.</w:t>
      </w:r>
    </w:p>
    <w:p>
      <w:pPr>
        <w:spacing w:after="0" w:line="147" w:lineRule="exact"/>
        <w:rPr>
          <w:rFonts w:ascii="Arial" w:cs="Arial" w:eastAsia="Arial" w:hAnsi="Arial"/>
          <w:sz w:val="15"/>
          <w:szCs w:val="15"/>
          <w:color w:val="auto"/>
        </w:rPr>
      </w:pPr>
    </w:p>
    <w:p>
      <w:pPr>
        <w:ind w:left="1080" w:right="20" w:hanging="532"/>
        <w:spacing w:after="0" w:line="272" w:lineRule="auto"/>
        <w:tabs>
          <w:tab w:leader="none" w:pos="1080" w:val="left"/>
        </w:tabs>
        <w:numPr>
          <w:ilvl w:val="1"/>
          <w:numId w:val="65"/>
        </w:numPr>
        <w:rPr>
          <w:rFonts w:ascii="Arial" w:cs="Arial" w:eastAsia="Arial" w:hAnsi="Arial"/>
          <w:sz w:val="15"/>
          <w:szCs w:val="15"/>
          <w:color w:val="auto"/>
        </w:rPr>
      </w:pPr>
      <w:r>
        <w:rPr>
          <w:rFonts w:ascii="Arial" w:cs="Arial" w:eastAsia="Arial" w:hAnsi="Arial"/>
          <w:sz w:val="15"/>
          <w:szCs w:val="15"/>
          <w:color w:val="auto"/>
        </w:rPr>
        <w:t>Any section in the policies (if any) which expropriates or reduces or in any way limits the insurer's liability, where there is other insurance as well, shall not be exercised against the Customer.</w:t>
      </w:r>
    </w:p>
    <w:p>
      <w:pPr>
        <w:spacing w:after="0" w:line="147" w:lineRule="exact"/>
        <w:rPr>
          <w:rFonts w:ascii="Arial" w:cs="Arial" w:eastAsia="Arial" w:hAnsi="Arial"/>
          <w:sz w:val="15"/>
          <w:szCs w:val="15"/>
          <w:color w:val="auto"/>
        </w:rPr>
      </w:pPr>
    </w:p>
    <w:p>
      <w:pPr>
        <w:jc w:val="both"/>
        <w:ind w:left="1080" w:hanging="532"/>
        <w:spacing w:after="0" w:line="261" w:lineRule="auto"/>
        <w:tabs>
          <w:tab w:leader="none" w:pos="1080" w:val="left"/>
        </w:tabs>
        <w:numPr>
          <w:ilvl w:val="1"/>
          <w:numId w:val="65"/>
        </w:numPr>
        <w:rPr>
          <w:rFonts w:ascii="Arial" w:cs="Arial" w:eastAsia="Arial" w:hAnsi="Arial"/>
          <w:sz w:val="15"/>
          <w:szCs w:val="15"/>
          <w:color w:val="auto"/>
        </w:rPr>
      </w:pPr>
      <w:r>
        <w:rPr>
          <w:rFonts w:ascii="Arial" w:cs="Arial" w:eastAsia="Arial" w:hAnsi="Arial"/>
          <w:sz w:val="15"/>
          <w:szCs w:val="15"/>
          <w:color w:val="auto"/>
        </w:rPr>
        <w:t xml:space="preserve">The insurance policies shall precede any insurance policy taken out by the “Customer” and the Supplier's insurer waives any right and/or claim and/or demand with respect to participation in the “Customer's” insurance policies. The insurer waives any right granted to it under section 59 of the Insurance Contract Law, 5741-1981 </w:t>
      </w:r>
      <w:r>
        <w:rPr>
          <w:rFonts w:ascii="Arial" w:cs="Arial" w:eastAsia="Arial" w:hAnsi="Arial"/>
          <w:sz w:val="15"/>
          <w:szCs w:val="15"/>
          <w:i w:val="1"/>
          <w:iCs w:val="1"/>
          <w:color w:val="auto"/>
        </w:rPr>
        <w:t>for the acts or</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omissions of the </w:t>
      </w:r>
      <w:r>
        <w:rPr>
          <w:rFonts w:ascii="Arial" w:cs="Arial" w:eastAsia="Arial" w:hAnsi="Arial"/>
          <w:sz w:val="15"/>
          <w:szCs w:val="15"/>
          <w:color w:val="auto"/>
        </w:rPr>
        <w:t>“</w:t>
      </w:r>
      <w:r>
        <w:rPr>
          <w:rFonts w:ascii="Arial" w:cs="Arial" w:eastAsia="Arial" w:hAnsi="Arial"/>
          <w:sz w:val="15"/>
          <w:szCs w:val="15"/>
          <w:i w:val="1"/>
          <w:iCs w:val="1"/>
          <w:color w:val="auto"/>
        </w:rPr>
        <w:t>Supplier</w:t>
      </w:r>
      <w:r>
        <w:rPr>
          <w:rFonts w:ascii="Arial" w:cs="Arial" w:eastAsia="Arial" w:hAnsi="Arial"/>
          <w:sz w:val="15"/>
          <w:szCs w:val="15"/>
          <w:color w:val="auto"/>
        </w:rPr>
        <w:t>”.</w:t>
      </w:r>
    </w:p>
    <w:p>
      <w:pPr>
        <w:spacing w:after="0" w:line="334" w:lineRule="exact"/>
        <w:rPr>
          <w:sz w:val="20"/>
          <w:szCs w:val="20"/>
          <w:color w:val="auto"/>
        </w:rPr>
      </w:pPr>
    </w:p>
    <w:p>
      <w:pPr>
        <w:jc w:val="both"/>
        <w:ind w:left="4320"/>
        <w:spacing w:after="0" w:line="261" w:lineRule="auto"/>
        <w:rPr>
          <w:sz w:val="20"/>
          <w:szCs w:val="20"/>
          <w:color w:val="auto"/>
        </w:rPr>
      </w:pPr>
      <w:r>
        <w:rPr>
          <w:rFonts w:ascii="Arial" w:cs="Arial" w:eastAsia="Arial" w:hAnsi="Arial"/>
          <w:sz w:val="15"/>
          <w:szCs w:val="15"/>
          <w:color w:val="auto"/>
        </w:rPr>
        <w:t>The Policies, including the liability ceilings set out in this Certificate, shall apply to all of the operations of all of the entities set out in the Policies, and inter alia, to the operations the subject of this Certificate, to the extent not amended herein.</w:t>
      </w:r>
    </w:p>
    <w:p>
      <w:pPr>
        <w:sectPr>
          <w:pgSz w:w="11900" w:h="16838" w:orient="portrait"/>
          <w:cols w:equalWidth="0" w:num="1">
            <w:col w:w="11340"/>
          </w:cols>
          <w:pgMar w:left="280" w:top="596" w:right="279" w:bottom="1440" w:gutter="0" w:footer="0" w:header="0"/>
        </w:sectPr>
      </w:pPr>
    </w:p>
    <w:bookmarkStart w:id="83" w:name="page84"/>
    <w:bookmarkEnd w:id="83"/>
    <w:p>
      <w:pPr>
        <w:spacing w:after="0"/>
        <w:rPr>
          <w:sz w:val="20"/>
          <w:szCs w:val="20"/>
          <w:color w:val="auto"/>
        </w:rPr>
      </w:pPr>
      <w:r>
        <w:rPr>
          <w:rFonts w:ascii="Arial" w:cs="Arial" w:eastAsia="Arial" w:hAnsi="Arial"/>
          <w:sz w:val="15"/>
          <w:szCs w:val="15"/>
          <w:b w:val="1"/>
          <w:bCs w:val="1"/>
          <w:color w:val="auto"/>
        </w:rPr>
        <w:t>Appendix 4</w:t>
      </w:r>
    </w:p>
    <w:p>
      <w:pPr>
        <w:spacing w:after="0" w:line="370" w:lineRule="exact"/>
        <w:rPr>
          <w:sz w:val="20"/>
          <w:szCs w:val="20"/>
          <w:color w:val="auto"/>
        </w:rPr>
      </w:pPr>
    </w:p>
    <w:p>
      <w:pPr>
        <w:ind w:left="1080" w:hanging="532"/>
        <w:spacing w:after="0"/>
        <w:tabs>
          <w:tab w:leader="none" w:pos="1080" w:val="left"/>
        </w:tabs>
        <w:numPr>
          <w:ilvl w:val="0"/>
          <w:numId w:val="66"/>
        </w:numPr>
        <w:rPr>
          <w:rFonts w:ascii="Arial" w:cs="Arial" w:eastAsia="Arial" w:hAnsi="Arial"/>
          <w:sz w:val="15"/>
          <w:szCs w:val="15"/>
          <w:color w:val="auto"/>
        </w:rPr>
      </w:pPr>
      <w:r>
        <w:rPr>
          <w:rFonts w:ascii="Arial" w:cs="Arial" w:eastAsia="Arial" w:hAnsi="Arial"/>
          <w:sz w:val="15"/>
          <w:szCs w:val="15"/>
          <w:color w:val="auto"/>
        </w:rPr>
        <w:t>The Supplier alone shall be liable for payment of the premiums and the policyholder’s contribution set out in the policies set out above.</w:t>
      </w:r>
    </w:p>
    <w:p>
      <w:pPr>
        <w:spacing w:after="0" w:line="186" w:lineRule="exact"/>
        <w:rPr>
          <w:rFonts w:ascii="Arial" w:cs="Arial" w:eastAsia="Arial" w:hAnsi="Arial"/>
          <w:sz w:val="15"/>
          <w:szCs w:val="15"/>
          <w:color w:val="auto"/>
        </w:rPr>
      </w:pPr>
    </w:p>
    <w:p>
      <w:pPr>
        <w:ind w:left="1080" w:hanging="532"/>
        <w:spacing w:after="0" w:line="272" w:lineRule="auto"/>
        <w:tabs>
          <w:tab w:leader="none" w:pos="1080" w:val="left"/>
        </w:tabs>
        <w:numPr>
          <w:ilvl w:val="0"/>
          <w:numId w:val="66"/>
        </w:numPr>
        <w:rPr>
          <w:rFonts w:ascii="Arial" w:cs="Arial" w:eastAsia="Arial" w:hAnsi="Arial"/>
          <w:sz w:val="15"/>
          <w:szCs w:val="15"/>
          <w:color w:val="auto"/>
        </w:rPr>
      </w:pPr>
      <w:r>
        <w:rPr>
          <w:rFonts w:ascii="Arial" w:cs="Arial" w:eastAsia="Arial" w:hAnsi="Arial"/>
          <w:sz w:val="15"/>
          <w:szCs w:val="15"/>
          <w:color w:val="auto"/>
        </w:rPr>
        <w:t>The insurance policies shall include an explicit section regarding waiver of the right of subrogation vis-à-vis the “Customer”, provided that the provisions regarding waiver of the right of subrogation shall not apply in favor of any person who causes malicious damage.</w:t>
      </w:r>
    </w:p>
    <w:p>
      <w:pPr>
        <w:spacing w:after="0" w:line="147" w:lineRule="exact"/>
        <w:rPr>
          <w:rFonts w:ascii="Arial" w:cs="Arial" w:eastAsia="Arial" w:hAnsi="Arial"/>
          <w:sz w:val="15"/>
          <w:szCs w:val="15"/>
          <w:color w:val="auto"/>
        </w:rPr>
      </w:pPr>
    </w:p>
    <w:p>
      <w:pPr>
        <w:ind w:left="1080" w:right="20" w:hanging="532"/>
        <w:spacing w:after="0" w:line="272" w:lineRule="auto"/>
        <w:tabs>
          <w:tab w:leader="none" w:pos="1080" w:val="left"/>
        </w:tabs>
        <w:numPr>
          <w:ilvl w:val="0"/>
          <w:numId w:val="66"/>
        </w:numPr>
        <w:rPr>
          <w:rFonts w:ascii="Arial" w:cs="Arial" w:eastAsia="Arial" w:hAnsi="Arial"/>
          <w:sz w:val="15"/>
          <w:szCs w:val="15"/>
          <w:color w:val="auto"/>
        </w:rPr>
      </w:pPr>
      <w:r>
        <w:rPr>
          <w:rFonts w:ascii="Arial" w:cs="Arial" w:eastAsia="Arial" w:hAnsi="Arial"/>
          <w:sz w:val="15"/>
          <w:szCs w:val="15"/>
          <w:color w:val="auto"/>
        </w:rPr>
        <w:t xml:space="preserve">The insurance policies are expanded to include a cross-liability section under which the insurance policies will be deemed to have been taken out separately for each of the individual insured persons, </w:t>
      </w:r>
      <w:r>
        <w:rPr>
          <w:rFonts w:ascii="Arial" w:cs="Arial" w:eastAsia="Arial" w:hAnsi="Arial"/>
          <w:sz w:val="15"/>
          <w:szCs w:val="15"/>
          <w:i w:val="1"/>
          <w:iCs w:val="1"/>
          <w:color w:val="auto"/>
        </w:rPr>
        <w:t>except for the employer's liability insurance policy and the property insurance policy</w:t>
      </w:r>
      <w:r>
        <w:rPr>
          <w:rFonts w:ascii="Arial" w:cs="Arial" w:eastAsia="Arial" w:hAnsi="Arial"/>
          <w:sz w:val="15"/>
          <w:szCs w:val="15"/>
          <w:color w:val="auto"/>
        </w:rPr>
        <w:t>.</w:t>
      </w:r>
    </w:p>
    <w:p>
      <w:pPr>
        <w:spacing w:after="0" w:line="147" w:lineRule="exact"/>
        <w:rPr>
          <w:rFonts w:ascii="Arial" w:cs="Arial" w:eastAsia="Arial" w:hAnsi="Arial"/>
          <w:sz w:val="15"/>
          <w:szCs w:val="15"/>
          <w:color w:val="auto"/>
        </w:rPr>
      </w:pPr>
    </w:p>
    <w:p>
      <w:pPr>
        <w:ind w:left="1080" w:hanging="532"/>
        <w:spacing w:after="0" w:line="309" w:lineRule="auto"/>
        <w:tabs>
          <w:tab w:leader="none" w:pos="108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insurer shall not be entitled to cancel and/or reduce the scope and/or to not renew the insurance policies, unless the insurer sends the Customer notice by registered mail of its intention to do so 60 days prior to the date of entry of cancellation of the insurance and/or reduction of the insurance coverage [into force].</w:t>
      </w:r>
    </w:p>
    <w:p>
      <w:pPr>
        <w:sectPr>
          <w:pgSz w:w="11900" w:h="16838" w:orient="portrait"/>
          <w:cols w:equalWidth="0" w:num="1">
            <w:col w:w="11340"/>
          </w:cols>
          <w:pgMar w:left="280" w:top="596"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left="220"/>
        <w:spacing w:after="0"/>
        <w:rPr>
          <w:sz w:val="20"/>
          <w:szCs w:val="20"/>
          <w:color w:val="auto"/>
        </w:rPr>
      </w:pPr>
      <w:r>
        <w:rPr>
          <w:rFonts w:ascii="Arial" w:cs="Arial" w:eastAsia="Arial" w:hAnsi="Arial"/>
          <w:sz w:val="15"/>
          <w:szCs w:val="15"/>
          <w:color w:val="auto"/>
        </w:rPr>
        <w:t>____________</w:t>
      </w:r>
    </w:p>
    <w:p>
      <w:pPr>
        <w:spacing w:after="0" w:line="17" w:lineRule="exact"/>
        <w:rPr>
          <w:sz w:val="20"/>
          <w:szCs w:val="20"/>
          <w:color w:val="auto"/>
        </w:rPr>
      </w:pPr>
    </w:p>
    <w:p>
      <w:pPr>
        <w:jc w:val="center"/>
        <w:ind w:left="220"/>
        <w:spacing w:after="0"/>
        <w:rPr>
          <w:sz w:val="20"/>
          <w:szCs w:val="20"/>
          <w:color w:val="auto"/>
        </w:rPr>
      </w:pPr>
      <w:r>
        <w:rPr>
          <w:rFonts w:ascii="Arial" w:cs="Arial" w:eastAsia="Arial" w:hAnsi="Arial"/>
          <w:sz w:val="13"/>
          <w:szCs w:val="13"/>
          <w:color w:val="auto"/>
        </w:rPr>
        <w:t>Name of Signatory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20"/>
        <w:spacing w:after="0"/>
        <w:rPr>
          <w:sz w:val="20"/>
          <w:szCs w:val="20"/>
          <w:color w:val="auto"/>
        </w:rPr>
      </w:pPr>
      <w:r>
        <w:rPr>
          <w:rFonts w:ascii="Arial" w:cs="Arial" w:eastAsia="Arial" w:hAnsi="Arial"/>
          <w:sz w:val="15"/>
          <w:szCs w:val="15"/>
          <w:color w:val="auto"/>
        </w:rPr>
        <w:t>_____________</w:t>
      </w:r>
    </w:p>
    <w:p>
      <w:pPr>
        <w:spacing w:after="0" w:line="17" w:lineRule="exact"/>
        <w:rPr>
          <w:sz w:val="20"/>
          <w:szCs w:val="20"/>
          <w:color w:val="auto"/>
        </w:rPr>
      </w:pPr>
    </w:p>
    <w:p>
      <w:pPr>
        <w:jc w:val="center"/>
        <w:ind w:right="320"/>
        <w:spacing w:after="0"/>
        <w:rPr>
          <w:sz w:val="20"/>
          <w:szCs w:val="20"/>
          <w:color w:val="auto"/>
        </w:rPr>
      </w:pPr>
      <w:r>
        <w:rPr>
          <w:rFonts w:ascii="Arial" w:cs="Arial" w:eastAsia="Arial" w:hAnsi="Arial"/>
          <w:sz w:val="13"/>
          <w:szCs w:val="13"/>
          <w:color w:val="auto"/>
        </w:rPr>
        <w:t>Position of Signatory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400"/>
        <w:spacing w:after="0"/>
        <w:rPr>
          <w:sz w:val="20"/>
          <w:szCs w:val="20"/>
          <w:color w:val="auto"/>
        </w:rPr>
      </w:pPr>
      <w:r>
        <w:rPr>
          <w:rFonts w:ascii="Arial" w:cs="Arial" w:eastAsia="Arial" w:hAnsi="Arial"/>
          <w:sz w:val="15"/>
          <w:szCs w:val="15"/>
          <w:color w:val="auto"/>
        </w:rPr>
        <w:t>_____________</w:t>
      </w:r>
    </w:p>
    <w:p>
      <w:pPr>
        <w:spacing w:after="0" w:line="17"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auto"/>
        </w:rPr>
        <w:t>Signature of Insurer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_____________</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Stamp of Insurer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80"/>
        <w:spacing w:after="0"/>
        <w:rPr>
          <w:sz w:val="20"/>
          <w:szCs w:val="20"/>
          <w:color w:val="auto"/>
        </w:rPr>
      </w:pPr>
      <w:r>
        <w:rPr>
          <w:rFonts w:ascii="Arial" w:cs="Arial" w:eastAsia="Arial" w:hAnsi="Arial"/>
          <w:sz w:val="13"/>
          <w:szCs w:val="13"/>
          <w:color w:val="auto"/>
        </w:rPr>
        <w:t>____________</w:t>
      </w:r>
    </w:p>
    <w:p>
      <w:pPr>
        <w:spacing w:after="0" w:line="40" w:lineRule="exact"/>
        <w:rPr>
          <w:sz w:val="20"/>
          <w:szCs w:val="20"/>
          <w:color w:val="auto"/>
        </w:rPr>
      </w:pPr>
    </w:p>
    <w:p>
      <w:pPr>
        <w:jc w:val="center"/>
        <w:ind w:right="580"/>
        <w:spacing w:after="0"/>
        <w:rPr>
          <w:sz w:val="20"/>
          <w:szCs w:val="20"/>
          <w:color w:val="auto"/>
        </w:rPr>
      </w:pPr>
      <w:r>
        <w:rPr>
          <w:rFonts w:ascii="Arial" w:cs="Arial" w:eastAsia="Arial" w:hAnsi="Arial"/>
          <w:sz w:val="15"/>
          <w:szCs w:val="15"/>
          <w:color w:val="auto"/>
        </w:rPr>
        <w:t>Date</w:t>
      </w:r>
    </w:p>
    <w:p>
      <w:pPr>
        <w:spacing w:after="0" w:line="200" w:lineRule="exact"/>
        <w:rPr>
          <w:sz w:val="20"/>
          <w:szCs w:val="20"/>
          <w:color w:val="auto"/>
        </w:rPr>
      </w:pPr>
    </w:p>
    <w:p>
      <w:pPr>
        <w:sectPr>
          <w:pgSz w:w="11900" w:h="16838" w:orient="portrait"/>
          <w:cols w:equalWidth="0" w:num="5">
            <w:col w:w="2400" w:space="720"/>
            <w:col w:w="1600" w:space="720"/>
            <w:col w:w="1580" w:space="720"/>
            <w:col w:w="1420" w:space="720"/>
            <w:col w:w="1460"/>
          </w:cols>
          <w:pgMar w:left="280" w:top="596" w:right="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4320"/>
        <w:spacing w:after="0" w:line="261" w:lineRule="auto"/>
        <w:rPr>
          <w:sz w:val="20"/>
          <w:szCs w:val="20"/>
          <w:color w:val="auto"/>
        </w:rPr>
      </w:pPr>
      <w:r>
        <w:rPr>
          <w:rFonts w:ascii="Arial" w:cs="Arial" w:eastAsia="Arial" w:hAnsi="Arial"/>
          <w:sz w:val="15"/>
          <w:szCs w:val="15"/>
          <w:color w:val="auto"/>
        </w:rPr>
        <w:t>The Policies, including the liability ceilings set out in this Certificate, shall apply to all of the operations of all of the entities set out in the Policies, and inter alia, to the operations the subject of this Certificate, to the extent not amended herein.</w:t>
      </w:r>
    </w:p>
    <w:p>
      <w:pPr>
        <w:sectPr>
          <w:pgSz w:w="11900" w:h="16838" w:orient="portrait"/>
          <w:cols w:equalWidth="0" w:num="1">
            <w:col w:w="11340"/>
          </w:cols>
          <w:pgMar w:left="280" w:top="596" w:right="279" w:bottom="1440" w:gutter="0" w:footer="0" w:header="0"/>
          <w:type w:val="continuous"/>
        </w:sectPr>
      </w:pPr>
    </w:p>
    <w:bookmarkStart w:id="84" w:name="page85"/>
    <w:bookmarkEnd w:id="84"/>
    <w:p>
      <w:pPr>
        <w:spacing w:after="0"/>
        <w:rPr>
          <w:sz w:val="20"/>
          <w:szCs w:val="20"/>
          <w:color w:val="auto"/>
        </w:rPr>
      </w:pPr>
      <w:r>
        <w:rPr>
          <w:rFonts w:ascii="Arial" w:cs="Arial" w:eastAsia="Arial" w:hAnsi="Arial"/>
          <w:sz w:val="15"/>
          <w:szCs w:val="15"/>
          <w:b w:val="1"/>
          <w:bCs w:val="1"/>
          <w:color w:val="auto"/>
        </w:rPr>
        <w:t>Appendix 5</w:t>
      </w:r>
    </w:p>
    <w:p>
      <w:pPr>
        <w:spacing w:after="0" w:line="370"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November 10, 2014</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To whom it may concern,</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Dear Sir/Madam,</w:t>
      </w:r>
    </w:p>
    <w:p>
      <w:pPr>
        <w:spacing w:after="0" w:line="182" w:lineRule="exact"/>
        <w:rPr>
          <w:sz w:val="20"/>
          <w:szCs w:val="20"/>
          <w:color w:val="auto"/>
        </w:rPr>
      </w:pPr>
    </w:p>
    <w:p>
      <w:pPr>
        <w:jc w:val="center"/>
        <w:ind w:right="-199"/>
        <w:spacing w:after="0"/>
        <w:rPr>
          <w:sz w:val="20"/>
          <w:szCs w:val="20"/>
          <w:color w:val="auto"/>
        </w:rPr>
      </w:pPr>
      <w:r>
        <w:rPr>
          <w:rFonts w:ascii="Arial" w:cs="Arial" w:eastAsia="Arial" w:hAnsi="Arial"/>
          <w:sz w:val="15"/>
          <w:szCs w:val="15"/>
          <w:b w:val="1"/>
          <w:bCs w:val="1"/>
          <w:u w:val="single" w:color="auto"/>
          <w:color w:val="auto"/>
        </w:rPr>
        <w:t>Re: Kornit Digital Technologies LTD., C.N. 51-384675-8 (hereinafter: "the Company")</w:t>
      </w:r>
    </w:p>
    <w:p>
      <w:pPr>
        <w:spacing w:after="0" w:line="190" w:lineRule="exact"/>
        <w:rPr>
          <w:sz w:val="20"/>
          <w:szCs w:val="20"/>
          <w:color w:val="auto"/>
        </w:rPr>
      </w:pPr>
    </w:p>
    <w:p>
      <w:pPr>
        <w:spacing w:after="0" w:line="309" w:lineRule="auto"/>
        <w:rPr>
          <w:sz w:val="20"/>
          <w:szCs w:val="20"/>
          <w:color w:val="auto"/>
        </w:rPr>
      </w:pPr>
      <w:r>
        <w:rPr>
          <w:rFonts w:ascii="Arial" w:cs="Arial" w:eastAsia="Arial" w:hAnsi="Arial"/>
          <w:sz w:val="14"/>
          <w:szCs w:val="14"/>
          <w:color w:val="auto"/>
        </w:rPr>
        <w:t xml:space="preserve">As legal counsel to the Company, and solely based on the information provided to us buy the Company, we hereby confirm that according to the resolution of the board of directors of the Company dated May 15, 2014, the authorized signatories of the Company, as of the date hereof, are as further detailed in the board resolution attached hereto as </w:t>
      </w:r>
      <w:r>
        <w:rPr>
          <w:rFonts w:ascii="Arial" w:cs="Arial" w:eastAsia="Arial" w:hAnsi="Arial"/>
          <w:sz w:val="14"/>
          <w:szCs w:val="14"/>
          <w:u w:val="single" w:color="auto"/>
          <w:color w:val="auto"/>
        </w:rPr>
        <w:t>Exhibit A</w:t>
      </w:r>
      <w:r>
        <w:rPr>
          <w:rFonts w:ascii="Arial" w:cs="Arial" w:eastAsia="Arial" w:hAnsi="Arial"/>
          <w:sz w:val="14"/>
          <w:szCs w:val="14"/>
          <w:color w:val="auto"/>
        </w:rPr>
        <w:t>.</w:t>
      </w:r>
    </w:p>
    <w:p>
      <w:pPr>
        <w:spacing w:after="0" w:line="124" w:lineRule="exact"/>
        <w:rPr>
          <w:sz w:val="20"/>
          <w:szCs w:val="20"/>
          <w:color w:val="auto"/>
        </w:rPr>
      </w:pPr>
    </w:p>
    <w:p>
      <w:pPr>
        <w:spacing w:after="0" w:line="272" w:lineRule="auto"/>
        <w:rPr>
          <w:sz w:val="20"/>
          <w:szCs w:val="20"/>
          <w:color w:val="auto"/>
        </w:rPr>
      </w:pPr>
      <w:r>
        <w:rPr>
          <w:rFonts w:ascii="Arial" w:cs="Arial" w:eastAsia="Arial" w:hAnsi="Arial"/>
          <w:sz w:val="15"/>
          <w:szCs w:val="15"/>
          <w:color w:val="auto"/>
        </w:rPr>
        <w:t>I hereby confirm that the resolutions made by the board of directors of the Company, listed in the above mentioned resolution, where resolved according to the law and with authority and are in accordance with the incorporation documents of the Company and the Company is bound by them in all respects.</w:t>
      </w:r>
    </w:p>
    <w:p>
      <w:pPr>
        <w:spacing w:after="0" w:line="147" w:lineRule="exact"/>
        <w:rPr>
          <w:sz w:val="20"/>
          <w:szCs w:val="20"/>
          <w:color w:val="auto"/>
        </w:rPr>
      </w:pPr>
    </w:p>
    <w:p>
      <w:pPr>
        <w:spacing w:after="0" w:line="272" w:lineRule="auto"/>
        <w:rPr>
          <w:sz w:val="20"/>
          <w:szCs w:val="20"/>
          <w:color w:val="auto"/>
        </w:rPr>
      </w:pPr>
      <w:r>
        <w:rPr>
          <w:rFonts w:ascii="Arial" w:cs="Arial" w:eastAsia="Arial" w:hAnsi="Arial"/>
          <w:sz w:val="15"/>
          <w:szCs w:val="15"/>
          <w:color w:val="auto"/>
        </w:rPr>
        <w:t>The aforementioned signatory rights replace and cancel all previous signatory rights of the Company and this letter replaces and cancels any letters previously sent from our office on this matter.</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color w:val="auto"/>
        </w:rPr>
        <w:t>In addition, based only on the information given to us by the Company, below is a list of the officers of the Company:</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Treasurer - Michal abu</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Controller - Yuval Yezersky</w:t>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auto"/>
        </w:rPr>
        <w:t>President - Ofer Ben-Zur</w:t>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auto"/>
        </w:rPr>
        <w:t>CFO - Guy Avidan</w:t>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auto"/>
        </w:rPr>
        <w:t>CEO - Gabi Seligsohn</w:t>
      </w:r>
    </w:p>
    <w:p>
      <w:pPr>
        <w:spacing w:after="0" w:line="177"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Sincerely,</w:t>
      </w:r>
    </w:p>
    <w:p>
      <w:pPr>
        <w:spacing w:after="0" w:line="186"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Daniel Avron, Adv.</w:t>
      </w:r>
    </w:p>
    <w:p>
      <w:pPr>
        <w:sectPr>
          <w:pgSz w:w="11900" w:h="16838" w:orient="portrait"/>
          <w:cols w:equalWidth="0" w:num="1">
            <w:col w:w="11140"/>
          </w:cols>
          <w:pgMar w:left="280" w:top="596" w:right="479" w:bottom="1440" w:gutter="0" w:footer="0" w:header="0"/>
        </w:sectPr>
      </w:pPr>
    </w:p>
    <w:bookmarkStart w:id="85" w:name="page86"/>
    <w:bookmarkEnd w:id="85"/>
    <w:p>
      <w:pPr>
        <w:spacing w:after="0"/>
        <w:rPr>
          <w:sz w:val="20"/>
          <w:szCs w:val="20"/>
          <w:color w:val="auto"/>
        </w:rPr>
      </w:pPr>
      <w:r>
        <w:rPr>
          <w:rFonts w:ascii="Arial" w:cs="Arial" w:eastAsia="Arial" w:hAnsi="Arial"/>
          <w:sz w:val="15"/>
          <w:szCs w:val="15"/>
          <w:b w:val="1"/>
          <w:bCs w:val="1"/>
          <w:color w:val="auto"/>
        </w:rPr>
        <w:t>Appendix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4852670</wp:posOffset>
            </wp:positionH>
            <wp:positionV relativeFrom="paragraph">
              <wp:posOffset>141605</wp:posOffset>
            </wp:positionV>
            <wp:extent cx="1110615" cy="6553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10615" cy="655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480"/>
        <w:spacing w:after="0"/>
        <w:rPr>
          <w:sz w:val="20"/>
          <w:szCs w:val="20"/>
          <w:color w:val="auto"/>
        </w:rPr>
      </w:pPr>
      <w:r>
        <w:rPr>
          <w:rFonts w:ascii="Arial" w:cs="Arial" w:eastAsia="Arial" w:hAnsi="Arial"/>
          <w:sz w:val="21"/>
          <w:szCs w:val="21"/>
          <w:color w:val="auto"/>
        </w:rPr>
        <w:t>Accepted Test Procedures (ATP)</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3700" w:type="dxa"/>
            <w:vAlign w:val="bottom"/>
            <w:tcBorders>
              <w:top w:val="single" w:sz="8" w:color="auto"/>
              <w:left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Project: Kornit 931/932/951/952/953</w:t>
            </w:r>
          </w:p>
        </w:tc>
        <w:tc>
          <w:tcPr>
            <w:tcW w:w="1980" w:type="dxa"/>
            <w:vAlign w:val="bottom"/>
            <w:tcBorders>
              <w:top w:val="single" w:sz="8" w:color="auto"/>
              <w:bottom w:val="single" w:sz="8" w:color="auto"/>
              <w:right w:val="single" w:sz="8" w:color="auto"/>
            </w:tcBorders>
          </w:tcPr>
          <w:p>
            <w:pPr>
              <w:spacing w:after="0"/>
              <w:rPr>
                <w:sz w:val="16"/>
                <w:szCs w:val="16"/>
                <w:color w:val="auto"/>
              </w:rPr>
            </w:pPr>
          </w:p>
        </w:tc>
        <w:tc>
          <w:tcPr>
            <w:tcW w:w="282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rPr>
              <w:t>Subject: ATP</w:t>
            </w:r>
          </w:p>
        </w:tc>
        <w:tc>
          <w:tcPr>
            <w:tcW w:w="2840" w:type="dxa"/>
            <w:vAlign w:val="bottom"/>
            <w:tcBorders>
              <w:top w:val="single" w:sz="8" w:color="auto"/>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700" w:type="dxa"/>
            <w:vAlign w:val="bottom"/>
            <w:tcBorders>
              <w:left w:val="single" w:sz="8" w:color="auto"/>
              <w:bottom w:val="single" w:sz="8" w:color="auto"/>
              <w:right w:val="single" w:sz="8" w:color="auto"/>
            </w:tcBorders>
          </w:tcPr>
          <w:p>
            <w:pPr>
              <w:ind w:left="20"/>
              <w:spacing w:after="0" w:line="171" w:lineRule="exact"/>
              <w:rPr>
                <w:sz w:val="20"/>
                <w:szCs w:val="20"/>
                <w:color w:val="auto"/>
              </w:rPr>
            </w:pPr>
            <w:r>
              <w:rPr>
                <w:rFonts w:ascii="Arial" w:cs="Arial" w:eastAsia="Arial" w:hAnsi="Arial"/>
                <w:sz w:val="15"/>
                <w:szCs w:val="15"/>
                <w:color w:val="auto"/>
              </w:rPr>
              <w:t>Order Number: 60-PATP-0001</w:t>
            </w:r>
          </w:p>
        </w:tc>
        <w:tc>
          <w:tcPr>
            <w:tcW w:w="1980" w:type="dxa"/>
            <w:vAlign w:val="bottom"/>
            <w:tcBorders>
              <w:bottom w:val="single" w:sz="8" w:color="auto"/>
              <w:right w:val="single" w:sz="8" w:color="auto"/>
            </w:tcBorders>
          </w:tcPr>
          <w:p>
            <w:pPr>
              <w:spacing w:after="0" w:line="171" w:lineRule="exact"/>
              <w:rPr>
                <w:sz w:val="20"/>
                <w:szCs w:val="20"/>
                <w:color w:val="auto"/>
              </w:rPr>
            </w:pPr>
            <w:r>
              <w:rPr>
                <w:rFonts w:ascii="Arial" w:cs="Arial" w:eastAsia="Arial" w:hAnsi="Arial"/>
                <w:sz w:val="15"/>
                <w:szCs w:val="15"/>
                <w:color w:val="auto"/>
              </w:rPr>
              <w:t>Date: 07/16/2013</w:t>
            </w:r>
          </w:p>
        </w:tc>
        <w:tc>
          <w:tcPr>
            <w:tcW w:w="2820" w:type="dxa"/>
            <w:vAlign w:val="bottom"/>
            <w:tcBorders>
              <w:bottom w:val="single" w:sz="8" w:color="auto"/>
              <w:right w:val="single" w:sz="8" w:color="auto"/>
            </w:tcBorders>
          </w:tcPr>
          <w:p>
            <w:pPr>
              <w:spacing w:after="0" w:line="171" w:lineRule="exact"/>
              <w:rPr>
                <w:sz w:val="20"/>
                <w:szCs w:val="20"/>
                <w:color w:val="auto"/>
              </w:rPr>
            </w:pPr>
            <w:r>
              <w:rPr>
                <w:rFonts w:ascii="Arial" w:cs="Arial" w:eastAsia="Arial" w:hAnsi="Arial"/>
                <w:sz w:val="15"/>
                <w:szCs w:val="15"/>
                <w:color w:val="auto"/>
              </w:rPr>
              <w:t>Revision: 2</w:t>
            </w:r>
          </w:p>
        </w:tc>
        <w:tc>
          <w:tcPr>
            <w:tcW w:w="2840" w:type="dxa"/>
            <w:vAlign w:val="bottom"/>
            <w:tcBorders>
              <w:bottom w:val="single" w:sz="8" w:color="auto"/>
              <w:right w:val="single" w:sz="8" w:color="auto"/>
            </w:tcBorders>
          </w:tcPr>
          <w:p>
            <w:pPr>
              <w:spacing w:after="0" w:line="171" w:lineRule="exact"/>
              <w:rPr>
                <w:sz w:val="20"/>
                <w:szCs w:val="20"/>
                <w:color w:val="auto"/>
              </w:rPr>
            </w:pPr>
            <w:r>
              <w:rPr>
                <w:rFonts w:ascii="Arial" w:cs="Arial" w:eastAsia="Arial" w:hAnsi="Arial"/>
                <w:sz w:val="15"/>
                <w:szCs w:val="15"/>
                <w:color w:val="auto"/>
              </w:rPr>
              <w:t>Page 1 of 6</w:t>
            </w:r>
          </w:p>
        </w:tc>
        <w:tc>
          <w:tcPr>
            <w:tcW w:w="0" w:type="dxa"/>
            <w:vAlign w:val="bottom"/>
          </w:tcPr>
          <w:p>
            <w:pPr>
              <w:spacing w:after="0"/>
              <w:rPr>
                <w:sz w:val="1"/>
                <w:szCs w:val="1"/>
                <w:color w:val="auto"/>
              </w:rPr>
            </w:pPr>
          </w:p>
        </w:tc>
      </w:tr>
      <w:tr>
        <w:trPr>
          <w:trHeight w:val="160"/>
        </w:trPr>
        <w:tc>
          <w:tcPr>
            <w:tcW w:w="3700" w:type="dxa"/>
            <w:vAlign w:val="bottom"/>
            <w:tcBorders>
              <w:left w:val="single" w:sz="8" w:color="auto"/>
              <w:right w:val="single" w:sz="8" w:color="auto"/>
            </w:tcBorders>
          </w:tcPr>
          <w:p>
            <w:pPr>
              <w:ind w:left="20"/>
              <w:spacing w:after="0" w:line="160" w:lineRule="exact"/>
              <w:rPr>
                <w:sz w:val="20"/>
                <w:szCs w:val="20"/>
                <w:color w:val="auto"/>
              </w:rPr>
            </w:pPr>
            <w:r>
              <w:rPr>
                <w:rFonts w:ascii="Arial" w:cs="Arial" w:eastAsia="Arial" w:hAnsi="Arial"/>
                <w:sz w:val="15"/>
                <w:szCs w:val="15"/>
                <w:color w:val="auto"/>
              </w:rPr>
              <w:t>Editor:</w:t>
            </w:r>
          </w:p>
        </w:tc>
        <w:tc>
          <w:tcPr>
            <w:tcW w:w="1980" w:type="dxa"/>
            <w:vAlign w:val="bottom"/>
            <w:tcBorders>
              <w:right w:val="single" w:sz="8" w:color="auto"/>
            </w:tcBorders>
          </w:tcPr>
          <w:p>
            <w:pPr>
              <w:spacing w:after="0" w:line="160" w:lineRule="exact"/>
              <w:rPr>
                <w:sz w:val="20"/>
                <w:szCs w:val="20"/>
                <w:color w:val="auto"/>
              </w:rPr>
            </w:pPr>
            <w:r>
              <w:rPr>
                <w:rFonts w:ascii="Arial" w:cs="Arial" w:eastAsia="Arial" w:hAnsi="Arial"/>
                <w:sz w:val="15"/>
                <w:szCs w:val="15"/>
                <w:color w:val="auto"/>
              </w:rPr>
              <w:t>Confirmed by:</w:t>
            </w:r>
          </w:p>
        </w:tc>
        <w:tc>
          <w:tcPr>
            <w:tcW w:w="2820" w:type="dxa"/>
            <w:vAlign w:val="bottom"/>
            <w:vMerge w:val="restart"/>
          </w:tcPr>
          <w:p>
            <w:pPr>
              <w:spacing w:after="0"/>
              <w:rPr>
                <w:sz w:val="20"/>
                <w:szCs w:val="20"/>
                <w:color w:val="auto"/>
              </w:rPr>
            </w:pPr>
            <w:r>
              <w:rPr>
                <w:rFonts w:ascii="Arial" w:cs="Arial" w:eastAsia="Arial" w:hAnsi="Arial"/>
                <w:sz w:val="15"/>
                <w:szCs w:val="15"/>
                <w:color w:val="auto"/>
              </w:rPr>
              <w:t>Signature:</w:t>
            </w:r>
          </w:p>
        </w:tc>
        <w:tc>
          <w:tcPr>
            <w:tcW w:w="2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370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5"/>
                <w:szCs w:val="15"/>
                <w:color w:val="auto"/>
              </w:rPr>
              <w:t>Lev Superfin</w:t>
            </w:r>
          </w:p>
        </w:tc>
        <w:tc>
          <w:tcPr>
            <w:tcW w:w="1980" w:type="dxa"/>
            <w:vAlign w:val="bottom"/>
            <w:tcBorders>
              <w:right w:val="single" w:sz="8" w:color="auto"/>
            </w:tcBorders>
            <w:vMerge w:val="restart"/>
          </w:tcPr>
          <w:p>
            <w:pPr>
              <w:spacing w:after="0"/>
              <w:rPr>
                <w:sz w:val="20"/>
                <w:szCs w:val="20"/>
                <w:color w:val="auto"/>
              </w:rPr>
            </w:pPr>
            <w:r>
              <w:rPr>
                <w:rFonts w:ascii="Arial" w:cs="Arial" w:eastAsia="Arial" w:hAnsi="Arial"/>
                <w:sz w:val="15"/>
                <w:szCs w:val="15"/>
                <w:color w:val="auto"/>
              </w:rPr>
              <w:t>Rea Rogel</w:t>
            </w:r>
          </w:p>
        </w:tc>
        <w:tc>
          <w:tcPr>
            <w:tcW w:w="2820" w:type="dxa"/>
            <w:vAlign w:val="bottom"/>
            <w:vMerge w:val="continue"/>
          </w:tcPr>
          <w:p>
            <w:pPr>
              <w:spacing w:after="0"/>
              <w:rPr>
                <w:sz w:val="8"/>
                <w:szCs w:val="8"/>
                <w:color w:val="auto"/>
              </w:rPr>
            </w:pPr>
          </w:p>
        </w:tc>
        <w:tc>
          <w:tcPr>
            <w:tcW w:w="28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370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1980" w:type="dxa"/>
            <w:vAlign w:val="bottom"/>
            <w:tcBorders>
              <w:bottom w:val="single" w:sz="8" w:color="auto"/>
              <w:right w:val="single" w:sz="8" w:color="auto"/>
            </w:tcBorders>
            <w:vMerge w:val="continue"/>
          </w:tcPr>
          <w:p>
            <w:pPr>
              <w:spacing w:after="0"/>
              <w:rPr>
                <w:sz w:val="7"/>
                <w:szCs w:val="7"/>
                <w:color w:val="auto"/>
              </w:rPr>
            </w:pPr>
          </w:p>
        </w:tc>
        <w:tc>
          <w:tcPr>
            <w:tcW w:w="2820" w:type="dxa"/>
            <w:vAlign w:val="bottom"/>
            <w:tcBorders>
              <w:bottom w:val="single" w:sz="8" w:color="auto"/>
            </w:tcBorders>
          </w:tcPr>
          <w:p>
            <w:pPr>
              <w:spacing w:after="0"/>
              <w:rPr>
                <w:sz w:val="7"/>
                <w:szCs w:val="7"/>
                <w:color w:val="auto"/>
              </w:rPr>
            </w:pPr>
          </w:p>
        </w:tc>
        <w:tc>
          <w:tcPr>
            <w:tcW w:w="28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344"/>
        </w:trPr>
        <w:tc>
          <w:tcPr>
            <w:tcW w:w="4260" w:type="dxa"/>
            <w:vAlign w:val="bottom"/>
          </w:tcPr>
          <w:p>
            <w:pPr>
              <w:spacing w:after="0"/>
              <w:rPr>
                <w:sz w:val="24"/>
                <w:szCs w:val="24"/>
                <w:color w:val="auto"/>
              </w:rPr>
            </w:pPr>
          </w:p>
        </w:tc>
        <w:tc>
          <w:tcPr>
            <w:tcW w:w="2840" w:type="dxa"/>
            <w:vAlign w:val="bottom"/>
          </w:tcPr>
          <w:p>
            <w:pPr>
              <w:ind w:left="520"/>
              <w:spacing w:after="0"/>
              <w:rPr>
                <w:sz w:val="20"/>
                <w:szCs w:val="20"/>
                <w:color w:val="auto"/>
              </w:rPr>
            </w:pPr>
            <w:r>
              <w:rPr>
                <w:rFonts w:ascii="Arial" w:cs="Arial" w:eastAsia="Arial" w:hAnsi="Arial"/>
                <w:sz w:val="27"/>
                <w:szCs w:val="27"/>
                <w:color w:val="auto"/>
              </w:rPr>
              <w:t>Machine: Kornit</w:t>
            </w:r>
          </w:p>
        </w:tc>
        <w:tc>
          <w:tcPr>
            <w:tcW w:w="4240" w:type="dxa"/>
            <w:vAlign w:val="bottom"/>
          </w:tcPr>
          <w:p>
            <w:pPr>
              <w:spacing w:after="0"/>
              <w:rPr>
                <w:sz w:val="24"/>
                <w:szCs w:val="24"/>
                <w:color w:val="auto"/>
              </w:rPr>
            </w:pPr>
          </w:p>
        </w:tc>
      </w:tr>
      <w:tr>
        <w:trPr>
          <w:trHeight w:val="32"/>
        </w:trPr>
        <w:tc>
          <w:tcPr>
            <w:tcW w:w="4260" w:type="dxa"/>
            <w:vAlign w:val="bottom"/>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4240" w:type="dxa"/>
            <w:vAlign w:val="bottom"/>
          </w:tcPr>
          <w:p>
            <w:pPr>
              <w:spacing w:after="0"/>
              <w:rPr>
                <w:sz w:val="2"/>
                <w:szCs w:val="2"/>
                <w:color w:val="auto"/>
              </w:rPr>
            </w:pPr>
          </w:p>
        </w:tc>
      </w:tr>
      <w:tr>
        <w:trPr>
          <w:trHeight w:val="249"/>
        </w:trPr>
        <w:tc>
          <w:tcPr>
            <w:tcW w:w="4260" w:type="dxa"/>
            <w:vAlign w:val="bottom"/>
            <w:tcBorders>
              <w:bottom w:val="single" w:sz="8" w:color="C0C0C0"/>
            </w:tcBorders>
          </w:tcPr>
          <w:p>
            <w:pPr>
              <w:spacing w:after="0"/>
              <w:rPr>
                <w:sz w:val="21"/>
                <w:szCs w:val="21"/>
                <w:color w:val="auto"/>
              </w:rPr>
            </w:pPr>
          </w:p>
        </w:tc>
        <w:tc>
          <w:tcPr>
            <w:tcW w:w="2840" w:type="dxa"/>
            <w:vAlign w:val="bottom"/>
            <w:tcBorders>
              <w:bottom w:val="single" w:sz="8" w:color="C0C0C0"/>
            </w:tcBorders>
          </w:tcPr>
          <w:p>
            <w:pPr>
              <w:spacing w:after="0"/>
              <w:rPr>
                <w:sz w:val="21"/>
                <w:szCs w:val="21"/>
                <w:color w:val="auto"/>
              </w:rPr>
            </w:pPr>
          </w:p>
        </w:tc>
        <w:tc>
          <w:tcPr>
            <w:tcW w:w="4240" w:type="dxa"/>
            <w:vAlign w:val="bottom"/>
            <w:tcBorders>
              <w:bottom w:val="single" w:sz="8" w:color="C0C0C0"/>
            </w:tcBorders>
          </w:tcPr>
          <w:p>
            <w:pPr>
              <w:spacing w:after="0"/>
              <w:rPr>
                <w:sz w:val="21"/>
                <w:szCs w:val="21"/>
                <w:color w:val="auto"/>
              </w:rPr>
            </w:pPr>
          </w:p>
        </w:tc>
      </w:tr>
      <w:tr>
        <w:trPr>
          <w:trHeight w:val="171"/>
        </w:trPr>
        <w:tc>
          <w:tcPr>
            <w:tcW w:w="4260" w:type="dxa"/>
            <w:vAlign w:val="bottom"/>
            <w:tcBorders>
              <w:bottom w:val="single" w:sz="8" w:color="C0C0C0"/>
            </w:tcBorders>
          </w:tcPr>
          <w:p>
            <w:pPr>
              <w:spacing w:after="0" w:line="171" w:lineRule="exact"/>
              <w:rPr>
                <w:sz w:val="20"/>
                <w:szCs w:val="20"/>
                <w:color w:val="auto"/>
              </w:rPr>
            </w:pPr>
            <w:r>
              <w:rPr>
                <w:rFonts w:ascii="Arial" w:cs="Arial" w:eastAsia="Arial" w:hAnsi="Arial"/>
                <w:sz w:val="15"/>
                <w:szCs w:val="15"/>
                <w:color w:val="auto"/>
              </w:rPr>
              <w:t>Revision</w:t>
            </w:r>
          </w:p>
        </w:tc>
        <w:tc>
          <w:tcPr>
            <w:tcW w:w="2840" w:type="dxa"/>
            <w:vAlign w:val="bottom"/>
            <w:tcBorders>
              <w:bottom w:val="single" w:sz="8" w:color="C0C0C0"/>
            </w:tcBorders>
          </w:tcPr>
          <w:p>
            <w:pPr>
              <w:ind w:left="1420"/>
              <w:spacing w:after="0" w:line="171" w:lineRule="exact"/>
              <w:rPr>
                <w:sz w:val="20"/>
                <w:szCs w:val="20"/>
                <w:color w:val="auto"/>
              </w:rPr>
            </w:pPr>
            <w:r>
              <w:rPr>
                <w:rFonts w:ascii="Arial" w:cs="Arial" w:eastAsia="Arial" w:hAnsi="Arial"/>
                <w:sz w:val="15"/>
                <w:szCs w:val="15"/>
                <w:color w:val="auto"/>
              </w:rPr>
              <w:t>Software Version</w:t>
            </w:r>
          </w:p>
        </w:tc>
        <w:tc>
          <w:tcPr>
            <w:tcW w:w="4240" w:type="dxa"/>
            <w:vAlign w:val="bottom"/>
            <w:tcBorders>
              <w:bottom w:val="single" w:sz="8" w:color="C0C0C0"/>
            </w:tcBorders>
          </w:tcPr>
          <w:p>
            <w:pPr>
              <w:spacing w:after="0"/>
              <w:rPr>
                <w:sz w:val="14"/>
                <w:szCs w:val="14"/>
                <w:color w:val="auto"/>
              </w:rPr>
            </w:pPr>
          </w:p>
        </w:tc>
      </w:tr>
      <w:tr>
        <w:trPr>
          <w:trHeight w:val="171"/>
        </w:trPr>
        <w:tc>
          <w:tcPr>
            <w:tcW w:w="4260" w:type="dxa"/>
            <w:vAlign w:val="bottom"/>
            <w:tcBorders>
              <w:bottom w:val="single" w:sz="8" w:color="C0C0C0"/>
            </w:tcBorders>
          </w:tcPr>
          <w:p>
            <w:pPr>
              <w:spacing w:after="0" w:line="171" w:lineRule="exact"/>
              <w:rPr>
                <w:sz w:val="20"/>
                <w:szCs w:val="20"/>
                <w:color w:val="auto"/>
              </w:rPr>
            </w:pPr>
            <w:r>
              <w:rPr>
                <w:rFonts w:ascii="Arial" w:cs="Arial" w:eastAsia="Arial" w:hAnsi="Arial"/>
                <w:sz w:val="15"/>
                <w:szCs w:val="15"/>
                <w:color w:val="auto"/>
              </w:rPr>
              <w:t>HASP Number</w:t>
            </w:r>
          </w:p>
        </w:tc>
        <w:tc>
          <w:tcPr>
            <w:tcW w:w="2840" w:type="dxa"/>
            <w:vAlign w:val="bottom"/>
            <w:tcBorders>
              <w:bottom w:val="single" w:sz="8" w:color="C0C0C0"/>
            </w:tcBorders>
          </w:tcPr>
          <w:p>
            <w:pPr>
              <w:spacing w:after="0"/>
              <w:rPr>
                <w:sz w:val="14"/>
                <w:szCs w:val="14"/>
                <w:color w:val="auto"/>
              </w:rPr>
            </w:pPr>
          </w:p>
        </w:tc>
        <w:tc>
          <w:tcPr>
            <w:tcW w:w="4240" w:type="dxa"/>
            <w:vAlign w:val="bottom"/>
            <w:tcBorders>
              <w:bottom w:val="single" w:sz="8" w:color="C0C0C0"/>
            </w:tcBorders>
          </w:tcPr>
          <w:p>
            <w:pPr>
              <w:spacing w:after="0"/>
              <w:rPr>
                <w:sz w:val="14"/>
                <w:szCs w:val="14"/>
                <w:color w:val="auto"/>
              </w:rPr>
            </w:pPr>
          </w:p>
        </w:tc>
      </w:tr>
      <w:tr>
        <w:trPr>
          <w:trHeight w:val="171"/>
        </w:trPr>
        <w:tc>
          <w:tcPr>
            <w:tcW w:w="4260" w:type="dxa"/>
            <w:vAlign w:val="bottom"/>
            <w:tcBorders>
              <w:bottom w:val="single" w:sz="8" w:color="C0C0C0"/>
            </w:tcBorders>
          </w:tcPr>
          <w:p>
            <w:pPr>
              <w:spacing w:after="0" w:line="171" w:lineRule="exact"/>
              <w:rPr>
                <w:sz w:val="20"/>
                <w:szCs w:val="20"/>
                <w:color w:val="auto"/>
              </w:rPr>
            </w:pPr>
            <w:r>
              <w:rPr>
                <w:rFonts w:ascii="Arial" w:cs="Arial" w:eastAsia="Arial" w:hAnsi="Arial"/>
                <w:sz w:val="15"/>
                <w:szCs w:val="15"/>
                <w:color w:val="auto"/>
              </w:rPr>
              <w:t>HASP Validity</w:t>
            </w:r>
          </w:p>
        </w:tc>
        <w:tc>
          <w:tcPr>
            <w:tcW w:w="2840" w:type="dxa"/>
            <w:vAlign w:val="bottom"/>
            <w:tcBorders>
              <w:bottom w:val="single" w:sz="8" w:color="C0C0C0"/>
            </w:tcBorders>
          </w:tcPr>
          <w:p>
            <w:pPr>
              <w:spacing w:after="0"/>
              <w:rPr>
                <w:sz w:val="14"/>
                <w:szCs w:val="14"/>
                <w:color w:val="auto"/>
              </w:rPr>
            </w:pPr>
          </w:p>
        </w:tc>
        <w:tc>
          <w:tcPr>
            <w:tcW w:w="4240" w:type="dxa"/>
            <w:vAlign w:val="bottom"/>
            <w:tcBorders>
              <w:bottom w:val="single" w:sz="8" w:color="C0C0C0"/>
            </w:tcBorders>
          </w:tcPr>
          <w:p>
            <w:pPr>
              <w:spacing w:after="0"/>
              <w:rPr>
                <w:sz w:val="14"/>
                <w:szCs w:val="14"/>
                <w:color w:val="auto"/>
              </w:rPr>
            </w:pPr>
          </w:p>
        </w:tc>
      </w:tr>
      <w:tr>
        <w:trPr>
          <w:trHeight w:val="171"/>
        </w:trPr>
        <w:tc>
          <w:tcPr>
            <w:tcW w:w="4260" w:type="dxa"/>
            <w:vAlign w:val="bottom"/>
            <w:tcBorders>
              <w:bottom w:val="single" w:sz="8" w:color="C0C0C0"/>
            </w:tcBorders>
          </w:tcPr>
          <w:p>
            <w:pPr>
              <w:spacing w:after="0" w:line="171" w:lineRule="exact"/>
              <w:rPr>
                <w:sz w:val="20"/>
                <w:szCs w:val="20"/>
                <w:color w:val="auto"/>
              </w:rPr>
            </w:pPr>
            <w:r>
              <w:rPr>
                <w:rFonts w:ascii="Arial" w:cs="Arial" w:eastAsia="Arial" w:hAnsi="Arial"/>
                <w:sz w:val="15"/>
                <w:szCs w:val="15"/>
                <w:color w:val="auto"/>
              </w:rPr>
              <w:t>Tester Name</w:t>
            </w:r>
          </w:p>
        </w:tc>
        <w:tc>
          <w:tcPr>
            <w:tcW w:w="2840" w:type="dxa"/>
            <w:vAlign w:val="bottom"/>
            <w:tcBorders>
              <w:bottom w:val="single" w:sz="8" w:color="C0C0C0"/>
            </w:tcBorders>
          </w:tcPr>
          <w:p>
            <w:pPr>
              <w:spacing w:after="0"/>
              <w:rPr>
                <w:sz w:val="14"/>
                <w:szCs w:val="14"/>
                <w:color w:val="auto"/>
              </w:rPr>
            </w:pPr>
          </w:p>
        </w:tc>
        <w:tc>
          <w:tcPr>
            <w:tcW w:w="4240" w:type="dxa"/>
            <w:vAlign w:val="bottom"/>
            <w:tcBorders>
              <w:bottom w:val="single" w:sz="8" w:color="C0C0C0"/>
            </w:tcBorders>
          </w:tcPr>
          <w:p>
            <w:pPr>
              <w:spacing w:after="0"/>
              <w:rPr>
                <w:sz w:val="14"/>
                <w:szCs w:val="14"/>
                <w:color w:val="auto"/>
              </w:rPr>
            </w:pPr>
          </w:p>
        </w:tc>
      </w:tr>
      <w:tr>
        <w:trPr>
          <w:trHeight w:val="171"/>
        </w:trPr>
        <w:tc>
          <w:tcPr>
            <w:tcW w:w="4260" w:type="dxa"/>
            <w:vAlign w:val="bottom"/>
            <w:tcBorders>
              <w:bottom w:val="single" w:sz="8" w:color="C0C0C0"/>
            </w:tcBorders>
          </w:tcPr>
          <w:p>
            <w:pPr>
              <w:spacing w:after="0" w:line="171" w:lineRule="exact"/>
              <w:rPr>
                <w:sz w:val="20"/>
                <w:szCs w:val="20"/>
                <w:color w:val="auto"/>
              </w:rPr>
            </w:pPr>
            <w:r>
              <w:rPr>
                <w:rFonts w:ascii="Arial" w:cs="Arial" w:eastAsia="Arial" w:hAnsi="Arial"/>
                <w:sz w:val="15"/>
                <w:szCs w:val="15"/>
                <w:color w:val="auto"/>
              </w:rPr>
              <w:t>Date</w:t>
            </w:r>
          </w:p>
        </w:tc>
        <w:tc>
          <w:tcPr>
            <w:tcW w:w="2840" w:type="dxa"/>
            <w:vAlign w:val="bottom"/>
            <w:tcBorders>
              <w:bottom w:val="single" w:sz="8" w:color="C0C0C0"/>
            </w:tcBorders>
          </w:tcPr>
          <w:p>
            <w:pPr>
              <w:spacing w:after="0"/>
              <w:rPr>
                <w:sz w:val="14"/>
                <w:szCs w:val="14"/>
                <w:color w:val="auto"/>
              </w:rPr>
            </w:pPr>
          </w:p>
        </w:tc>
        <w:tc>
          <w:tcPr>
            <w:tcW w:w="4240" w:type="dxa"/>
            <w:vAlign w:val="bottom"/>
            <w:tcBorders>
              <w:bottom w:val="single" w:sz="8" w:color="C0C0C0"/>
            </w:tcBorders>
          </w:tcPr>
          <w:p>
            <w:pPr>
              <w:spacing w:after="0"/>
              <w:rPr>
                <w:sz w:val="14"/>
                <w:szCs w:val="14"/>
                <w:color w:val="auto"/>
              </w:rPr>
            </w:pPr>
          </w:p>
        </w:tc>
      </w:tr>
      <w:tr>
        <w:trPr>
          <w:trHeight w:val="171"/>
        </w:trPr>
        <w:tc>
          <w:tcPr>
            <w:tcW w:w="4260" w:type="dxa"/>
            <w:vAlign w:val="bottom"/>
            <w:tcBorders>
              <w:bottom w:val="single" w:sz="8" w:color="C0C0C0"/>
            </w:tcBorders>
          </w:tcPr>
          <w:p>
            <w:pPr>
              <w:spacing w:after="0" w:line="171" w:lineRule="exact"/>
              <w:rPr>
                <w:sz w:val="20"/>
                <w:szCs w:val="20"/>
                <w:color w:val="auto"/>
              </w:rPr>
            </w:pPr>
            <w:r>
              <w:rPr>
                <w:rFonts w:ascii="Arial" w:cs="Arial" w:eastAsia="Arial" w:hAnsi="Arial"/>
                <w:sz w:val="15"/>
                <w:szCs w:val="15"/>
                <w:color w:val="auto"/>
              </w:rPr>
              <w:t>Signature</w:t>
            </w:r>
          </w:p>
        </w:tc>
        <w:tc>
          <w:tcPr>
            <w:tcW w:w="2840" w:type="dxa"/>
            <w:vAlign w:val="bottom"/>
            <w:tcBorders>
              <w:bottom w:val="single" w:sz="8" w:color="C0C0C0"/>
            </w:tcBorders>
          </w:tcPr>
          <w:p>
            <w:pPr>
              <w:spacing w:after="0"/>
              <w:rPr>
                <w:sz w:val="14"/>
                <w:szCs w:val="14"/>
                <w:color w:val="auto"/>
              </w:rPr>
            </w:pPr>
          </w:p>
        </w:tc>
        <w:tc>
          <w:tcPr>
            <w:tcW w:w="4240" w:type="dxa"/>
            <w:vAlign w:val="bottom"/>
            <w:tcBorders>
              <w:bottom w:val="single" w:sz="8" w:color="C0C0C0"/>
            </w:tcBorders>
          </w:tcPr>
          <w:p>
            <w:pPr>
              <w:spacing w:after="0"/>
              <w:rPr>
                <w:sz w:val="14"/>
                <w:szCs w:val="14"/>
                <w:color w:val="auto"/>
              </w:rPr>
            </w:pPr>
          </w:p>
        </w:tc>
      </w:tr>
      <w:tr>
        <w:trPr>
          <w:trHeight w:val="491"/>
        </w:trPr>
        <w:tc>
          <w:tcPr>
            <w:tcW w:w="4260" w:type="dxa"/>
            <w:vAlign w:val="bottom"/>
          </w:tcPr>
          <w:p>
            <w:pPr>
              <w:spacing w:after="0"/>
              <w:rPr>
                <w:sz w:val="20"/>
                <w:szCs w:val="20"/>
                <w:color w:val="auto"/>
              </w:rPr>
            </w:pPr>
            <w:r>
              <w:rPr>
                <w:rFonts w:ascii="Arial" w:cs="Arial" w:eastAsia="Arial" w:hAnsi="Arial"/>
                <w:sz w:val="21"/>
                <w:szCs w:val="21"/>
                <w:color w:val="auto"/>
              </w:rPr>
              <w:t>General Instructions</w:t>
            </w:r>
          </w:p>
        </w:tc>
        <w:tc>
          <w:tcPr>
            <w:tcW w:w="2840" w:type="dxa"/>
            <w:vAlign w:val="bottom"/>
          </w:tcPr>
          <w:p>
            <w:pPr>
              <w:spacing w:after="0"/>
              <w:rPr>
                <w:sz w:val="24"/>
                <w:szCs w:val="24"/>
                <w:color w:val="auto"/>
              </w:rPr>
            </w:pPr>
          </w:p>
        </w:tc>
        <w:tc>
          <w:tcPr>
            <w:tcW w:w="4240" w:type="dxa"/>
            <w:vAlign w:val="bottom"/>
          </w:tcPr>
          <w:p>
            <w:pPr>
              <w:spacing w:after="0"/>
              <w:rPr>
                <w:sz w:val="24"/>
                <w:szCs w:val="24"/>
                <w:color w:val="auto"/>
              </w:rPr>
            </w:pPr>
          </w:p>
        </w:tc>
      </w:tr>
    </w:tbl>
    <w:p>
      <w:pPr>
        <w:spacing w:after="0" w:line="230" w:lineRule="exact"/>
        <w:rPr>
          <w:sz w:val="20"/>
          <w:szCs w:val="20"/>
          <w:color w:val="auto"/>
        </w:rPr>
      </w:pPr>
    </w:p>
    <w:p>
      <w:pPr>
        <w:ind w:left="820" w:hanging="463"/>
        <w:spacing w:after="0"/>
        <w:tabs>
          <w:tab w:leader="none" w:pos="820" w:val="left"/>
        </w:tabs>
        <w:numPr>
          <w:ilvl w:val="0"/>
          <w:numId w:val="67"/>
        </w:numPr>
        <w:rPr>
          <w:rFonts w:ascii="Arial" w:cs="Arial" w:eastAsia="Arial" w:hAnsi="Arial"/>
          <w:sz w:val="15"/>
          <w:szCs w:val="15"/>
          <w:color w:val="auto"/>
        </w:rPr>
      </w:pPr>
      <w:r>
        <w:rPr>
          <w:rFonts w:ascii="Arial" w:cs="Arial" w:eastAsia="Arial" w:hAnsi="Arial"/>
          <w:sz w:val="15"/>
          <w:szCs w:val="15"/>
          <w:color w:val="auto"/>
        </w:rPr>
        <w:t>Before testing, verify that the [***] Test is as expected.</w:t>
      </w:r>
    </w:p>
    <w:p>
      <w:pPr>
        <w:spacing w:after="0" w:line="186" w:lineRule="exact"/>
        <w:rPr>
          <w:rFonts w:ascii="Arial" w:cs="Arial" w:eastAsia="Arial" w:hAnsi="Arial"/>
          <w:sz w:val="15"/>
          <w:szCs w:val="15"/>
          <w:color w:val="auto"/>
        </w:rPr>
      </w:pPr>
    </w:p>
    <w:p>
      <w:pPr>
        <w:ind w:left="820" w:hanging="463"/>
        <w:spacing w:after="0"/>
        <w:tabs>
          <w:tab w:leader="none" w:pos="820" w:val="left"/>
        </w:tabs>
        <w:numPr>
          <w:ilvl w:val="0"/>
          <w:numId w:val="67"/>
        </w:numPr>
        <w:rPr>
          <w:rFonts w:ascii="Arial" w:cs="Arial" w:eastAsia="Arial" w:hAnsi="Arial"/>
          <w:sz w:val="15"/>
          <w:szCs w:val="15"/>
          <w:color w:val="auto"/>
        </w:rPr>
      </w:pPr>
      <w:r>
        <w:rPr>
          <w:rFonts w:ascii="Arial" w:cs="Arial" w:eastAsia="Arial" w:hAnsi="Arial"/>
          <w:sz w:val="15"/>
          <w:szCs w:val="15"/>
          <w:color w:val="auto"/>
        </w:rPr>
        <w:t>Perform all the tests instructed in the form</w:t>
      </w:r>
    </w:p>
    <w:p>
      <w:pPr>
        <w:spacing w:after="0" w:line="186" w:lineRule="exact"/>
        <w:rPr>
          <w:rFonts w:ascii="Arial" w:cs="Arial" w:eastAsia="Arial" w:hAnsi="Arial"/>
          <w:sz w:val="15"/>
          <w:szCs w:val="15"/>
          <w:color w:val="auto"/>
        </w:rPr>
      </w:pPr>
    </w:p>
    <w:p>
      <w:pPr>
        <w:ind w:left="820" w:hanging="463"/>
        <w:spacing w:after="0"/>
        <w:tabs>
          <w:tab w:leader="none" w:pos="820" w:val="left"/>
        </w:tabs>
        <w:numPr>
          <w:ilvl w:val="0"/>
          <w:numId w:val="67"/>
        </w:numPr>
        <w:rPr>
          <w:rFonts w:ascii="Arial" w:cs="Arial" w:eastAsia="Arial" w:hAnsi="Arial"/>
          <w:sz w:val="15"/>
          <w:szCs w:val="15"/>
          <w:color w:val="auto"/>
        </w:rPr>
      </w:pPr>
      <w:r>
        <w:rPr>
          <w:rFonts w:ascii="Arial" w:cs="Arial" w:eastAsia="Arial" w:hAnsi="Arial"/>
          <w:sz w:val="15"/>
          <w:szCs w:val="15"/>
          <w:color w:val="auto"/>
        </w:rPr>
        <w:t>When testing has been completed:</w:t>
      </w:r>
    </w:p>
    <w:p>
      <w:pPr>
        <w:spacing w:after="0" w:line="186" w:lineRule="exact"/>
        <w:rPr>
          <w:rFonts w:ascii="Arial" w:cs="Arial" w:eastAsia="Arial" w:hAnsi="Arial"/>
          <w:sz w:val="15"/>
          <w:szCs w:val="15"/>
          <w:color w:val="auto"/>
        </w:rPr>
      </w:pPr>
    </w:p>
    <w:p>
      <w:pPr>
        <w:ind w:left="1380" w:hanging="563"/>
        <w:spacing w:after="0"/>
        <w:tabs>
          <w:tab w:leader="none" w:pos="1380" w:val="left"/>
        </w:tabs>
        <w:numPr>
          <w:ilvl w:val="1"/>
          <w:numId w:val="67"/>
        </w:numPr>
        <w:rPr>
          <w:rFonts w:ascii="Arial" w:cs="Arial" w:eastAsia="Arial" w:hAnsi="Arial"/>
          <w:sz w:val="15"/>
          <w:szCs w:val="15"/>
          <w:color w:val="auto"/>
        </w:rPr>
      </w:pPr>
      <w:r>
        <w:rPr>
          <w:rFonts w:ascii="Arial" w:cs="Arial" w:eastAsia="Arial" w:hAnsi="Arial"/>
          <w:sz w:val="15"/>
          <w:szCs w:val="15"/>
          <w:color w:val="auto"/>
        </w:rPr>
        <w:t>Fill-in the ATP</w:t>
      </w:r>
    </w:p>
    <w:p>
      <w:pPr>
        <w:spacing w:after="0" w:line="186" w:lineRule="exact"/>
        <w:rPr>
          <w:rFonts w:ascii="Arial" w:cs="Arial" w:eastAsia="Arial" w:hAnsi="Arial"/>
          <w:sz w:val="15"/>
          <w:szCs w:val="15"/>
          <w:color w:val="auto"/>
        </w:rPr>
      </w:pPr>
    </w:p>
    <w:p>
      <w:pPr>
        <w:ind w:left="1380" w:hanging="563"/>
        <w:spacing w:after="0"/>
        <w:tabs>
          <w:tab w:leader="none" w:pos="1380" w:val="left"/>
        </w:tabs>
        <w:numPr>
          <w:ilvl w:val="1"/>
          <w:numId w:val="67"/>
        </w:numPr>
        <w:rPr>
          <w:rFonts w:ascii="Arial" w:cs="Arial" w:eastAsia="Arial" w:hAnsi="Arial"/>
          <w:sz w:val="15"/>
          <w:szCs w:val="15"/>
          <w:color w:val="auto"/>
        </w:rPr>
      </w:pPr>
      <w:r>
        <w:rPr>
          <w:rFonts w:ascii="Arial" w:cs="Arial" w:eastAsia="Arial" w:hAnsi="Arial"/>
          <w:sz w:val="15"/>
          <w:szCs w:val="15"/>
          <w:color w:val="auto"/>
        </w:rPr>
        <w:t>Sign the machine book</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rPr>
              <w:t>Note:</w:t>
            </w:r>
          </w:p>
        </w:tc>
        <w:tc>
          <w:tcPr>
            <w:tcW w:w="10660" w:type="dxa"/>
            <w:vAlign w:val="bottom"/>
            <w:tcBorders>
              <w:top w:val="single" w:sz="8" w:color="auto"/>
              <w:bottom w:val="single" w:sz="8" w:color="auto"/>
            </w:tcBorders>
            <w:gridSpan w:val="3"/>
          </w:tcPr>
          <w:p>
            <w:pPr>
              <w:jc w:val="right"/>
              <w:ind w:right="1730"/>
              <w:spacing w:after="0"/>
              <w:rPr>
                <w:sz w:val="20"/>
                <w:szCs w:val="20"/>
                <w:color w:val="auto"/>
              </w:rPr>
            </w:pPr>
            <w:r>
              <w:rPr>
                <w:rFonts w:ascii="Arial" w:cs="Arial" w:eastAsia="Arial" w:hAnsi="Arial"/>
                <w:sz w:val="15"/>
                <w:szCs w:val="15"/>
                <w:color w:val="auto"/>
                <w:w w:val="93"/>
              </w:rPr>
              <w:t>This ATP is to be performed by a technician other than the one who performed the Integration or the Post-Integration Final Testing procedure.</w:t>
            </w:r>
          </w:p>
        </w:tc>
      </w:tr>
      <w:tr>
        <w:trPr>
          <w:trHeight w:val="449"/>
        </w:trPr>
        <w:tc>
          <w:tcPr>
            <w:tcW w:w="680" w:type="dxa"/>
            <w:vAlign w:val="bottom"/>
          </w:tcPr>
          <w:p>
            <w:pPr>
              <w:spacing w:after="0"/>
              <w:rPr>
                <w:sz w:val="24"/>
                <w:szCs w:val="24"/>
                <w:color w:val="auto"/>
              </w:rPr>
            </w:pPr>
          </w:p>
        </w:tc>
        <w:tc>
          <w:tcPr>
            <w:tcW w:w="660" w:type="dxa"/>
            <w:vAlign w:val="bottom"/>
          </w:tcPr>
          <w:p>
            <w:pPr>
              <w:jc w:val="right"/>
              <w:ind w:right="138"/>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20" w:type="dxa"/>
            <w:vAlign w:val="bottom"/>
          </w:tcPr>
          <w:p>
            <w:pPr>
              <w:jc w:val="right"/>
              <w:ind w:right="9370"/>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340"/>
          </w:cols>
          <w:pgMar w:left="280" w:top="607" w:right="27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Appendix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4845685</wp:posOffset>
            </wp:positionH>
            <wp:positionV relativeFrom="paragraph">
              <wp:posOffset>139700</wp:posOffset>
            </wp:positionV>
            <wp:extent cx="1110615" cy="6553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10615" cy="65532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1480"/>
        <w:spacing w:after="0"/>
        <w:rPr>
          <w:sz w:val="20"/>
          <w:szCs w:val="20"/>
          <w:color w:val="auto"/>
        </w:rPr>
      </w:pPr>
      <w:r>
        <w:rPr>
          <w:rFonts w:ascii="Arial" w:cs="Arial" w:eastAsia="Arial" w:hAnsi="Arial"/>
          <w:sz w:val="21"/>
          <w:szCs w:val="21"/>
          <w:color w:val="auto"/>
        </w:rPr>
        <w:t>Accepted Test Procedures (ATP)</w:t>
      </w:r>
    </w:p>
    <w:p>
      <w:pPr>
        <w:spacing w:after="0" w:line="200" w:lineRule="exact"/>
        <w:rPr>
          <w:sz w:val="20"/>
          <w:szCs w:val="20"/>
          <w:color w:val="auto"/>
        </w:rPr>
      </w:pPr>
    </w:p>
    <w:p>
      <w:pPr>
        <w:spacing w:after="0" w:line="393"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3700" w:type="dxa"/>
            <w:vAlign w:val="bottom"/>
            <w:tcBorders>
              <w:top w:val="single" w:sz="8" w:color="auto"/>
              <w:left w:val="single" w:sz="8" w:color="auto"/>
              <w:bottom w:val="single" w:sz="8" w:color="auto"/>
            </w:tcBorders>
            <w:gridSpan w:val="4"/>
          </w:tcPr>
          <w:p>
            <w:pPr>
              <w:ind w:left="20"/>
              <w:spacing w:after="0"/>
              <w:rPr>
                <w:sz w:val="20"/>
                <w:szCs w:val="20"/>
                <w:color w:val="auto"/>
              </w:rPr>
            </w:pPr>
            <w:r>
              <w:rPr>
                <w:rFonts w:ascii="Arial" w:cs="Arial" w:eastAsia="Arial" w:hAnsi="Arial"/>
                <w:sz w:val="15"/>
                <w:szCs w:val="15"/>
                <w:color w:val="auto"/>
              </w:rPr>
              <w:t>Project: Kornit 931/932/951/952/953</w:t>
            </w:r>
          </w:p>
        </w:tc>
        <w:tc>
          <w:tcPr>
            <w:tcW w:w="1980" w:type="dxa"/>
            <w:vAlign w:val="bottom"/>
            <w:tcBorders>
              <w:top w:val="single" w:sz="8" w:color="auto"/>
              <w:bottom w:val="single" w:sz="8" w:color="auto"/>
              <w:right w:val="single" w:sz="8" w:color="auto"/>
            </w:tcBorders>
          </w:tcPr>
          <w:p>
            <w:pPr>
              <w:spacing w:after="0"/>
              <w:rPr>
                <w:sz w:val="16"/>
                <w:szCs w:val="16"/>
                <w:color w:val="auto"/>
              </w:rPr>
            </w:pPr>
          </w:p>
        </w:tc>
        <w:tc>
          <w:tcPr>
            <w:tcW w:w="282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rPr>
              <w:t>Subject: ATP</w:t>
            </w:r>
          </w:p>
        </w:tc>
        <w:tc>
          <w:tcPr>
            <w:tcW w:w="160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700" w:type="dxa"/>
            <w:vAlign w:val="bottom"/>
            <w:tcBorders>
              <w:left w:val="single" w:sz="8" w:color="auto"/>
              <w:bottom w:val="single" w:sz="8" w:color="auto"/>
              <w:right w:val="single" w:sz="8" w:color="auto"/>
            </w:tcBorders>
            <w:gridSpan w:val="4"/>
          </w:tcPr>
          <w:p>
            <w:pPr>
              <w:ind w:left="20"/>
              <w:spacing w:after="0" w:line="171" w:lineRule="exact"/>
              <w:rPr>
                <w:sz w:val="20"/>
                <w:szCs w:val="20"/>
                <w:color w:val="auto"/>
              </w:rPr>
            </w:pPr>
            <w:r>
              <w:rPr>
                <w:rFonts w:ascii="Arial" w:cs="Arial" w:eastAsia="Arial" w:hAnsi="Arial"/>
                <w:sz w:val="15"/>
                <w:szCs w:val="15"/>
                <w:color w:val="auto"/>
              </w:rPr>
              <w:t>Order Number: 60-PATP-0001</w:t>
            </w:r>
          </w:p>
        </w:tc>
        <w:tc>
          <w:tcPr>
            <w:tcW w:w="1980" w:type="dxa"/>
            <w:vAlign w:val="bottom"/>
            <w:tcBorders>
              <w:bottom w:val="single" w:sz="8" w:color="auto"/>
              <w:right w:val="single" w:sz="8" w:color="auto"/>
            </w:tcBorders>
          </w:tcPr>
          <w:p>
            <w:pPr>
              <w:spacing w:after="0" w:line="171" w:lineRule="exact"/>
              <w:rPr>
                <w:sz w:val="20"/>
                <w:szCs w:val="20"/>
                <w:color w:val="auto"/>
              </w:rPr>
            </w:pPr>
            <w:r>
              <w:rPr>
                <w:rFonts w:ascii="Arial" w:cs="Arial" w:eastAsia="Arial" w:hAnsi="Arial"/>
                <w:sz w:val="15"/>
                <w:szCs w:val="15"/>
                <w:color w:val="auto"/>
              </w:rPr>
              <w:t>Date: 07/16/2013</w:t>
            </w:r>
          </w:p>
        </w:tc>
        <w:tc>
          <w:tcPr>
            <w:tcW w:w="2820" w:type="dxa"/>
            <w:vAlign w:val="bottom"/>
            <w:tcBorders>
              <w:bottom w:val="single" w:sz="8" w:color="auto"/>
              <w:right w:val="single" w:sz="8" w:color="auto"/>
            </w:tcBorders>
          </w:tcPr>
          <w:p>
            <w:pPr>
              <w:spacing w:after="0" w:line="171" w:lineRule="exact"/>
              <w:rPr>
                <w:sz w:val="20"/>
                <w:szCs w:val="20"/>
                <w:color w:val="auto"/>
              </w:rPr>
            </w:pPr>
            <w:r>
              <w:rPr>
                <w:rFonts w:ascii="Arial" w:cs="Arial" w:eastAsia="Arial" w:hAnsi="Arial"/>
                <w:sz w:val="15"/>
                <w:szCs w:val="15"/>
                <w:color w:val="auto"/>
              </w:rPr>
              <w:t>Revision: 2</w:t>
            </w:r>
          </w:p>
        </w:tc>
        <w:tc>
          <w:tcPr>
            <w:tcW w:w="2840" w:type="dxa"/>
            <w:vAlign w:val="bottom"/>
            <w:tcBorders>
              <w:bottom w:val="single" w:sz="8" w:color="auto"/>
              <w:right w:val="single" w:sz="8" w:color="auto"/>
            </w:tcBorders>
            <w:gridSpan w:val="2"/>
          </w:tcPr>
          <w:p>
            <w:pPr>
              <w:spacing w:after="0" w:line="171" w:lineRule="exact"/>
              <w:rPr>
                <w:sz w:val="20"/>
                <w:szCs w:val="20"/>
                <w:color w:val="auto"/>
              </w:rPr>
            </w:pPr>
            <w:r>
              <w:rPr>
                <w:rFonts w:ascii="Arial" w:cs="Arial" w:eastAsia="Arial" w:hAnsi="Arial"/>
                <w:sz w:val="15"/>
                <w:szCs w:val="15"/>
                <w:color w:val="auto"/>
              </w:rPr>
              <w:t>Page 2 of 6</w:t>
            </w:r>
          </w:p>
        </w:tc>
        <w:tc>
          <w:tcPr>
            <w:tcW w:w="0" w:type="dxa"/>
            <w:vAlign w:val="bottom"/>
          </w:tcPr>
          <w:p>
            <w:pPr>
              <w:spacing w:after="0"/>
              <w:rPr>
                <w:sz w:val="1"/>
                <w:szCs w:val="1"/>
                <w:color w:val="auto"/>
              </w:rPr>
            </w:pPr>
          </w:p>
        </w:tc>
      </w:tr>
      <w:tr>
        <w:trPr>
          <w:trHeight w:val="160"/>
        </w:trPr>
        <w:tc>
          <w:tcPr>
            <w:tcW w:w="500" w:type="dxa"/>
            <w:vAlign w:val="bottom"/>
            <w:tcBorders>
              <w:left w:val="single" w:sz="8" w:color="auto"/>
            </w:tcBorders>
          </w:tcPr>
          <w:p>
            <w:pPr>
              <w:ind w:left="20"/>
              <w:spacing w:after="0" w:line="160" w:lineRule="exact"/>
              <w:rPr>
                <w:sz w:val="20"/>
                <w:szCs w:val="20"/>
                <w:color w:val="auto"/>
              </w:rPr>
            </w:pPr>
            <w:r>
              <w:rPr>
                <w:rFonts w:ascii="Arial" w:cs="Arial" w:eastAsia="Arial" w:hAnsi="Arial"/>
                <w:sz w:val="15"/>
                <w:szCs w:val="15"/>
                <w:color w:val="auto"/>
              </w:rPr>
              <w:t>Editor:</w:t>
            </w: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540" w:type="dxa"/>
            <w:vAlign w:val="bottom"/>
            <w:tcBorders>
              <w:right w:val="single" w:sz="8" w:color="auto"/>
            </w:tcBorders>
          </w:tcPr>
          <w:p>
            <w:pPr>
              <w:spacing w:after="0"/>
              <w:rPr>
                <w:sz w:val="13"/>
                <w:szCs w:val="13"/>
                <w:color w:val="auto"/>
              </w:rPr>
            </w:pPr>
          </w:p>
        </w:tc>
        <w:tc>
          <w:tcPr>
            <w:tcW w:w="1980" w:type="dxa"/>
            <w:vAlign w:val="bottom"/>
            <w:tcBorders>
              <w:right w:val="single" w:sz="8" w:color="auto"/>
            </w:tcBorders>
          </w:tcPr>
          <w:p>
            <w:pPr>
              <w:spacing w:after="0" w:line="160" w:lineRule="exact"/>
              <w:rPr>
                <w:sz w:val="20"/>
                <w:szCs w:val="20"/>
                <w:color w:val="auto"/>
              </w:rPr>
            </w:pPr>
            <w:r>
              <w:rPr>
                <w:rFonts w:ascii="Arial" w:cs="Arial" w:eastAsia="Arial" w:hAnsi="Arial"/>
                <w:sz w:val="15"/>
                <w:szCs w:val="15"/>
                <w:color w:val="auto"/>
              </w:rPr>
              <w:t>Confirmed by:</w:t>
            </w:r>
          </w:p>
        </w:tc>
        <w:tc>
          <w:tcPr>
            <w:tcW w:w="2820" w:type="dxa"/>
            <w:vAlign w:val="bottom"/>
            <w:vMerge w:val="restart"/>
          </w:tcPr>
          <w:p>
            <w:pPr>
              <w:spacing w:after="0"/>
              <w:rPr>
                <w:sz w:val="20"/>
                <w:szCs w:val="20"/>
                <w:color w:val="auto"/>
              </w:rPr>
            </w:pPr>
            <w:r>
              <w:rPr>
                <w:rFonts w:ascii="Arial" w:cs="Arial" w:eastAsia="Arial" w:hAnsi="Arial"/>
                <w:sz w:val="15"/>
                <w:szCs w:val="15"/>
                <w:color w:val="auto"/>
              </w:rPr>
              <w:t>Signature:</w:t>
            </w:r>
          </w:p>
        </w:tc>
        <w:tc>
          <w:tcPr>
            <w:tcW w:w="1600" w:type="dxa"/>
            <w:vAlign w:val="bottom"/>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1160" w:type="dxa"/>
            <w:vAlign w:val="bottom"/>
            <w:tcBorders>
              <w:left w:val="single" w:sz="8" w:color="auto"/>
            </w:tcBorders>
            <w:gridSpan w:val="3"/>
            <w:vMerge w:val="restart"/>
          </w:tcPr>
          <w:p>
            <w:pPr>
              <w:ind w:left="20"/>
              <w:spacing w:after="0"/>
              <w:rPr>
                <w:sz w:val="20"/>
                <w:szCs w:val="20"/>
                <w:color w:val="auto"/>
              </w:rPr>
            </w:pPr>
            <w:r>
              <w:rPr>
                <w:rFonts w:ascii="Arial" w:cs="Arial" w:eastAsia="Arial" w:hAnsi="Arial"/>
                <w:sz w:val="15"/>
                <w:szCs w:val="15"/>
                <w:color w:val="auto"/>
              </w:rPr>
              <w:t>Lev Superfin</w:t>
            </w:r>
          </w:p>
        </w:tc>
        <w:tc>
          <w:tcPr>
            <w:tcW w:w="2540" w:type="dxa"/>
            <w:vAlign w:val="bottom"/>
            <w:tcBorders>
              <w:right w:val="single" w:sz="8" w:color="auto"/>
            </w:tcBorders>
          </w:tcPr>
          <w:p>
            <w:pPr>
              <w:spacing w:after="0"/>
              <w:rPr>
                <w:sz w:val="8"/>
                <w:szCs w:val="8"/>
                <w:color w:val="auto"/>
              </w:rPr>
            </w:pPr>
          </w:p>
        </w:tc>
        <w:tc>
          <w:tcPr>
            <w:tcW w:w="1980" w:type="dxa"/>
            <w:vAlign w:val="bottom"/>
            <w:tcBorders>
              <w:right w:val="single" w:sz="8" w:color="auto"/>
            </w:tcBorders>
            <w:vMerge w:val="restart"/>
          </w:tcPr>
          <w:p>
            <w:pPr>
              <w:spacing w:after="0"/>
              <w:rPr>
                <w:sz w:val="20"/>
                <w:szCs w:val="20"/>
                <w:color w:val="auto"/>
              </w:rPr>
            </w:pPr>
            <w:r>
              <w:rPr>
                <w:rFonts w:ascii="Arial" w:cs="Arial" w:eastAsia="Arial" w:hAnsi="Arial"/>
                <w:sz w:val="15"/>
                <w:szCs w:val="15"/>
                <w:color w:val="auto"/>
              </w:rPr>
              <w:t>Rea Rogel</w:t>
            </w:r>
          </w:p>
        </w:tc>
        <w:tc>
          <w:tcPr>
            <w:tcW w:w="2820" w:type="dxa"/>
            <w:vAlign w:val="bottom"/>
            <w:vMerge w:val="continue"/>
          </w:tcPr>
          <w:p>
            <w:pPr>
              <w:spacing w:after="0"/>
              <w:rPr>
                <w:sz w:val="8"/>
                <w:szCs w:val="8"/>
                <w:color w:val="auto"/>
              </w:rPr>
            </w:pPr>
          </w:p>
        </w:tc>
        <w:tc>
          <w:tcPr>
            <w:tcW w:w="1600" w:type="dxa"/>
            <w:vAlign w:val="bottom"/>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160" w:type="dxa"/>
            <w:vAlign w:val="bottom"/>
            <w:tcBorders>
              <w:left w:val="single" w:sz="8" w:color="auto"/>
              <w:bottom w:val="single" w:sz="8" w:color="auto"/>
            </w:tcBorders>
            <w:gridSpan w:val="3"/>
            <w:vMerge w:val="continue"/>
          </w:tcPr>
          <w:p>
            <w:pPr>
              <w:spacing w:after="0"/>
              <w:rPr>
                <w:sz w:val="7"/>
                <w:szCs w:val="7"/>
                <w:color w:val="auto"/>
              </w:rPr>
            </w:pPr>
          </w:p>
        </w:tc>
        <w:tc>
          <w:tcPr>
            <w:tcW w:w="2540" w:type="dxa"/>
            <w:vAlign w:val="bottom"/>
            <w:tcBorders>
              <w:bottom w:val="single" w:sz="8" w:color="auto"/>
              <w:right w:val="single" w:sz="8" w:color="auto"/>
            </w:tcBorders>
          </w:tcPr>
          <w:p>
            <w:pPr>
              <w:spacing w:after="0"/>
              <w:rPr>
                <w:sz w:val="7"/>
                <w:szCs w:val="7"/>
                <w:color w:val="auto"/>
              </w:rPr>
            </w:pPr>
          </w:p>
        </w:tc>
        <w:tc>
          <w:tcPr>
            <w:tcW w:w="1980" w:type="dxa"/>
            <w:vAlign w:val="bottom"/>
            <w:tcBorders>
              <w:bottom w:val="single" w:sz="8" w:color="auto"/>
              <w:right w:val="single" w:sz="8" w:color="auto"/>
            </w:tcBorders>
            <w:vMerge w:val="continue"/>
          </w:tcPr>
          <w:p>
            <w:pPr>
              <w:spacing w:after="0"/>
              <w:rPr>
                <w:sz w:val="7"/>
                <w:szCs w:val="7"/>
                <w:color w:val="auto"/>
              </w:rPr>
            </w:pPr>
          </w:p>
        </w:tc>
        <w:tc>
          <w:tcPr>
            <w:tcW w:w="282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28"/>
        </w:trPr>
        <w:tc>
          <w:tcPr>
            <w:tcW w:w="500" w:type="dxa"/>
            <w:vAlign w:val="bottom"/>
          </w:tcPr>
          <w:p>
            <w:pPr>
              <w:spacing w:after="0"/>
              <w:rPr>
                <w:sz w:val="20"/>
                <w:szCs w:val="20"/>
                <w:color w:val="auto"/>
              </w:rPr>
            </w:pPr>
            <w:r>
              <w:rPr>
                <w:rFonts w:ascii="Arial" w:cs="Arial" w:eastAsia="Arial" w:hAnsi="Arial"/>
                <w:sz w:val="15"/>
                <w:szCs w:val="15"/>
                <w:color w:val="auto"/>
              </w:rPr>
              <w:t>1.</w:t>
            </w:r>
          </w:p>
        </w:tc>
        <w:tc>
          <w:tcPr>
            <w:tcW w:w="3200" w:type="dxa"/>
            <w:vAlign w:val="bottom"/>
            <w:gridSpan w:val="3"/>
            <w:vMerge w:val="restart"/>
          </w:tcPr>
          <w:p>
            <w:pPr>
              <w:ind w:left="40"/>
              <w:spacing w:after="0"/>
              <w:rPr>
                <w:sz w:val="20"/>
                <w:szCs w:val="20"/>
                <w:color w:val="auto"/>
              </w:rPr>
            </w:pPr>
            <w:r>
              <w:rPr>
                <w:rFonts w:ascii="Arial" w:cs="Arial" w:eastAsia="Arial" w:hAnsi="Arial"/>
                <w:sz w:val="15"/>
                <w:szCs w:val="15"/>
                <w:b w:val="1"/>
                <w:bCs w:val="1"/>
                <w:color w:val="auto"/>
              </w:rPr>
              <w:t>Machine Book</w:t>
            </w:r>
          </w:p>
        </w:tc>
        <w:tc>
          <w:tcPr>
            <w:tcW w:w="19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00" w:type="dxa"/>
            <w:vAlign w:val="bottom"/>
          </w:tcPr>
          <w:p>
            <w:pPr>
              <w:spacing w:after="0"/>
              <w:rPr>
                <w:sz w:val="9"/>
                <w:szCs w:val="9"/>
                <w:color w:val="auto"/>
              </w:rPr>
            </w:pPr>
          </w:p>
        </w:tc>
        <w:tc>
          <w:tcPr>
            <w:tcW w:w="3200" w:type="dxa"/>
            <w:vAlign w:val="bottom"/>
            <w:gridSpan w:val="3"/>
            <w:vMerge w:val="continue"/>
          </w:tcPr>
          <w:p>
            <w:pPr>
              <w:spacing w:after="0"/>
              <w:rPr>
                <w:sz w:val="9"/>
                <w:szCs w:val="9"/>
                <w:color w:val="auto"/>
              </w:rPr>
            </w:pPr>
          </w:p>
        </w:tc>
        <w:tc>
          <w:tcPr>
            <w:tcW w:w="1980" w:type="dxa"/>
            <w:vAlign w:val="bottom"/>
          </w:tcPr>
          <w:p>
            <w:pPr>
              <w:spacing w:after="0"/>
              <w:rPr>
                <w:sz w:val="9"/>
                <w:szCs w:val="9"/>
                <w:color w:val="auto"/>
              </w:rPr>
            </w:pPr>
          </w:p>
        </w:tc>
        <w:tc>
          <w:tcPr>
            <w:tcW w:w="28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940" w:type="dxa"/>
            <w:vAlign w:val="bottom"/>
            <w:tcBorders>
              <w:bottom w:val="single" w:sz="8" w:color="auto"/>
            </w:tcBorders>
            <w:gridSpan w:val="2"/>
          </w:tcPr>
          <w:p>
            <w:pPr>
              <w:spacing w:after="0"/>
              <w:rPr>
                <w:sz w:val="11"/>
                <w:szCs w:val="11"/>
                <w:color w:val="auto"/>
              </w:rPr>
            </w:pPr>
          </w:p>
        </w:tc>
        <w:tc>
          <w:tcPr>
            <w:tcW w:w="1980" w:type="dxa"/>
            <w:vAlign w:val="bottom"/>
            <w:tcBorders>
              <w:bottom w:val="single" w:sz="8" w:color="auto"/>
            </w:tcBorders>
          </w:tcPr>
          <w:p>
            <w:pPr>
              <w:spacing w:after="0"/>
              <w:rPr>
                <w:sz w:val="11"/>
                <w:szCs w:val="11"/>
                <w:color w:val="auto"/>
              </w:rPr>
            </w:pPr>
          </w:p>
        </w:tc>
        <w:tc>
          <w:tcPr>
            <w:tcW w:w="282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500" w:type="dxa"/>
            <w:vAlign w:val="bottom"/>
            <w:tcBorders>
              <w:left w:val="single" w:sz="8" w:color="auto"/>
              <w:bottom w:val="single" w:sz="8" w:color="D9D9D9"/>
            </w:tcBorders>
            <w:shd w:val="clear" w:color="auto" w:fill="D9D9D9"/>
          </w:tcPr>
          <w:p>
            <w:pPr>
              <w:ind w:left="60"/>
              <w:spacing w:after="0"/>
              <w:rPr>
                <w:sz w:val="20"/>
                <w:szCs w:val="20"/>
                <w:color w:val="auto"/>
              </w:rPr>
            </w:pPr>
            <w:r>
              <w:rPr>
                <w:rFonts w:ascii="Arial" w:cs="Arial" w:eastAsia="Arial" w:hAnsi="Arial"/>
                <w:sz w:val="15"/>
                <w:szCs w:val="15"/>
                <w:b w:val="1"/>
                <w:bCs w:val="1"/>
                <w:color w:val="auto"/>
              </w:rPr>
              <w:t>No.</w:t>
            </w:r>
          </w:p>
        </w:tc>
        <w:tc>
          <w:tcPr>
            <w:tcW w:w="260" w:type="dxa"/>
            <w:vAlign w:val="bottom"/>
            <w:tcBorders>
              <w:bottom w:val="single" w:sz="8" w:color="D9D9D9"/>
              <w:right w:val="single" w:sz="8" w:color="auto"/>
            </w:tcBorders>
            <w:shd w:val="clear" w:color="auto" w:fill="D9D9D9"/>
          </w:tcPr>
          <w:p>
            <w:pPr>
              <w:spacing w:after="0"/>
              <w:rPr>
                <w:sz w:val="24"/>
                <w:szCs w:val="24"/>
                <w:color w:val="auto"/>
              </w:rPr>
            </w:pPr>
          </w:p>
        </w:tc>
        <w:tc>
          <w:tcPr>
            <w:tcW w:w="2940" w:type="dxa"/>
            <w:vAlign w:val="bottom"/>
            <w:tcBorders>
              <w:bottom w:val="single" w:sz="8" w:color="D9D9D9"/>
              <w:right w:val="single" w:sz="8" w:color="D9D9D9"/>
            </w:tcBorders>
            <w:gridSpan w:val="2"/>
            <w:shd w:val="clear" w:color="auto" w:fill="D9D9D9"/>
          </w:tcPr>
          <w:p>
            <w:pPr>
              <w:ind w:left="40"/>
              <w:spacing w:after="0"/>
              <w:rPr>
                <w:sz w:val="20"/>
                <w:szCs w:val="20"/>
                <w:color w:val="auto"/>
              </w:rPr>
            </w:pPr>
            <w:r>
              <w:rPr>
                <w:rFonts w:ascii="Arial" w:cs="Arial" w:eastAsia="Arial" w:hAnsi="Arial"/>
                <w:sz w:val="15"/>
                <w:szCs w:val="15"/>
                <w:b w:val="1"/>
                <w:bCs w:val="1"/>
                <w:color w:val="auto"/>
              </w:rPr>
              <w:t>Procedure</w:t>
            </w:r>
          </w:p>
        </w:tc>
        <w:tc>
          <w:tcPr>
            <w:tcW w:w="1980" w:type="dxa"/>
            <w:vAlign w:val="bottom"/>
            <w:tcBorders>
              <w:bottom w:val="single" w:sz="8" w:color="D9D9D9"/>
              <w:right w:val="single" w:sz="8" w:color="D9D9D9"/>
            </w:tcBorders>
            <w:shd w:val="clear" w:color="auto" w:fill="D9D9D9"/>
          </w:tcPr>
          <w:p>
            <w:pPr>
              <w:spacing w:after="0"/>
              <w:rPr>
                <w:sz w:val="24"/>
                <w:szCs w:val="24"/>
                <w:color w:val="auto"/>
              </w:rPr>
            </w:pPr>
          </w:p>
        </w:tc>
        <w:tc>
          <w:tcPr>
            <w:tcW w:w="2820" w:type="dxa"/>
            <w:vAlign w:val="bottom"/>
            <w:tcBorders>
              <w:bottom w:val="single" w:sz="8" w:color="D9D9D9"/>
              <w:right w:val="single" w:sz="8" w:color="D9D9D9"/>
            </w:tcBorders>
            <w:shd w:val="clear" w:color="auto" w:fill="D9D9D9"/>
          </w:tcPr>
          <w:p>
            <w:pPr>
              <w:spacing w:after="0"/>
              <w:rPr>
                <w:sz w:val="24"/>
                <w:szCs w:val="24"/>
                <w:color w:val="auto"/>
              </w:rPr>
            </w:pPr>
          </w:p>
        </w:tc>
        <w:tc>
          <w:tcPr>
            <w:tcW w:w="1600" w:type="dxa"/>
            <w:vAlign w:val="bottom"/>
            <w:tcBorders>
              <w:bottom w:val="single" w:sz="8" w:color="D9D9D9"/>
              <w:right w:val="single" w:sz="8" w:color="auto"/>
            </w:tcBorders>
            <w:shd w:val="clear" w:color="auto" w:fill="D9D9D9"/>
          </w:tcPr>
          <w:p>
            <w:pPr>
              <w:spacing w:after="0"/>
              <w:rPr>
                <w:sz w:val="24"/>
                <w:szCs w:val="24"/>
                <w:color w:val="auto"/>
              </w:rPr>
            </w:pPr>
          </w:p>
        </w:tc>
        <w:tc>
          <w:tcPr>
            <w:tcW w:w="1240" w:type="dxa"/>
            <w:vAlign w:val="bottom"/>
            <w:tcBorders>
              <w:bottom w:val="single" w:sz="8" w:color="D9D9D9"/>
              <w:right w:val="single" w:sz="8" w:color="auto"/>
            </w:tcBorders>
            <w:shd w:val="clear" w:color="auto" w:fill="D9D9D9"/>
          </w:tcPr>
          <w:p>
            <w:pPr>
              <w:ind w:left="40"/>
              <w:spacing w:after="0"/>
              <w:rPr>
                <w:sz w:val="20"/>
                <w:szCs w:val="20"/>
                <w:color w:val="auto"/>
              </w:rPr>
            </w:pPr>
            <w:r>
              <w:rPr>
                <w:rFonts w:ascii="Arial" w:cs="Arial" w:eastAsia="Arial" w:hAnsi="Arial"/>
                <w:sz w:val="16"/>
                <w:szCs w:val="16"/>
                <w:b w:val="1"/>
                <w:bCs w:val="1"/>
                <w:color w:val="auto"/>
              </w:rPr>
              <w:t>RT</w:t>
            </w:r>
          </w:p>
        </w:tc>
        <w:tc>
          <w:tcPr>
            <w:tcW w:w="0" w:type="dxa"/>
            <w:vAlign w:val="bottom"/>
          </w:tcPr>
          <w:p>
            <w:pPr>
              <w:spacing w:after="0"/>
              <w:rPr>
                <w:sz w:val="1"/>
                <w:szCs w:val="1"/>
                <w:color w:val="auto"/>
              </w:rPr>
            </w:pPr>
          </w:p>
        </w:tc>
      </w:tr>
      <w:tr>
        <w:trPr>
          <w:trHeight w:val="215"/>
        </w:trPr>
        <w:tc>
          <w:tcPr>
            <w:tcW w:w="500" w:type="dxa"/>
            <w:vAlign w:val="bottom"/>
            <w:tcBorders>
              <w:top w:val="single" w:sz="8" w:color="auto"/>
              <w:left w:val="single" w:sz="8" w:color="auto"/>
            </w:tcBorders>
          </w:tcPr>
          <w:p>
            <w:pPr>
              <w:ind w:left="20"/>
              <w:spacing w:after="0"/>
              <w:rPr>
                <w:sz w:val="20"/>
                <w:szCs w:val="20"/>
                <w:color w:val="auto"/>
              </w:rPr>
            </w:pPr>
            <w:r>
              <w:rPr>
                <w:rFonts w:ascii="Arial" w:cs="Arial" w:eastAsia="Arial" w:hAnsi="Arial"/>
                <w:sz w:val="15"/>
                <w:szCs w:val="15"/>
                <w:color w:val="auto"/>
              </w:rPr>
              <w:t>1.1</w:t>
            </w:r>
          </w:p>
        </w:tc>
        <w:tc>
          <w:tcPr>
            <w:tcW w:w="260" w:type="dxa"/>
            <w:vAlign w:val="bottom"/>
            <w:tcBorders>
              <w:top w:val="single" w:sz="8" w:color="auto"/>
              <w:right w:val="single" w:sz="8" w:color="auto"/>
            </w:tcBorders>
          </w:tcPr>
          <w:p>
            <w:pPr>
              <w:spacing w:after="0"/>
              <w:rPr>
                <w:sz w:val="18"/>
                <w:szCs w:val="18"/>
                <w:color w:val="auto"/>
              </w:rPr>
            </w:pPr>
          </w:p>
        </w:tc>
        <w:tc>
          <w:tcPr>
            <w:tcW w:w="400" w:type="dxa"/>
            <w:vAlign w:val="bottom"/>
            <w:tcBorders>
              <w:top w:val="single" w:sz="8" w:color="auto"/>
            </w:tcBorders>
          </w:tcPr>
          <w:p>
            <w:pPr>
              <w:ind w:left="80"/>
              <w:spacing w:after="0"/>
              <w:rPr>
                <w:sz w:val="20"/>
                <w:szCs w:val="20"/>
                <w:color w:val="auto"/>
              </w:rPr>
            </w:pPr>
            <w:r>
              <w:rPr>
                <w:rFonts w:ascii="Arial" w:cs="Arial" w:eastAsia="Arial" w:hAnsi="Arial"/>
                <w:sz w:val="15"/>
                <w:szCs w:val="15"/>
                <w:color w:val="auto"/>
                <w:w w:val="99"/>
              </w:rPr>
              <w:t>[***].</w:t>
            </w:r>
          </w:p>
        </w:tc>
        <w:tc>
          <w:tcPr>
            <w:tcW w:w="254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tcPr>
          <w:p>
            <w:pPr>
              <w:spacing w:after="0"/>
              <w:rPr>
                <w:sz w:val="18"/>
                <w:szCs w:val="18"/>
                <w:color w:val="auto"/>
              </w:rPr>
            </w:pPr>
          </w:p>
        </w:tc>
        <w:tc>
          <w:tcPr>
            <w:tcW w:w="2820" w:type="dxa"/>
            <w:vAlign w:val="bottom"/>
            <w:tcBorders>
              <w:top w:val="single" w:sz="8" w:color="auto"/>
            </w:tcBorders>
          </w:tcPr>
          <w:p>
            <w:pPr>
              <w:spacing w:after="0"/>
              <w:rPr>
                <w:sz w:val="18"/>
                <w:szCs w:val="18"/>
                <w:color w:val="auto"/>
              </w:rPr>
            </w:pPr>
          </w:p>
        </w:tc>
        <w:tc>
          <w:tcPr>
            <w:tcW w:w="1600" w:type="dxa"/>
            <w:vAlign w:val="bottom"/>
            <w:tcBorders>
              <w:top w:val="single" w:sz="8" w:color="auto"/>
              <w:right w:val="single" w:sz="8" w:color="auto"/>
            </w:tcBorders>
          </w:tcPr>
          <w:p>
            <w:pPr>
              <w:spacing w:after="0"/>
              <w:rPr>
                <w:sz w:val="18"/>
                <w:szCs w:val="18"/>
                <w:color w:val="auto"/>
              </w:rPr>
            </w:pPr>
          </w:p>
        </w:tc>
        <w:tc>
          <w:tcPr>
            <w:tcW w:w="124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0" w:type="dxa"/>
            <w:vAlign w:val="bottom"/>
            <w:tcBorders>
              <w:left w:val="single" w:sz="8" w:color="auto"/>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1.2</w:t>
            </w:r>
          </w:p>
        </w:tc>
        <w:tc>
          <w:tcPr>
            <w:tcW w:w="260" w:type="dxa"/>
            <w:vAlign w:val="bottom"/>
            <w:tcBorders>
              <w:right w:val="single" w:sz="8" w:color="auto"/>
            </w:tcBorders>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5"/>
                <w:szCs w:val="15"/>
                <w:color w:val="auto"/>
                <w:w w:val="99"/>
              </w:rPr>
              <w:t>[***].</w:t>
            </w:r>
          </w:p>
        </w:tc>
        <w:tc>
          <w:tcPr>
            <w:tcW w:w="25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0" w:type="dxa"/>
            <w:vAlign w:val="bottom"/>
            <w:tcBorders>
              <w:left w:val="single" w:sz="8" w:color="auto"/>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1.3</w:t>
            </w:r>
          </w:p>
        </w:tc>
        <w:tc>
          <w:tcPr>
            <w:tcW w:w="260" w:type="dxa"/>
            <w:vAlign w:val="bottom"/>
            <w:tcBorders>
              <w:right w:val="single" w:sz="8" w:color="auto"/>
            </w:tcBorders>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5"/>
                <w:szCs w:val="15"/>
                <w:color w:val="auto"/>
                <w:w w:val="99"/>
              </w:rPr>
              <w:t>[***].</w:t>
            </w:r>
          </w:p>
        </w:tc>
        <w:tc>
          <w:tcPr>
            <w:tcW w:w="25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0" w:type="dxa"/>
            <w:vAlign w:val="bottom"/>
            <w:tcBorders>
              <w:left w:val="single" w:sz="8" w:color="auto"/>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1.4</w:t>
            </w:r>
          </w:p>
        </w:tc>
        <w:tc>
          <w:tcPr>
            <w:tcW w:w="260" w:type="dxa"/>
            <w:vAlign w:val="bottom"/>
            <w:tcBorders>
              <w:right w:val="single" w:sz="8" w:color="auto"/>
            </w:tcBorders>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5"/>
                <w:szCs w:val="15"/>
                <w:color w:val="auto"/>
              </w:rPr>
              <w:t>[***]</w:t>
            </w:r>
          </w:p>
        </w:tc>
        <w:tc>
          <w:tcPr>
            <w:tcW w:w="25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0" w:type="dxa"/>
            <w:vAlign w:val="bottom"/>
            <w:tcBorders>
              <w:left w:val="single" w:sz="8" w:color="auto"/>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40"/>
        </w:trPr>
        <w:tc>
          <w:tcPr>
            <w:tcW w:w="500" w:type="dxa"/>
            <w:vAlign w:val="bottom"/>
          </w:tcPr>
          <w:p>
            <w:pPr>
              <w:spacing w:after="0"/>
              <w:rPr>
                <w:sz w:val="20"/>
                <w:szCs w:val="20"/>
                <w:color w:val="auto"/>
              </w:rPr>
            </w:pPr>
            <w:r>
              <w:rPr>
                <w:rFonts w:ascii="Arial" w:cs="Arial" w:eastAsia="Arial" w:hAnsi="Arial"/>
                <w:sz w:val="15"/>
                <w:szCs w:val="15"/>
                <w:color w:val="auto"/>
              </w:rPr>
              <w:t>2.</w:t>
            </w:r>
          </w:p>
        </w:tc>
        <w:tc>
          <w:tcPr>
            <w:tcW w:w="3200" w:type="dxa"/>
            <w:vAlign w:val="bottom"/>
            <w:gridSpan w:val="3"/>
            <w:vMerge w:val="restart"/>
          </w:tcPr>
          <w:p>
            <w:pPr>
              <w:ind w:left="40"/>
              <w:spacing w:after="0"/>
              <w:rPr>
                <w:sz w:val="20"/>
                <w:szCs w:val="20"/>
                <w:color w:val="auto"/>
              </w:rPr>
            </w:pPr>
            <w:r>
              <w:rPr>
                <w:rFonts w:ascii="Arial" w:cs="Arial" w:eastAsia="Arial" w:hAnsi="Arial"/>
                <w:sz w:val="15"/>
                <w:szCs w:val="15"/>
                <w:b w:val="1"/>
                <w:bCs w:val="1"/>
                <w:color w:val="auto"/>
              </w:rPr>
              <w:t>Visual Tests</w:t>
            </w:r>
          </w:p>
        </w:tc>
        <w:tc>
          <w:tcPr>
            <w:tcW w:w="19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00" w:type="dxa"/>
            <w:vAlign w:val="bottom"/>
          </w:tcPr>
          <w:p>
            <w:pPr>
              <w:spacing w:after="0"/>
              <w:rPr>
                <w:sz w:val="9"/>
                <w:szCs w:val="9"/>
                <w:color w:val="auto"/>
              </w:rPr>
            </w:pPr>
          </w:p>
        </w:tc>
        <w:tc>
          <w:tcPr>
            <w:tcW w:w="3200" w:type="dxa"/>
            <w:vAlign w:val="bottom"/>
            <w:gridSpan w:val="3"/>
            <w:vMerge w:val="continue"/>
          </w:tcPr>
          <w:p>
            <w:pPr>
              <w:spacing w:after="0"/>
              <w:rPr>
                <w:sz w:val="9"/>
                <w:szCs w:val="9"/>
                <w:color w:val="auto"/>
              </w:rPr>
            </w:pPr>
          </w:p>
        </w:tc>
        <w:tc>
          <w:tcPr>
            <w:tcW w:w="1980" w:type="dxa"/>
            <w:vAlign w:val="bottom"/>
          </w:tcPr>
          <w:p>
            <w:pPr>
              <w:spacing w:after="0"/>
              <w:rPr>
                <w:sz w:val="9"/>
                <w:szCs w:val="9"/>
                <w:color w:val="auto"/>
              </w:rPr>
            </w:pPr>
          </w:p>
        </w:tc>
        <w:tc>
          <w:tcPr>
            <w:tcW w:w="28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940" w:type="dxa"/>
            <w:vAlign w:val="bottom"/>
            <w:tcBorders>
              <w:bottom w:val="single" w:sz="8" w:color="auto"/>
            </w:tcBorders>
            <w:gridSpan w:val="2"/>
          </w:tcPr>
          <w:p>
            <w:pPr>
              <w:spacing w:after="0"/>
              <w:rPr>
                <w:sz w:val="11"/>
                <w:szCs w:val="11"/>
                <w:color w:val="auto"/>
              </w:rPr>
            </w:pPr>
          </w:p>
        </w:tc>
        <w:tc>
          <w:tcPr>
            <w:tcW w:w="1980" w:type="dxa"/>
            <w:vAlign w:val="bottom"/>
            <w:tcBorders>
              <w:bottom w:val="single" w:sz="8" w:color="auto"/>
            </w:tcBorders>
          </w:tcPr>
          <w:p>
            <w:pPr>
              <w:spacing w:after="0"/>
              <w:rPr>
                <w:sz w:val="11"/>
                <w:szCs w:val="11"/>
                <w:color w:val="auto"/>
              </w:rPr>
            </w:pPr>
          </w:p>
        </w:tc>
        <w:tc>
          <w:tcPr>
            <w:tcW w:w="282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86"/>
        </w:trPr>
        <w:tc>
          <w:tcPr>
            <w:tcW w:w="500" w:type="dxa"/>
            <w:vAlign w:val="bottom"/>
            <w:tcBorders>
              <w:left w:val="single" w:sz="8" w:color="auto"/>
            </w:tcBorders>
            <w:shd w:val="clear" w:color="auto" w:fill="D9D9D9"/>
          </w:tcPr>
          <w:p>
            <w:pPr>
              <w:ind w:left="60"/>
              <w:spacing w:after="0"/>
              <w:rPr>
                <w:sz w:val="20"/>
                <w:szCs w:val="20"/>
                <w:color w:val="auto"/>
              </w:rPr>
            </w:pPr>
            <w:r>
              <w:rPr>
                <w:rFonts w:ascii="Arial" w:cs="Arial" w:eastAsia="Arial" w:hAnsi="Arial"/>
                <w:sz w:val="15"/>
                <w:szCs w:val="15"/>
                <w:b w:val="1"/>
                <w:bCs w:val="1"/>
                <w:color w:val="auto"/>
              </w:rPr>
              <w:t>No.</w:t>
            </w:r>
          </w:p>
        </w:tc>
        <w:tc>
          <w:tcPr>
            <w:tcW w:w="260" w:type="dxa"/>
            <w:vAlign w:val="bottom"/>
            <w:tcBorders>
              <w:right w:val="single" w:sz="8" w:color="auto"/>
            </w:tcBorders>
            <w:shd w:val="clear" w:color="auto" w:fill="D9D9D9"/>
          </w:tcPr>
          <w:p>
            <w:pPr>
              <w:spacing w:after="0"/>
              <w:rPr>
                <w:sz w:val="24"/>
                <w:szCs w:val="24"/>
                <w:color w:val="auto"/>
              </w:rPr>
            </w:pPr>
          </w:p>
        </w:tc>
        <w:tc>
          <w:tcPr>
            <w:tcW w:w="2940" w:type="dxa"/>
            <w:vAlign w:val="bottom"/>
            <w:tcBorders>
              <w:right w:val="single" w:sz="8" w:color="D9D9D9"/>
            </w:tcBorders>
            <w:gridSpan w:val="2"/>
            <w:shd w:val="clear" w:color="auto" w:fill="D9D9D9"/>
          </w:tcPr>
          <w:p>
            <w:pPr>
              <w:ind w:left="40"/>
              <w:spacing w:after="0"/>
              <w:rPr>
                <w:sz w:val="20"/>
                <w:szCs w:val="20"/>
                <w:color w:val="auto"/>
              </w:rPr>
            </w:pPr>
            <w:r>
              <w:rPr>
                <w:rFonts w:ascii="Arial" w:cs="Arial" w:eastAsia="Arial" w:hAnsi="Arial"/>
                <w:sz w:val="15"/>
                <w:szCs w:val="15"/>
                <w:b w:val="1"/>
                <w:bCs w:val="1"/>
                <w:color w:val="auto"/>
              </w:rPr>
              <w:t>Procedure</w:t>
            </w:r>
          </w:p>
        </w:tc>
        <w:tc>
          <w:tcPr>
            <w:tcW w:w="1980" w:type="dxa"/>
            <w:vAlign w:val="bottom"/>
            <w:tcBorders>
              <w:right w:val="single" w:sz="8" w:color="D9D9D9"/>
            </w:tcBorders>
            <w:shd w:val="clear" w:color="auto" w:fill="D9D9D9"/>
          </w:tcPr>
          <w:p>
            <w:pPr>
              <w:spacing w:after="0"/>
              <w:rPr>
                <w:sz w:val="24"/>
                <w:szCs w:val="24"/>
                <w:color w:val="auto"/>
              </w:rPr>
            </w:pPr>
          </w:p>
        </w:tc>
        <w:tc>
          <w:tcPr>
            <w:tcW w:w="2820" w:type="dxa"/>
            <w:vAlign w:val="bottom"/>
            <w:tcBorders>
              <w:right w:val="single" w:sz="8" w:color="D9D9D9"/>
            </w:tcBorders>
            <w:shd w:val="clear" w:color="auto" w:fill="D9D9D9"/>
          </w:tcPr>
          <w:p>
            <w:pPr>
              <w:spacing w:after="0"/>
              <w:rPr>
                <w:sz w:val="24"/>
                <w:szCs w:val="24"/>
                <w:color w:val="auto"/>
              </w:rPr>
            </w:pPr>
          </w:p>
        </w:tc>
        <w:tc>
          <w:tcPr>
            <w:tcW w:w="1600" w:type="dxa"/>
            <w:vAlign w:val="bottom"/>
            <w:tcBorders>
              <w:right w:val="single" w:sz="8" w:color="auto"/>
            </w:tcBorders>
            <w:shd w:val="clear" w:color="auto" w:fill="D9D9D9"/>
          </w:tcPr>
          <w:p>
            <w:pPr>
              <w:spacing w:after="0"/>
              <w:rPr>
                <w:sz w:val="24"/>
                <w:szCs w:val="24"/>
                <w:color w:val="auto"/>
              </w:rPr>
            </w:pPr>
          </w:p>
        </w:tc>
        <w:tc>
          <w:tcPr>
            <w:tcW w:w="1240" w:type="dxa"/>
            <w:vAlign w:val="bottom"/>
            <w:tcBorders>
              <w:right w:val="single" w:sz="8" w:color="auto"/>
            </w:tcBorders>
            <w:shd w:val="clear" w:color="auto" w:fill="D9D9D9"/>
          </w:tcPr>
          <w:p>
            <w:pPr>
              <w:ind w:left="40"/>
              <w:spacing w:after="0"/>
              <w:rPr>
                <w:sz w:val="20"/>
                <w:szCs w:val="20"/>
                <w:color w:val="auto"/>
              </w:rPr>
            </w:pPr>
            <w:r>
              <w:rPr>
                <w:rFonts w:ascii="Arial" w:cs="Arial" w:eastAsia="Arial" w:hAnsi="Arial"/>
                <w:sz w:val="16"/>
                <w:szCs w:val="16"/>
                <w:b w:val="1"/>
                <w:bCs w:val="1"/>
                <w:color w:val="auto"/>
              </w:rPr>
              <w:t>RT</w:t>
            </w:r>
          </w:p>
        </w:tc>
        <w:tc>
          <w:tcPr>
            <w:tcW w:w="0" w:type="dxa"/>
            <w:vAlign w:val="bottom"/>
          </w:tcPr>
          <w:p>
            <w:pPr>
              <w:spacing w:after="0"/>
              <w:rPr>
                <w:sz w:val="1"/>
                <w:szCs w:val="1"/>
                <w:color w:val="auto"/>
              </w:rPr>
            </w:pPr>
          </w:p>
        </w:tc>
      </w:tr>
      <w:tr>
        <w:trPr>
          <w:trHeight w:val="98"/>
        </w:trPr>
        <w:tc>
          <w:tcPr>
            <w:tcW w:w="500" w:type="dxa"/>
            <w:vAlign w:val="bottom"/>
            <w:tcBorders>
              <w:left w:val="single" w:sz="8" w:color="auto"/>
              <w:bottom w:val="single" w:sz="8" w:color="auto"/>
            </w:tcBorders>
            <w:shd w:val="clear" w:color="auto" w:fill="D9D9D9"/>
          </w:tcPr>
          <w:p>
            <w:pPr>
              <w:spacing w:after="0"/>
              <w:rPr>
                <w:sz w:val="8"/>
                <w:szCs w:val="8"/>
                <w:color w:val="auto"/>
              </w:rPr>
            </w:pPr>
          </w:p>
        </w:tc>
        <w:tc>
          <w:tcPr>
            <w:tcW w:w="260" w:type="dxa"/>
            <w:vAlign w:val="bottom"/>
            <w:tcBorders>
              <w:bottom w:val="single" w:sz="8" w:color="auto"/>
              <w:right w:val="single" w:sz="8" w:color="auto"/>
            </w:tcBorders>
            <w:shd w:val="clear" w:color="auto" w:fill="D9D9D9"/>
          </w:tcPr>
          <w:p>
            <w:pPr>
              <w:spacing w:after="0"/>
              <w:rPr>
                <w:sz w:val="8"/>
                <w:szCs w:val="8"/>
                <w:color w:val="auto"/>
              </w:rPr>
            </w:pPr>
          </w:p>
        </w:tc>
        <w:tc>
          <w:tcPr>
            <w:tcW w:w="400" w:type="dxa"/>
            <w:vAlign w:val="bottom"/>
            <w:tcBorders>
              <w:bottom w:val="single" w:sz="8" w:color="auto"/>
            </w:tcBorders>
            <w:shd w:val="clear" w:color="auto" w:fill="D9D9D9"/>
          </w:tcPr>
          <w:p>
            <w:pPr>
              <w:spacing w:after="0"/>
              <w:rPr>
                <w:sz w:val="8"/>
                <w:szCs w:val="8"/>
                <w:color w:val="auto"/>
              </w:rPr>
            </w:pPr>
          </w:p>
        </w:tc>
        <w:tc>
          <w:tcPr>
            <w:tcW w:w="2540" w:type="dxa"/>
            <w:vAlign w:val="bottom"/>
            <w:tcBorders>
              <w:bottom w:val="single" w:sz="8" w:color="auto"/>
              <w:right w:val="single" w:sz="8" w:color="D9D9D9"/>
            </w:tcBorders>
            <w:shd w:val="clear" w:color="auto" w:fill="D9D9D9"/>
          </w:tcPr>
          <w:p>
            <w:pPr>
              <w:spacing w:after="0"/>
              <w:rPr>
                <w:sz w:val="8"/>
                <w:szCs w:val="8"/>
                <w:color w:val="auto"/>
              </w:rPr>
            </w:pPr>
          </w:p>
        </w:tc>
        <w:tc>
          <w:tcPr>
            <w:tcW w:w="1980" w:type="dxa"/>
            <w:vAlign w:val="bottom"/>
            <w:tcBorders>
              <w:bottom w:val="single" w:sz="8" w:color="auto"/>
              <w:right w:val="single" w:sz="8" w:color="D9D9D9"/>
            </w:tcBorders>
            <w:shd w:val="clear" w:color="auto" w:fill="D9D9D9"/>
          </w:tcPr>
          <w:p>
            <w:pPr>
              <w:spacing w:after="0"/>
              <w:rPr>
                <w:sz w:val="8"/>
                <w:szCs w:val="8"/>
                <w:color w:val="auto"/>
              </w:rPr>
            </w:pPr>
          </w:p>
        </w:tc>
        <w:tc>
          <w:tcPr>
            <w:tcW w:w="2820" w:type="dxa"/>
            <w:vAlign w:val="bottom"/>
            <w:tcBorders>
              <w:bottom w:val="single" w:sz="8" w:color="auto"/>
              <w:right w:val="single" w:sz="8" w:color="D9D9D9"/>
            </w:tcBorders>
            <w:shd w:val="clear" w:color="auto" w:fill="D9D9D9"/>
          </w:tcPr>
          <w:p>
            <w:pPr>
              <w:spacing w:after="0"/>
              <w:rPr>
                <w:sz w:val="8"/>
                <w:szCs w:val="8"/>
                <w:color w:val="auto"/>
              </w:rPr>
            </w:pPr>
          </w:p>
        </w:tc>
        <w:tc>
          <w:tcPr>
            <w:tcW w:w="1600" w:type="dxa"/>
            <w:vAlign w:val="bottom"/>
            <w:tcBorders>
              <w:bottom w:val="single" w:sz="8" w:color="auto"/>
              <w:right w:val="single" w:sz="8" w:color="auto"/>
            </w:tcBorders>
            <w:shd w:val="clear" w:color="auto" w:fill="D9D9D9"/>
          </w:tcPr>
          <w:p>
            <w:pPr>
              <w:spacing w:after="0"/>
              <w:rPr>
                <w:sz w:val="8"/>
                <w:szCs w:val="8"/>
                <w:color w:val="auto"/>
              </w:rPr>
            </w:pPr>
          </w:p>
        </w:tc>
        <w:tc>
          <w:tcPr>
            <w:tcW w:w="1240" w:type="dxa"/>
            <w:vAlign w:val="bottom"/>
            <w:tcBorders>
              <w:bottom w:val="single" w:sz="8" w:color="auto"/>
              <w:right w:val="single" w:sz="8" w:color="auto"/>
            </w:tcBorders>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50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2.1</w:t>
            </w:r>
          </w:p>
        </w:tc>
        <w:tc>
          <w:tcPr>
            <w:tcW w:w="260" w:type="dxa"/>
            <w:vAlign w:val="bottom"/>
            <w:tcBorders>
              <w:right w:val="single" w:sz="8" w:color="auto"/>
            </w:tcBorders>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5"/>
                <w:szCs w:val="15"/>
                <w:color w:val="auto"/>
                <w:w w:val="99"/>
              </w:rPr>
              <w:t>[***]:</w:t>
            </w:r>
          </w:p>
        </w:tc>
        <w:tc>
          <w:tcPr>
            <w:tcW w:w="25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0" w:type="dxa"/>
            <w:vAlign w:val="bottom"/>
            <w:tcBorders>
              <w:lef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 w:type="dxa"/>
            <w:vAlign w:val="bottom"/>
            <w:tcBorders>
              <w:lef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5"/>
                <w:szCs w:val="15"/>
                <w:color w:val="auto"/>
              </w:rPr>
              <w:t>a.</w:t>
            </w:r>
          </w:p>
        </w:tc>
        <w:tc>
          <w:tcPr>
            <w:tcW w:w="2540" w:type="dxa"/>
            <w:vAlign w:val="bottom"/>
          </w:tcPr>
          <w:p>
            <w:pPr>
              <w:jc w:val="right"/>
              <w:ind w:right="2105"/>
              <w:spacing w:after="0"/>
              <w:rPr>
                <w:sz w:val="20"/>
                <w:szCs w:val="20"/>
                <w:color w:val="auto"/>
              </w:rPr>
            </w:pPr>
            <w:r>
              <w:rPr>
                <w:rFonts w:ascii="Arial" w:cs="Arial" w:eastAsia="Arial" w:hAnsi="Arial"/>
                <w:sz w:val="15"/>
                <w:szCs w:val="15"/>
                <w:color w:val="auto"/>
              </w:rPr>
              <w:t>[***].</w:t>
            </w: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00" w:type="dxa"/>
            <w:vAlign w:val="bottom"/>
            <w:tcBorders>
              <w:left w:val="single" w:sz="8" w:color="auto"/>
            </w:tcBorders>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54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500" w:type="dxa"/>
            <w:vAlign w:val="bottom"/>
            <w:tcBorders>
              <w:lef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5"/>
                <w:szCs w:val="15"/>
                <w:color w:val="auto"/>
              </w:rPr>
              <w:t>b.</w:t>
            </w:r>
          </w:p>
        </w:tc>
        <w:tc>
          <w:tcPr>
            <w:tcW w:w="2540" w:type="dxa"/>
            <w:vAlign w:val="bottom"/>
          </w:tcPr>
          <w:p>
            <w:pPr>
              <w:jc w:val="right"/>
              <w:ind w:right="2145"/>
              <w:spacing w:after="0"/>
              <w:rPr>
                <w:sz w:val="20"/>
                <w:szCs w:val="20"/>
                <w:color w:val="auto"/>
              </w:rPr>
            </w:pPr>
            <w:r>
              <w:rPr>
                <w:rFonts w:ascii="Arial" w:cs="Arial" w:eastAsia="Arial" w:hAnsi="Arial"/>
                <w:sz w:val="15"/>
                <w:szCs w:val="15"/>
                <w:color w:val="auto"/>
                <w:w w:val="99"/>
              </w:rPr>
              <w:t>[***].</w:t>
            </w: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00" w:type="dxa"/>
            <w:vAlign w:val="bottom"/>
            <w:tcBorders>
              <w:left w:val="single" w:sz="8" w:color="auto"/>
            </w:tcBorders>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54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500" w:type="dxa"/>
            <w:vAlign w:val="bottom"/>
            <w:tcBorders>
              <w:lef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5"/>
                <w:szCs w:val="15"/>
                <w:color w:val="auto"/>
              </w:rPr>
              <w:t>c.</w:t>
            </w:r>
          </w:p>
        </w:tc>
        <w:tc>
          <w:tcPr>
            <w:tcW w:w="2540" w:type="dxa"/>
            <w:vAlign w:val="bottom"/>
          </w:tcPr>
          <w:p>
            <w:pPr>
              <w:jc w:val="right"/>
              <w:ind w:right="2105"/>
              <w:spacing w:after="0"/>
              <w:rPr>
                <w:sz w:val="20"/>
                <w:szCs w:val="20"/>
                <w:color w:val="auto"/>
              </w:rPr>
            </w:pPr>
            <w:r>
              <w:rPr>
                <w:rFonts w:ascii="Arial" w:cs="Arial" w:eastAsia="Arial" w:hAnsi="Arial"/>
                <w:sz w:val="15"/>
                <w:szCs w:val="15"/>
                <w:color w:val="auto"/>
              </w:rPr>
              <w:t>[***].</w:t>
            </w: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00" w:type="dxa"/>
            <w:vAlign w:val="bottom"/>
            <w:tcBorders>
              <w:left w:val="single" w:sz="8" w:color="auto"/>
            </w:tcBorders>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54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500" w:type="dxa"/>
            <w:vAlign w:val="bottom"/>
            <w:tcBorders>
              <w:lef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5"/>
                <w:szCs w:val="15"/>
                <w:color w:val="auto"/>
              </w:rPr>
              <w:t>d.</w:t>
            </w:r>
          </w:p>
        </w:tc>
        <w:tc>
          <w:tcPr>
            <w:tcW w:w="2540" w:type="dxa"/>
            <w:vAlign w:val="bottom"/>
          </w:tcPr>
          <w:p>
            <w:pPr>
              <w:jc w:val="right"/>
              <w:ind w:right="2145"/>
              <w:spacing w:after="0"/>
              <w:rPr>
                <w:sz w:val="20"/>
                <w:szCs w:val="20"/>
                <w:color w:val="auto"/>
              </w:rPr>
            </w:pPr>
            <w:r>
              <w:rPr>
                <w:rFonts w:ascii="Arial" w:cs="Arial" w:eastAsia="Arial" w:hAnsi="Arial"/>
                <w:sz w:val="15"/>
                <w:szCs w:val="15"/>
                <w:color w:val="auto"/>
                <w:w w:val="99"/>
              </w:rPr>
              <w:t>[***].</w:t>
            </w: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00" w:type="dxa"/>
            <w:vAlign w:val="bottom"/>
            <w:tcBorders>
              <w:left w:val="single" w:sz="8" w:color="auto"/>
            </w:tcBorders>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54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500" w:type="dxa"/>
            <w:vAlign w:val="bottom"/>
            <w:tcBorders>
              <w:lef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5"/>
                <w:szCs w:val="15"/>
                <w:color w:val="auto"/>
              </w:rPr>
              <w:t>e.</w:t>
            </w:r>
          </w:p>
        </w:tc>
        <w:tc>
          <w:tcPr>
            <w:tcW w:w="2540" w:type="dxa"/>
            <w:vAlign w:val="bottom"/>
          </w:tcPr>
          <w:p>
            <w:pPr>
              <w:jc w:val="right"/>
              <w:ind w:right="2105"/>
              <w:spacing w:after="0"/>
              <w:rPr>
                <w:sz w:val="20"/>
                <w:szCs w:val="20"/>
                <w:color w:val="auto"/>
              </w:rPr>
            </w:pPr>
            <w:r>
              <w:rPr>
                <w:rFonts w:ascii="Arial" w:cs="Arial" w:eastAsia="Arial" w:hAnsi="Arial"/>
                <w:sz w:val="15"/>
                <w:szCs w:val="15"/>
                <w:color w:val="auto"/>
              </w:rPr>
              <w:t>[***].</w:t>
            </w: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00" w:type="dxa"/>
            <w:vAlign w:val="bottom"/>
            <w:tcBorders>
              <w:left w:val="single" w:sz="8" w:color="auto"/>
            </w:tcBorders>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54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500" w:type="dxa"/>
            <w:vAlign w:val="bottom"/>
            <w:tcBorders>
              <w:lef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5"/>
                <w:szCs w:val="15"/>
                <w:color w:val="auto"/>
              </w:rPr>
              <w:t>f.</w:t>
            </w:r>
          </w:p>
        </w:tc>
        <w:tc>
          <w:tcPr>
            <w:tcW w:w="2540" w:type="dxa"/>
            <w:vAlign w:val="bottom"/>
          </w:tcPr>
          <w:p>
            <w:pPr>
              <w:jc w:val="right"/>
              <w:ind w:right="2125"/>
              <w:spacing w:after="0"/>
              <w:rPr>
                <w:sz w:val="20"/>
                <w:szCs w:val="20"/>
                <w:color w:val="auto"/>
              </w:rPr>
            </w:pPr>
            <w:r>
              <w:rPr>
                <w:rFonts w:ascii="Arial" w:cs="Arial" w:eastAsia="Arial" w:hAnsi="Arial"/>
                <w:sz w:val="15"/>
                <w:szCs w:val="15"/>
                <w:color w:val="auto"/>
              </w:rPr>
              <w:t>[***].</w:t>
            </w: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00" w:type="dxa"/>
            <w:vAlign w:val="bottom"/>
            <w:tcBorders>
              <w:left w:val="single" w:sz="8" w:color="auto"/>
            </w:tcBorders>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54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500" w:type="dxa"/>
            <w:vAlign w:val="bottom"/>
            <w:tcBorders>
              <w:lef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5"/>
                <w:szCs w:val="15"/>
                <w:color w:val="auto"/>
              </w:rPr>
              <w:t>g.</w:t>
            </w:r>
          </w:p>
        </w:tc>
        <w:tc>
          <w:tcPr>
            <w:tcW w:w="2540" w:type="dxa"/>
            <w:vAlign w:val="bottom"/>
          </w:tcPr>
          <w:p>
            <w:pPr>
              <w:jc w:val="right"/>
              <w:ind w:right="2105"/>
              <w:spacing w:after="0"/>
              <w:rPr>
                <w:sz w:val="20"/>
                <w:szCs w:val="20"/>
                <w:color w:val="auto"/>
              </w:rPr>
            </w:pPr>
            <w:r>
              <w:rPr>
                <w:rFonts w:ascii="Arial" w:cs="Arial" w:eastAsia="Arial" w:hAnsi="Arial"/>
                <w:sz w:val="15"/>
                <w:szCs w:val="15"/>
                <w:color w:val="auto"/>
              </w:rPr>
              <w:t>[***].</w:t>
            </w: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00" w:type="dxa"/>
            <w:vAlign w:val="bottom"/>
            <w:tcBorders>
              <w:left w:val="single" w:sz="8" w:color="auto"/>
            </w:tcBorders>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54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500" w:type="dxa"/>
            <w:vAlign w:val="bottom"/>
            <w:tcBorders>
              <w:lef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5"/>
                <w:szCs w:val="15"/>
                <w:color w:val="auto"/>
              </w:rPr>
              <w:t>h.</w:t>
            </w:r>
          </w:p>
        </w:tc>
        <w:tc>
          <w:tcPr>
            <w:tcW w:w="2540" w:type="dxa"/>
            <w:vAlign w:val="bottom"/>
          </w:tcPr>
          <w:p>
            <w:pPr>
              <w:jc w:val="right"/>
              <w:ind w:right="2145"/>
              <w:spacing w:after="0"/>
              <w:rPr>
                <w:sz w:val="20"/>
                <w:szCs w:val="20"/>
                <w:color w:val="auto"/>
              </w:rPr>
            </w:pPr>
            <w:r>
              <w:rPr>
                <w:rFonts w:ascii="Arial" w:cs="Arial" w:eastAsia="Arial" w:hAnsi="Arial"/>
                <w:sz w:val="15"/>
                <w:szCs w:val="15"/>
                <w:color w:val="auto"/>
                <w:w w:val="99"/>
              </w:rPr>
              <w:t>[***].</w:t>
            </w: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00" w:type="dxa"/>
            <w:vAlign w:val="bottom"/>
            <w:tcBorders>
              <w:left w:val="single" w:sz="8" w:color="auto"/>
            </w:tcBorders>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54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500" w:type="dxa"/>
            <w:vAlign w:val="bottom"/>
            <w:tcBorders>
              <w:lef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5"/>
                <w:szCs w:val="15"/>
                <w:color w:val="auto"/>
              </w:rPr>
              <w:t>i.</w:t>
            </w:r>
          </w:p>
        </w:tc>
        <w:tc>
          <w:tcPr>
            <w:tcW w:w="2540" w:type="dxa"/>
            <w:vAlign w:val="bottom"/>
          </w:tcPr>
          <w:p>
            <w:pPr>
              <w:jc w:val="right"/>
              <w:ind w:right="2105"/>
              <w:spacing w:after="0"/>
              <w:rPr>
                <w:sz w:val="20"/>
                <w:szCs w:val="20"/>
                <w:color w:val="auto"/>
              </w:rPr>
            </w:pPr>
            <w:r>
              <w:rPr>
                <w:rFonts w:ascii="Arial" w:cs="Arial" w:eastAsia="Arial" w:hAnsi="Arial"/>
                <w:sz w:val="15"/>
                <w:szCs w:val="15"/>
                <w:color w:val="auto"/>
              </w:rPr>
              <w:t>[***].</w:t>
            </w: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00" w:type="dxa"/>
            <w:vAlign w:val="bottom"/>
            <w:tcBorders>
              <w:left w:val="single" w:sz="8" w:color="auto"/>
            </w:tcBorders>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54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500" w:type="dxa"/>
            <w:vAlign w:val="bottom"/>
            <w:tcBorders>
              <w:lef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5"/>
                <w:szCs w:val="15"/>
                <w:color w:val="auto"/>
              </w:rPr>
              <w:t>j.</w:t>
            </w:r>
          </w:p>
        </w:tc>
        <w:tc>
          <w:tcPr>
            <w:tcW w:w="2540" w:type="dxa"/>
            <w:vAlign w:val="bottom"/>
          </w:tcPr>
          <w:p>
            <w:pPr>
              <w:jc w:val="right"/>
              <w:ind w:right="2105"/>
              <w:spacing w:after="0"/>
              <w:rPr>
                <w:sz w:val="20"/>
                <w:szCs w:val="20"/>
                <w:color w:val="auto"/>
              </w:rPr>
            </w:pPr>
            <w:r>
              <w:rPr>
                <w:rFonts w:ascii="Arial" w:cs="Arial" w:eastAsia="Arial" w:hAnsi="Arial"/>
                <w:sz w:val="15"/>
                <w:szCs w:val="15"/>
                <w:color w:val="auto"/>
              </w:rPr>
              <w:t>[***].</w:t>
            </w: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00" w:type="dxa"/>
            <w:vAlign w:val="bottom"/>
            <w:tcBorders>
              <w:left w:val="single" w:sz="8" w:color="auto"/>
            </w:tcBorders>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54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500" w:type="dxa"/>
            <w:vAlign w:val="bottom"/>
            <w:tcBorders>
              <w:lef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5"/>
                <w:szCs w:val="15"/>
                <w:color w:val="auto"/>
              </w:rPr>
              <w:t>k.</w:t>
            </w:r>
          </w:p>
        </w:tc>
        <w:tc>
          <w:tcPr>
            <w:tcW w:w="2540" w:type="dxa"/>
            <w:vAlign w:val="bottom"/>
          </w:tcPr>
          <w:p>
            <w:pPr>
              <w:jc w:val="right"/>
              <w:ind w:right="2145"/>
              <w:spacing w:after="0"/>
              <w:rPr>
                <w:sz w:val="20"/>
                <w:szCs w:val="20"/>
                <w:color w:val="auto"/>
              </w:rPr>
            </w:pPr>
            <w:r>
              <w:rPr>
                <w:rFonts w:ascii="Arial" w:cs="Arial" w:eastAsia="Arial" w:hAnsi="Arial"/>
                <w:sz w:val="15"/>
                <w:szCs w:val="15"/>
                <w:color w:val="auto"/>
                <w:w w:val="99"/>
              </w:rPr>
              <w:t>[***].</w:t>
            </w: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00" w:type="dxa"/>
            <w:vAlign w:val="bottom"/>
            <w:tcBorders>
              <w:left w:val="single" w:sz="8" w:color="auto"/>
            </w:tcBorders>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54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500" w:type="dxa"/>
            <w:vAlign w:val="bottom"/>
            <w:tcBorders>
              <w:lef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5"/>
                <w:szCs w:val="15"/>
                <w:color w:val="auto"/>
              </w:rPr>
              <w:t>l.</w:t>
            </w:r>
          </w:p>
        </w:tc>
        <w:tc>
          <w:tcPr>
            <w:tcW w:w="2540" w:type="dxa"/>
            <w:vAlign w:val="bottom"/>
          </w:tcPr>
          <w:p>
            <w:pPr>
              <w:jc w:val="right"/>
              <w:ind w:right="2105"/>
              <w:spacing w:after="0"/>
              <w:rPr>
                <w:sz w:val="20"/>
                <w:szCs w:val="20"/>
                <w:color w:val="auto"/>
              </w:rPr>
            </w:pPr>
            <w:r>
              <w:rPr>
                <w:rFonts w:ascii="Arial" w:cs="Arial" w:eastAsia="Arial" w:hAnsi="Arial"/>
                <w:sz w:val="15"/>
                <w:szCs w:val="15"/>
                <w:color w:val="auto"/>
              </w:rPr>
              <w:t>[***].</w:t>
            </w: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00" w:type="dxa"/>
            <w:vAlign w:val="bottom"/>
            <w:tcBorders>
              <w:left w:val="single" w:sz="8" w:color="auto"/>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54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80" w:top="408" w:right="27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Appendix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4845685</wp:posOffset>
            </wp:positionH>
            <wp:positionV relativeFrom="paragraph">
              <wp:posOffset>139700</wp:posOffset>
            </wp:positionV>
            <wp:extent cx="1110615" cy="6553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10615" cy="65532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1480"/>
        <w:spacing w:after="0"/>
        <w:rPr>
          <w:sz w:val="20"/>
          <w:szCs w:val="20"/>
          <w:color w:val="auto"/>
        </w:rPr>
      </w:pPr>
      <w:r>
        <w:rPr>
          <w:rFonts w:ascii="Arial" w:cs="Arial" w:eastAsia="Arial" w:hAnsi="Arial"/>
          <w:sz w:val="21"/>
          <w:szCs w:val="21"/>
          <w:color w:val="auto"/>
        </w:rPr>
        <w:t>Accepted Test Procedures (ATP)</w:t>
      </w:r>
    </w:p>
    <w:p>
      <w:pPr>
        <w:spacing w:after="0" w:line="200" w:lineRule="exact"/>
        <w:rPr>
          <w:sz w:val="20"/>
          <w:szCs w:val="20"/>
          <w:color w:val="auto"/>
        </w:rPr>
      </w:pPr>
    </w:p>
    <w:p>
      <w:pPr>
        <w:spacing w:after="0" w:line="393"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3700" w:type="dxa"/>
            <w:vAlign w:val="bottom"/>
            <w:tcBorders>
              <w:top w:val="single" w:sz="8" w:color="auto"/>
              <w:left w:val="single" w:sz="8" w:color="auto"/>
              <w:bottom w:val="single" w:sz="8" w:color="auto"/>
            </w:tcBorders>
            <w:gridSpan w:val="5"/>
          </w:tcPr>
          <w:p>
            <w:pPr>
              <w:ind w:left="20"/>
              <w:spacing w:after="0"/>
              <w:rPr>
                <w:sz w:val="20"/>
                <w:szCs w:val="20"/>
                <w:color w:val="auto"/>
              </w:rPr>
            </w:pPr>
            <w:r>
              <w:rPr>
                <w:rFonts w:ascii="Arial" w:cs="Arial" w:eastAsia="Arial" w:hAnsi="Arial"/>
                <w:sz w:val="15"/>
                <w:szCs w:val="15"/>
                <w:color w:val="auto"/>
              </w:rPr>
              <w:t>Project: Kornit 931/932/951/952/953</w:t>
            </w:r>
          </w:p>
        </w:tc>
        <w:tc>
          <w:tcPr>
            <w:tcW w:w="1980" w:type="dxa"/>
            <w:vAlign w:val="bottom"/>
            <w:tcBorders>
              <w:top w:val="single" w:sz="8" w:color="auto"/>
              <w:bottom w:val="single" w:sz="8" w:color="auto"/>
              <w:right w:val="single" w:sz="8" w:color="auto"/>
            </w:tcBorders>
          </w:tcPr>
          <w:p>
            <w:pPr>
              <w:spacing w:after="0"/>
              <w:rPr>
                <w:sz w:val="16"/>
                <w:szCs w:val="16"/>
                <w:color w:val="auto"/>
              </w:rPr>
            </w:pPr>
          </w:p>
        </w:tc>
        <w:tc>
          <w:tcPr>
            <w:tcW w:w="282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rPr>
              <w:t>Subject: ATP</w:t>
            </w:r>
          </w:p>
        </w:tc>
        <w:tc>
          <w:tcPr>
            <w:tcW w:w="160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700" w:type="dxa"/>
            <w:vAlign w:val="bottom"/>
            <w:tcBorders>
              <w:left w:val="single" w:sz="8" w:color="auto"/>
              <w:bottom w:val="single" w:sz="8" w:color="auto"/>
              <w:right w:val="single" w:sz="8" w:color="auto"/>
            </w:tcBorders>
            <w:gridSpan w:val="5"/>
          </w:tcPr>
          <w:p>
            <w:pPr>
              <w:ind w:left="20"/>
              <w:spacing w:after="0" w:line="171" w:lineRule="exact"/>
              <w:rPr>
                <w:sz w:val="20"/>
                <w:szCs w:val="20"/>
                <w:color w:val="auto"/>
              </w:rPr>
            </w:pPr>
            <w:r>
              <w:rPr>
                <w:rFonts w:ascii="Arial" w:cs="Arial" w:eastAsia="Arial" w:hAnsi="Arial"/>
                <w:sz w:val="15"/>
                <w:szCs w:val="15"/>
                <w:color w:val="auto"/>
              </w:rPr>
              <w:t>Order Number: 60-PATP-0001</w:t>
            </w:r>
          </w:p>
        </w:tc>
        <w:tc>
          <w:tcPr>
            <w:tcW w:w="1980" w:type="dxa"/>
            <w:vAlign w:val="bottom"/>
            <w:tcBorders>
              <w:bottom w:val="single" w:sz="8" w:color="auto"/>
              <w:right w:val="single" w:sz="8" w:color="auto"/>
            </w:tcBorders>
          </w:tcPr>
          <w:p>
            <w:pPr>
              <w:spacing w:after="0" w:line="171" w:lineRule="exact"/>
              <w:rPr>
                <w:sz w:val="20"/>
                <w:szCs w:val="20"/>
                <w:color w:val="auto"/>
              </w:rPr>
            </w:pPr>
            <w:r>
              <w:rPr>
                <w:rFonts w:ascii="Arial" w:cs="Arial" w:eastAsia="Arial" w:hAnsi="Arial"/>
                <w:sz w:val="15"/>
                <w:szCs w:val="15"/>
                <w:color w:val="auto"/>
              </w:rPr>
              <w:t>Date: 07/16/2013</w:t>
            </w:r>
          </w:p>
        </w:tc>
        <w:tc>
          <w:tcPr>
            <w:tcW w:w="2820" w:type="dxa"/>
            <w:vAlign w:val="bottom"/>
            <w:tcBorders>
              <w:bottom w:val="single" w:sz="8" w:color="auto"/>
              <w:right w:val="single" w:sz="8" w:color="auto"/>
            </w:tcBorders>
          </w:tcPr>
          <w:p>
            <w:pPr>
              <w:spacing w:after="0" w:line="171" w:lineRule="exact"/>
              <w:rPr>
                <w:sz w:val="20"/>
                <w:szCs w:val="20"/>
                <w:color w:val="auto"/>
              </w:rPr>
            </w:pPr>
            <w:r>
              <w:rPr>
                <w:rFonts w:ascii="Arial" w:cs="Arial" w:eastAsia="Arial" w:hAnsi="Arial"/>
                <w:sz w:val="15"/>
                <w:szCs w:val="15"/>
                <w:color w:val="auto"/>
              </w:rPr>
              <w:t>Revision: 2</w:t>
            </w:r>
          </w:p>
        </w:tc>
        <w:tc>
          <w:tcPr>
            <w:tcW w:w="2840" w:type="dxa"/>
            <w:vAlign w:val="bottom"/>
            <w:tcBorders>
              <w:bottom w:val="single" w:sz="8" w:color="auto"/>
              <w:right w:val="single" w:sz="8" w:color="auto"/>
            </w:tcBorders>
            <w:gridSpan w:val="2"/>
          </w:tcPr>
          <w:p>
            <w:pPr>
              <w:spacing w:after="0" w:line="171" w:lineRule="exact"/>
              <w:rPr>
                <w:sz w:val="20"/>
                <w:szCs w:val="20"/>
                <w:color w:val="auto"/>
              </w:rPr>
            </w:pPr>
            <w:r>
              <w:rPr>
                <w:rFonts w:ascii="Arial" w:cs="Arial" w:eastAsia="Arial" w:hAnsi="Arial"/>
                <w:sz w:val="15"/>
                <w:szCs w:val="15"/>
                <w:color w:val="auto"/>
              </w:rPr>
              <w:t>Page 3 of 6</w:t>
            </w:r>
          </w:p>
        </w:tc>
        <w:tc>
          <w:tcPr>
            <w:tcW w:w="0" w:type="dxa"/>
            <w:vAlign w:val="bottom"/>
          </w:tcPr>
          <w:p>
            <w:pPr>
              <w:spacing w:after="0"/>
              <w:rPr>
                <w:sz w:val="1"/>
                <w:szCs w:val="1"/>
                <w:color w:val="auto"/>
              </w:rPr>
            </w:pPr>
          </w:p>
        </w:tc>
      </w:tr>
      <w:tr>
        <w:trPr>
          <w:trHeight w:val="160"/>
        </w:trPr>
        <w:tc>
          <w:tcPr>
            <w:tcW w:w="480" w:type="dxa"/>
            <w:vAlign w:val="bottom"/>
            <w:tcBorders>
              <w:left w:val="single" w:sz="8" w:color="auto"/>
            </w:tcBorders>
          </w:tcPr>
          <w:p>
            <w:pPr>
              <w:ind w:left="20"/>
              <w:spacing w:after="0" w:line="160" w:lineRule="exact"/>
              <w:rPr>
                <w:sz w:val="20"/>
                <w:szCs w:val="20"/>
                <w:color w:val="auto"/>
              </w:rPr>
            </w:pPr>
            <w:r>
              <w:rPr>
                <w:rFonts w:ascii="Arial" w:cs="Arial" w:eastAsia="Arial" w:hAnsi="Arial"/>
                <w:sz w:val="15"/>
                <w:szCs w:val="15"/>
                <w:color w:val="auto"/>
              </w:rPr>
              <w:t>Editor:</w:t>
            </w: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80" w:type="dxa"/>
            <w:vAlign w:val="bottom"/>
            <w:tcBorders>
              <w:right w:val="single" w:sz="8" w:color="auto"/>
            </w:tcBorders>
          </w:tcPr>
          <w:p>
            <w:pPr>
              <w:spacing w:after="0"/>
              <w:rPr>
                <w:sz w:val="13"/>
                <w:szCs w:val="13"/>
                <w:color w:val="auto"/>
              </w:rPr>
            </w:pPr>
          </w:p>
        </w:tc>
        <w:tc>
          <w:tcPr>
            <w:tcW w:w="1980" w:type="dxa"/>
            <w:vAlign w:val="bottom"/>
            <w:tcBorders>
              <w:right w:val="single" w:sz="8" w:color="auto"/>
            </w:tcBorders>
          </w:tcPr>
          <w:p>
            <w:pPr>
              <w:spacing w:after="0" w:line="160" w:lineRule="exact"/>
              <w:rPr>
                <w:sz w:val="20"/>
                <w:szCs w:val="20"/>
                <w:color w:val="auto"/>
              </w:rPr>
            </w:pPr>
            <w:r>
              <w:rPr>
                <w:rFonts w:ascii="Arial" w:cs="Arial" w:eastAsia="Arial" w:hAnsi="Arial"/>
                <w:sz w:val="15"/>
                <w:szCs w:val="15"/>
                <w:color w:val="auto"/>
              </w:rPr>
              <w:t>Confirmed by:</w:t>
            </w:r>
          </w:p>
        </w:tc>
        <w:tc>
          <w:tcPr>
            <w:tcW w:w="2820" w:type="dxa"/>
            <w:vAlign w:val="bottom"/>
            <w:vMerge w:val="restart"/>
          </w:tcPr>
          <w:p>
            <w:pPr>
              <w:spacing w:after="0"/>
              <w:rPr>
                <w:sz w:val="20"/>
                <w:szCs w:val="20"/>
                <w:color w:val="auto"/>
              </w:rPr>
            </w:pPr>
            <w:r>
              <w:rPr>
                <w:rFonts w:ascii="Arial" w:cs="Arial" w:eastAsia="Arial" w:hAnsi="Arial"/>
                <w:sz w:val="15"/>
                <w:szCs w:val="15"/>
                <w:color w:val="auto"/>
              </w:rPr>
              <w:t>Signature:</w:t>
            </w:r>
          </w:p>
        </w:tc>
        <w:tc>
          <w:tcPr>
            <w:tcW w:w="1600" w:type="dxa"/>
            <w:vAlign w:val="bottom"/>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1160" w:type="dxa"/>
            <w:vAlign w:val="bottom"/>
            <w:tcBorders>
              <w:left w:val="single" w:sz="8" w:color="auto"/>
            </w:tcBorders>
            <w:gridSpan w:val="3"/>
            <w:vMerge w:val="restart"/>
          </w:tcPr>
          <w:p>
            <w:pPr>
              <w:ind w:left="20"/>
              <w:spacing w:after="0"/>
              <w:rPr>
                <w:sz w:val="20"/>
                <w:szCs w:val="20"/>
                <w:color w:val="auto"/>
              </w:rPr>
            </w:pPr>
            <w:r>
              <w:rPr>
                <w:rFonts w:ascii="Arial" w:cs="Arial" w:eastAsia="Arial" w:hAnsi="Arial"/>
                <w:sz w:val="15"/>
                <w:szCs w:val="15"/>
                <w:color w:val="auto"/>
              </w:rPr>
              <w:t>Lev Superfin</w:t>
            </w:r>
          </w:p>
        </w:tc>
        <w:tc>
          <w:tcPr>
            <w:tcW w:w="460" w:type="dxa"/>
            <w:vAlign w:val="bottom"/>
          </w:tcPr>
          <w:p>
            <w:pPr>
              <w:spacing w:after="0"/>
              <w:rPr>
                <w:sz w:val="8"/>
                <w:szCs w:val="8"/>
                <w:color w:val="auto"/>
              </w:rPr>
            </w:pPr>
          </w:p>
        </w:tc>
        <w:tc>
          <w:tcPr>
            <w:tcW w:w="2080" w:type="dxa"/>
            <w:vAlign w:val="bottom"/>
            <w:tcBorders>
              <w:right w:val="single" w:sz="8" w:color="auto"/>
            </w:tcBorders>
          </w:tcPr>
          <w:p>
            <w:pPr>
              <w:spacing w:after="0"/>
              <w:rPr>
                <w:sz w:val="8"/>
                <w:szCs w:val="8"/>
                <w:color w:val="auto"/>
              </w:rPr>
            </w:pPr>
          </w:p>
        </w:tc>
        <w:tc>
          <w:tcPr>
            <w:tcW w:w="1980" w:type="dxa"/>
            <w:vAlign w:val="bottom"/>
            <w:tcBorders>
              <w:right w:val="single" w:sz="8" w:color="auto"/>
            </w:tcBorders>
            <w:vMerge w:val="restart"/>
          </w:tcPr>
          <w:p>
            <w:pPr>
              <w:spacing w:after="0"/>
              <w:rPr>
                <w:sz w:val="20"/>
                <w:szCs w:val="20"/>
                <w:color w:val="auto"/>
              </w:rPr>
            </w:pPr>
            <w:r>
              <w:rPr>
                <w:rFonts w:ascii="Arial" w:cs="Arial" w:eastAsia="Arial" w:hAnsi="Arial"/>
                <w:sz w:val="15"/>
                <w:szCs w:val="15"/>
                <w:color w:val="auto"/>
              </w:rPr>
              <w:t>Rea Rogel</w:t>
            </w:r>
          </w:p>
        </w:tc>
        <w:tc>
          <w:tcPr>
            <w:tcW w:w="2820" w:type="dxa"/>
            <w:vAlign w:val="bottom"/>
            <w:vMerge w:val="continue"/>
          </w:tcPr>
          <w:p>
            <w:pPr>
              <w:spacing w:after="0"/>
              <w:rPr>
                <w:sz w:val="8"/>
                <w:szCs w:val="8"/>
                <w:color w:val="auto"/>
              </w:rPr>
            </w:pPr>
          </w:p>
        </w:tc>
        <w:tc>
          <w:tcPr>
            <w:tcW w:w="1600" w:type="dxa"/>
            <w:vAlign w:val="bottom"/>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160" w:type="dxa"/>
            <w:vAlign w:val="bottom"/>
            <w:tcBorders>
              <w:left w:val="single" w:sz="8" w:color="auto"/>
              <w:bottom w:val="single" w:sz="8" w:color="auto"/>
            </w:tcBorders>
            <w:gridSpan w:val="3"/>
            <w:vMerge w:val="continue"/>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80" w:type="dxa"/>
            <w:vAlign w:val="bottom"/>
            <w:tcBorders>
              <w:bottom w:val="single" w:sz="8" w:color="auto"/>
              <w:right w:val="single" w:sz="8" w:color="auto"/>
            </w:tcBorders>
          </w:tcPr>
          <w:p>
            <w:pPr>
              <w:spacing w:after="0"/>
              <w:rPr>
                <w:sz w:val="7"/>
                <w:szCs w:val="7"/>
                <w:color w:val="auto"/>
              </w:rPr>
            </w:pPr>
          </w:p>
        </w:tc>
        <w:tc>
          <w:tcPr>
            <w:tcW w:w="1980" w:type="dxa"/>
            <w:vAlign w:val="bottom"/>
            <w:tcBorders>
              <w:bottom w:val="single" w:sz="8" w:color="auto"/>
              <w:right w:val="single" w:sz="8" w:color="auto"/>
            </w:tcBorders>
            <w:vMerge w:val="continue"/>
          </w:tcPr>
          <w:p>
            <w:pPr>
              <w:spacing w:after="0"/>
              <w:rPr>
                <w:sz w:val="7"/>
                <w:szCs w:val="7"/>
                <w:color w:val="auto"/>
              </w:rPr>
            </w:pPr>
          </w:p>
        </w:tc>
        <w:tc>
          <w:tcPr>
            <w:tcW w:w="282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31"/>
        </w:trPr>
        <w:tc>
          <w:tcPr>
            <w:tcW w:w="480" w:type="dxa"/>
            <w:vAlign w:val="bottom"/>
          </w:tcPr>
          <w:p>
            <w:pPr>
              <w:spacing w:after="0"/>
              <w:rPr>
                <w:sz w:val="20"/>
                <w:szCs w:val="20"/>
                <w:color w:val="auto"/>
              </w:rPr>
            </w:pPr>
            <w:r>
              <w:rPr>
                <w:rFonts w:ascii="Arial" w:cs="Arial" w:eastAsia="Arial" w:hAnsi="Arial"/>
                <w:sz w:val="15"/>
                <w:szCs w:val="15"/>
                <w:color w:val="auto"/>
              </w:rPr>
              <w:t>3.</w:t>
            </w:r>
          </w:p>
        </w:tc>
        <w:tc>
          <w:tcPr>
            <w:tcW w:w="3220" w:type="dxa"/>
            <w:vAlign w:val="bottom"/>
            <w:gridSpan w:val="4"/>
            <w:vMerge w:val="restart"/>
          </w:tcPr>
          <w:p>
            <w:pPr>
              <w:ind w:left="60"/>
              <w:spacing w:after="0"/>
              <w:rPr>
                <w:sz w:val="20"/>
                <w:szCs w:val="20"/>
                <w:color w:val="auto"/>
              </w:rPr>
            </w:pPr>
            <w:r>
              <w:rPr>
                <w:rFonts w:ascii="Arial" w:cs="Arial" w:eastAsia="Arial" w:hAnsi="Arial"/>
                <w:sz w:val="15"/>
                <w:szCs w:val="15"/>
                <w:b w:val="1"/>
                <w:bCs w:val="1"/>
                <w:color w:val="auto"/>
              </w:rPr>
              <w:t>Functional Tests</w:t>
            </w:r>
          </w:p>
        </w:tc>
        <w:tc>
          <w:tcPr>
            <w:tcW w:w="19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80" w:type="dxa"/>
            <w:vAlign w:val="bottom"/>
          </w:tcPr>
          <w:p>
            <w:pPr>
              <w:spacing w:after="0"/>
              <w:rPr>
                <w:sz w:val="9"/>
                <w:szCs w:val="9"/>
                <w:color w:val="auto"/>
              </w:rPr>
            </w:pPr>
          </w:p>
        </w:tc>
        <w:tc>
          <w:tcPr>
            <w:tcW w:w="3220" w:type="dxa"/>
            <w:vAlign w:val="bottom"/>
            <w:gridSpan w:val="4"/>
            <w:vMerge w:val="continue"/>
          </w:tcPr>
          <w:p>
            <w:pPr>
              <w:spacing w:after="0"/>
              <w:rPr>
                <w:sz w:val="9"/>
                <w:szCs w:val="9"/>
                <w:color w:val="auto"/>
              </w:rPr>
            </w:pPr>
          </w:p>
        </w:tc>
        <w:tc>
          <w:tcPr>
            <w:tcW w:w="1980" w:type="dxa"/>
            <w:vAlign w:val="bottom"/>
          </w:tcPr>
          <w:p>
            <w:pPr>
              <w:spacing w:after="0"/>
              <w:rPr>
                <w:sz w:val="9"/>
                <w:szCs w:val="9"/>
                <w:color w:val="auto"/>
              </w:rPr>
            </w:pPr>
          </w:p>
        </w:tc>
        <w:tc>
          <w:tcPr>
            <w:tcW w:w="28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80" w:type="dxa"/>
            <w:vAlign w:val="bottom"/>
            <w:tcBorders>
              <w:bottom w:val="single" w:sz="8" w:color="FF0000"/>
            </w:tcBorders>
          </w:tcPr>
          <w:p>
            <w:pPr>
              <w:spacing w:after="0"/>
              <w:rPr>
                <w:sz w:val="11"/>
                <w:szCs w:val="11"/>
                <w:color w:val="auto"/>
              </w:rPr>
            </w:pPr>
          </w:p>
        </w:tc>
        <w:tc>
          <w:tcPr>
            <w:tcW w:w="280" w:type="dxa"/>
            <w:vAlign w:val="bottom"/>
            <w:tcBorders>
              <w:bottom w:val="single" w:sz="8" w:color="FF0000"/>
            </w:tcBorders>
          </w:tcPr>
          <w:p>
            <w:pPr>
              <w:spacing w:after="0"/>
              <w:rPr>
                <w:sz w:val="11"/>
                <w:szCs w:val="11"/>
                <w:color w:val="auto"/>
              </w:rPr>
            </w:pPr>
          </w:p>
        </w:tc>
        <w:tc>
          <w:tcPr>
            <w:tcW w:w="400" w:type="dxa"/>
            <w:vAlign w:val="bottom"/>
            <w:tcBorders>
              <w:bottom w:val="single" w:sz="8" w:color="FF0000"/>
            </w:tcBorders>
          </w:tcPr>
          <w:p>
            <w:pPr>
              <w:spacing w:after="0"/>
              <w:rPr>
                <w:sz w:val="11"/>
                <w:szCs w:val="11"/>
                <w:color w:val="auto"/>
              </w:rPr>
            </w:pPr>
          </w:p>
        </w:tc>
        <w:tc>
          <w:tcPr>
            <w:tcW w:w="460" w:type="dxa"/>
            <w:vAlign w:val="bottom"/>
            <w:tcBorders>
              <w:bottom w:val="single" w:sz="8" w:color="FF0000"/>
            </w:tcBorders>
          </w:tcPr>
          <w:p>
            <w:pPr>
              <w:spacing w:after="0"/>
              <w:rPr>
                <w:sz w:val="11"/>
                <w:szCs w:val="11"/>
                <w:color w:val="auto"/>
              </w:rPr>
            </w:pPr>
          </w:p>
        </w:tc>
        <w:tc>
          <w:tcPr>
            <w:tcW w:w="2080" w:type="dxa"/>
            <w:vAlign w:val="bottom"/>
            <w:tcBorders>
              <w:bottom w:val="single" w:sz="8" w:color="FF0000"/>
            </w:tcBorders>
          </w:tcPr>
          <w:p>
            <w:pPr>
              <w:spacing w:after="0"/>
              <w:rPr>
                <w:sz w:val="11"/>
                <w:szCs w:val="11"/>
                <w:color w:val="auto"/>
              </w:rPr>
            </w:pPr>
          </w:p>
        </w:tc>
        <w:tc>
          <w:tcPr>
            <w:tcW w:w="1980" w:type="dxa"/>
            <w:vAlign w:val="bottom"/>
            <w:tcBorders>
              <w:bottom w:val="single" w:sz="8" w:color="FF0000"/>
            </w:tcBorders>
          </w:tcPr>
          <w:p>
            <w:pPr>
              <w:spacing w:after="0"/>
              <w:rPr>
                <w:sz w:val="11"/>
                <w:szCs w:val="11"/>
                <w:color w:val="auto"/>
              </w:rPr>
            </w:pPr>
          </w:p>
        </w:tc>
        <w:tc>
          <w:tcPr>
            <w:tcW w:w="2820" w:type="dxa"/>
            <w:vAlign w:val="bottom"/>
            <w:tcBorders>
              <w:bottom w:val="single" w:sz="8" w:color="FF0000"/>
            </w:tcBorders>
          </w:tcPr>
          <w:p>
            <w:pPr>
              <w:spacing w:after="0"/>
              <w:rPr>
                <w:sz w:val="11"/>
                <w:szCs w:val="11"/>
                <w:color w:val="auto"/>
              </w:rPr>
            </w:pPr>
          </w:p>
        </w:tc>
        <w:tc>
          <w:tcPr>
            <w:tcW w:w="1600" w:type="dxa"/>
            <w:vAlign w:val="bottom"/>
            <w:tcBorders>
              <w:bottom w:val="single" w:sz="8" w:color="FF0000"/>
            </w:tcBorders>
          </w:tcPr>
          <w:p>
            <w:pPr>
              <w:spacing w:after="0"/>
              <w:rPr>
                <w:sz w:val="11"/>
                <w:szCs w:val="11"/>
                <w:color w:val="auto"/>
              </w:rPr>
            </w:pPr>
          </w:p>
        </w:tc>
        <w:tc>
          <w:tcPr>
            <w:tcW w:w="1240" w:type="dxa"/>
            <w:vAlign w:val="bottom"/>
            <w:tcBorders>
              <w:bottom w:val="single" w:sz="8" w:color="FF0000"/>
            </w:tcBorders>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80" w:type="dxa"/>
            <w:vAlign w:val="bottom"/>
            <w:tcBorders>
              <w:bottom w:val="single" w:sz="8" w:color="FF0000"/>
            </w:tcBorders>
          </w:tcPr>
          <w:p>
            <w:pPr>
              <w:spacing w:after="0" w:line="137" w:lineRule="exact"/>
              <w:rPr>
                <w:sz w:val="20"/>
                <w:szCs w:val="20"/>
                <w:color w:val="auto"/>
              </w:rPr>
            </w:pPr>
            <w:r>
              <w:rPr>
                <w:rFonts w:ascii="Arial" w:cs="Arial" w:eastAsia="Arial" w:hAnsi="Arial"/>
                <w:sz w:val="15"/>
                <w:szCs w:val="15"/>
                <w:b w:val="1"/>
                <w:bCs w:val="1"/>
                <w:color w:val="auto"/>
              </w:rPr>
              <w:t>Note:</w:t>
            </w:r>
          </w:p>
        </w:tc>
        <w:tc>
          <w:tcPr>
            <w:tcW w:w="680" w:type="dxa"/>
            <w:vAlign w:val="bottom"/>
            <w:tcBorders>
              <w:bottom w:val="single" w:sz="8" w:color="FF0000"/>
            </w:tcBorders>
            <w:gridSpan w:val="2"/>
          </w:tcPr>
          <w:p>
            <w:pPr>
              <w:ind w:left="60"/>
              <w:spacing w:after="0" w:line="137" w:lineRule="exact"/>
              <w:rPr>
                <w:sz w:val="20"/>
                <w:szCs w:val="20"/>
                <w:color w:val="auto"/>
              </w:rPr>
            </w:pPr>
            <w:r>
              <w:rPr>
                <w:rFonts w:ascii="Arial" w:cs="Arial" w:eastAsia="Arial" w:hAnsi="Arial"/>
                <w:sz w:val="15"/>
                <w:szCs w:val="15"/>
                <w:color w:val="auto"/>
              </w:rPr>
              <w:t>[***].</w:t>
            </w:r>
          </w:p>
        </w:tc>
        <w:tc>
          <w:tcPr>
            <w:tcW w:w="460" w:type="dxa"/>
            <w:vAlign w:val="bottom"/>
            <w:tcBorders>
              <w:bottom w:val="single" w:sz="8" w:color="FF0000"/>
            </w:tcBorders>
          </w:tcPr>
          <w:p>
            <w:pPr>
              <w:spacing w:after="0"/>
              <w:rPr>
                <w:sz w:val="11"/>
                <w:szCs w:val="11"/>
                <w:color w:val="auto"/>
              </w:rPr>
            </w:pPr>
          </w:p>
        </w:tc>
        <w:tc>
          <w:tcPr>
            <w:tcW w:w="2080" w:type="dxa"/>
            <w:vAlign w:val="bottom"/>
            <w:tcBorders>
              <w:bottom w:val="single" w:sz="8" w:color="FF0000"/>
            </w:tcBorders>
          </w:tcPr>
          <w:p>
            <w:pPr>
              <w:spacing w:after="0"/>
              <w:rPr>
                <w:sz w:val="11"/>
                <w:szCs w:val="11"/>
                <w:color w:val="auto"/>
              </w:rPr>
            </w:pPr>
          </w:p>
        </w:tc>
        <w:tc>
          <w:tcPr>
            <w:tcW w:w="1980" w:type="dxa"/>
            <w:vAlign w:val="bottom"/>
            <w:tcBorders>
              <w:bottom w:val="single" w:sz="8" w:color="FF0000"/>
            </w:tcBorders>
          </w:tcPr>
          <w:p>
            <w:pPr>
              <w:spacing w:after="0"/>
              <w:rPr>
                <w:sz w:val="11"/>
                <w:szCs w:val="11"/>
                <w:color w:val="auto"/>
              </w:rPr>
            </w:pPr>
          </w:p>
        </w:tc>
        <w:tc>
          <w:tcPr>
            <w:tcW w:w="2820" w:type="dxa"/>
            <w:vAlign w:val="bottom"/>
            <w:tcBorders>
              <w:bottom w:val="single" w:sz="8" w:color="FF0000"/>
            </w:tcBorders>
          </w:tcPr>
          <w:p>
            <w:pPr>
              <w:spacing w:after="0"/>
              <w:rPr>
                <w:sz w:val="11"/>
                <w:szCs w:val="11"/>
                <w:color w:val="auto"/>
              </w:rPr>
            </w:pPr>
          </w:p>
        </w:tc>
        <w:tc>
          <w:tcPr>
            <w:tcW w:w="1600" w:type="dxa"/>
            <w:vAlign w:val="bottom"/>
            <w:tcBorders>
              <w:bottom w:val="single" w:sz="8" w:color="FF0000"/>
            </w:tcBorders>
          </w:tcPr>
          <w:p>
            <w:pPr>
              <w:spacing w:after="0"/>
              <w:rPr>
                <w:sz w:val="11"/>
                <w:szCs w:val="11"/>
                <w:color w:val="auto"/>
              </w:rPr>
            </w:pPr>
          </w:p>
        </w:tc>
        <w:tc>
          <w:tcPr>
            <w:tcW w:w="1240" w:type="dxa"/>
            <w:vAlign w:val="bottom"/>
            <w:tcBorders>
              <w:bottom w:val="single" w:sz="8" w:color="FF0000"/>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4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gridSpan w:val="2"/>
          </w:tcPr>
          <w:p>
            <w:pPr>
              <w:spacing w:after="0"/>
              <w:rPr>
                <w:sz w:val="9"/>
                <w:szCs w:val="9"/>
                <w:color w:val="auto"/>
              </w:rPr>
            </w:pPr>
          </w:p>
        </w:tc>
        <w:tc>
          <w:tcPr>
            <w:tcW w:w="2080" w:type="dxa"/>
            <w:vAlign w:val="bottom"/>
            <w:tcBorders>
              <w:bottom w:val="single" w:sz="8" w:color="auto"/>
            </w:tcBorders>
          </w:tcPr>
          <w:p>
            <w:pPr>
              <w:spacing w:after="0"/>
              <w:rPr>
                <w:sz w:val="9"/>
                <w:szCs w:val="9"/>
                <w:color w:val="auto"/>
              </w:rPr>
            </w:pPr>
          </w:p>
        </w:tc>
        <w:tc>
          <w:tcPr>
            <w:tcW w:w="1980" w:type="dxa"/>
            <w:vAlign w:val="bottom"/>
            <w:tcBorders>
              <w:bottom w:val="single" w:sz="8" w:color="auto"/>
            </w:tcBorders>
          </w:tcPr>
          <w:p>
            <w:pPr>
              <w:spacing w:after="0"/>
              <w:rPr>
                <w:sz w:val="9"/>
                <w:szCs w:val="9"/>
                <w:color w:val="auto"/>
              </w:rPr>
            </w:pPr>
          </w:p>
        </w:tc>
        <w:tc>
          <w:tcPr>
            <w:tcW w:w="282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21"/>
        </w:trPr>
        <w:tc>
          <w:tcPr>
            <w:tcW w:w="480" w:type="dxa"/>
            <w:vAlign w:val="bottom"/>
            <w:tcBorders>
              <w:left w:val="single" w:sz="8" w:color="auto"/>
              <w:bottom w:val="single" w:sz="8" w:color="D9D9D9"/>
            </w:tcBorders>
            <w:shd w:val="clear" w:color="auto" w:fill="D9D9D9"/>
          </w:tcPr>
          <w:p>
            <w:pPr>
              <w:ind w:left="60"/>
              <w:spacing w:after="0"/>
              <w:rPr>
                <w:sz w:val="20"/>
                <w:szCs w:val="20"/>
                <w:color w:val="auto"/>
              </w:rPr>
            </w:pPr>
            <w:r>
              <w:rPr>
                <w:rFonts w:ascii="Arial" w:cs="Arial" w:eastAsia="Arial" w:hAnsi="Arial"/>
                <w:sz w:val="15"/>
                <w:szCs w:val="15"/>
                <w:b w:val="1"/>
                <w:bCs w:val="1"/>
                <w:color w:val="auto"/>
              </w:rPr>
              <w:t>No.</w:t>
            </w:r>
          </w:p>
        </w:tc>
        <w:tc>
          <w:tcPr>
            <w:tcW w:w="280" w:type="dxa"/>
            <w:vAlign w:val="bottom"/>
            <w:tcBorders>
              <w:bottom w:val="single" w:sz="8" w:color="D9D9D9"/>
              <w:right w:val="single" w:sz="8" w:color="auto"/>
            </w:tcBorders>
            <w:shd w:val="clear" w:color="auto" w:fill="D9D9D9"/>
          </w:tcPr>
          <w:p>
            <w:pPr>
              <w:spacing w:after="0"/>
              <w:rPr>
                <w:sz w:val="24"/>
                <w:szCs w:val="24"/>
                <w:color w:val="auto"/>
              </w:rPr>
            </w:pPr>
          </w:p>
        </w:tc>
        <w:tc>
          <w:tcPr>
            <w:tcW w:w="860" w:type="dxa"/>
            <w:vAlign w:val="bottom"/>
            <w:tcBorders>
              <w:bottom w:val="single" w:sz="8" w:color="D9D9D9"/>
            </w:tcBorders>
            <w:gridSpan w:val="2"/>
            <w:shd w:val="clear" w:color="auto" w:fill="D9D9D9"/>
          </w:tcPr>
          <w:p>
            <w:pPr>
              <w:ind w:left="40"/>
              <w:spacing w:after="0"/>
              <w:rPr>
                <w:sz w:val="20"/>
                <w:szCs w:val="20"/>
                <w:color w:val="auto"/>
              </w:rPr>
            </w:pPr>
            <w:r>
              <w:rPr>
                <w:rFonts w:ascii="Arial" w:cs="Arial" w:eastAsia="Arial" w:hAnsi="Arial"/>
                <w:sz w:val="15"/>
                <w:szCs w:val="15"/>
                <w:b w:val="1"/>
                <w:bCs w:val="1"/>
                <w:color w:val="auto"/>
              </w:rPr>
              <w:t>Procedure</w:t>
            </w:r>
          </w:p>
        </w:tc>
        <w:tc>
          <w:tcPr>
            <w:tcW w:w="2080" w:type="dxa"/>
            <w:vAlign w:val="bottom"/>
            <w:tcBorders>
              <w:bottom w:val="single" w:sz="8" w:color="D9D9D9"/>
              <w:right w:val="single" w:sz="8" w:color="D9D9D9"/>
            </w:tcBorders>
            <w:shd w:val="clear" w:color="auto" w:fill="D9D9D9"/>
          </w:tcPr>
          <w:p>
            <w:pPr>
              <w:spacing w:after="0"/>
              <w:rPr>
                <w:sz w:val="24"/>
                <w:szCs w:val="24"/>
                <w:color w:val="auto"/>
              </w:rPr>
            </w:pPr>
          </w:p>
        </w:tc>
        <w:tc>
          <w:tcPr>
            <w:tcW w:w="1980" w:type="dxa"/>
            <w:vAlign w:val="bottom"/>
            <w:tcBorders>
              <w:bottom w:val="single" w:sz="8" w:color="D9D9D9"/>
              <w:right w:val="single" w:sz="8" w:color="D9D9D9"/>
            </w:tcBorders>
            <w:shd w:val="clear" w:color="auto" w:fill="D9D9D9"/>
          </w:tcPr>
          <w:p>
            <w:pPr>
              <w:spacing w:after="0"/>
              <w:rPr>
                <w:sz w:val="24"/>
                <w:szCs w:val="24"/>
                <w:color w:val="auto"/>
              </w:rPr>
            </w:pPr>
          </w:p>
        </w:tc>
        <w:tc>
          <w:tcPr>
            <w:tcW w:w="2820" w:type="dxa"/>
            <w:vAlign w:val="bottom"/>
            <w:tcBorders>
              <w:bottom w:val="single" w:sz="8" w:color="D9D9D9"/>
              <w:right w:val="single" w:sz="8" w:color="D9D9D9"/>
            </w:tcBorders>
            <w:shd w:val="clear" w:color="auto" w:fill="D9D9D9"/>
          </w:tcPr>
          <w:p>
            <w:pPr>
              <w:spacing w:after="0"/>
              <w:rPr>
                <w:sz w:val="24"/>
                <w:szCs w:val="24"/>
                <w:color w:val="auto"/>
              </w:rPr>
            </w:pPr>
          </w:p>
        </w:tc>
        <w:tc>
          <w:tcPr>
            <w:tcW w:w="1600" w:type="dxa"/>
            <w:vAlign w:val="bottom"/>
            <w:tcBorders>
              <w:bottom w:val="single" w:sz="8" w:color="D9D9D9"/>
              <w:right w:val="single" w:sz="8" w:color="auto"/>
            </w:tcBorders>
            <w:shd w:val="clear" w:color="auto" w:fill="D9D9D9"/>
          </w:tcPr>
          <w:p>
            <w:pPr>
              <w:spacing w:after="0"/>
              <w:rPr>
                <w:sz w:val="24"/>
                <w:szCs w:val="24"/>
                <w:color w:val="auto"/>
              </w:rPr>
            </w:pPr>
          </w:p>
        </w:tc>
        <w:tc>
          <w:tcPr>
            <w:tcW w:w="1240" w:type="dxa"/>
            <w:vAlign w:val="bottom"/>
            <w:tcBorders>
              <w:bottom w:val="single" w:sz="8" w:color="D9D9D9"/>
              <w:right w:val="single" w:sz="8" w:color="auto"/>
            </w:tcBorders>
            <w:shd w:val="clear" w:color="auto" w:fill="D9D9D9"/>
          </w:tcPr>
          <w:p>
            <w:pPr>
              <w:ind w:left="40"/>
              <w:spacing w:after="0"/>
              <w:rPr>
                <w:sz w:val="20"/>
                <w:szCs w:val="20"/>
                <w:color w:val="auto"/>
              </w:rPr>
            </w:pPr>
            <w:r>
              <w:rPr>
                <w:rFonts w:ascii="Arial" w:cs="Arial" w:eastAsia="Arial" w:hAnsi="Arial"/>
                <w:sz w:val="16"/>
                <w:szCs w:val="16"/>
                <w:b w:val="1"/>
                <w:bCs w:val="1"/>
                <w:color w:val="auto"/>
              </w:rPr>
              <w:t>RT</w:t>
            </w:r>
          </w:p>
        </w:tc>
        <w:tc>
          <w:tcPr>
            <w:tcW w:w="0" w:type="dxa"/>
            <w:vAlign w:val="bottom"/>
          </w:tcPr>
          <w:p>
            <w:pPr>
              <w:spacing w:after="0"/>
              <w:rPr>
                <w:sz w:val="1"/>
                <w:szCs w:val="1"/>
                <w:color w:val="auto"/>
              </w:rPr>
            </w:pPr>
          </w:p>
        </w:tc>
      </w:tr>
      <w:tr>
        <w:trPr>
          <w:trHeight w:val="215"/>
        </w:trPr>
        <w:tc>
          <w:tcPr>
            <w:tcW w:w="480" w:type="dxa"/>
            <w:vAlign w:val="bottom"/>
            <w:tcBorders>
              <w:top w:val="single" w:sz="8" w:color="auto"/>
              <w:left w:val="single" w:sz="8" w:color="auto"/>
            </w:tcBorders>
          </w:tcPr>
          <w:p>
            <w:pPr>
              <w:ind w:left="20"/>
              <w:spacing w:after="0"/>
              <w:rPr>
                <w:sz w:val="20"/>
                <w:szCs w:val="20"/>
                <w:color w:val="auto"/>
              </w:rPr>
            </w:pPr>
            <w:r>
              <w:rPr>
                <w:rFonts w:ascii="Arial" w:cs="Arial" w:eastAsia="Arial" w:hAnsi="Arial"/>
                <w:sz w:val="15"/>
                <w:szCs w:val="15"/>
                <w:color w:val="auto"/>
              </w:rPr>
              <w:t>3.1</w:t>
            </w:r>
          </w:p>
        </w:tc>
        <w:tc>
          <w:tcPr>
            <w:tcW w:w="280" w:type="dxa"/>
            <w:vAlign w:val="bottom"/>
            <w:tcBorders>
              <w:top w:val="single" w:sz="8" w:color="auto"/>
              <w:right w:val="single" w:sz="8" w:color="auto"/>
            </w:tcBorders>
          </w:tcPr>
          <w:p>
            <w:pPr>
              <w:spacing w:after="0"/>
              <w:rPr>
                <w:sz w:val="18"/>
                <w:szCs w:val="18"/>
                <w:color w:val="auto"/>
              </w:rPr>
            </w:pPr>
          </w:p>
        </w:tc>
        <w:tc>
          <w:tcPr>
            <w:tcW w:w="400" w:type="dxa"/>
            <w:vAlign w:val="bottom"/>
            <w:tcBorders>
              <w:top w:val="single" w:sz="8" w:color="auto"/>
            </w:tcBorders>
          </w:tcPr>
          <w:p>
            <w:pPr>
              <w:ind w:left="80"/>
              <w:spacing w:after="0"/>
              <w:rPr>
                <w:sz w:val="20"/>
                <w:szCs w:val="20"/>
                <w:color w:val="auto"/>
              </w:rPr>
            </w:pPr>
            <w:r>
              <w:rPr>
                <w:rFonts w:ascii="Arial" w:cs="Arial" w:eastAsia="Arial" w:hAnsi="Arial"/>
                <w:sz w:val="15"/>
                <w:szCs w:val="15"/>
                <w:color w:val="auto"/>
                <w:w w:val="99"/>
              </w:rPr>
              <w:t>[***].</w:t>
            </w:r>
          </w:p>
        </w:tc>
        <w:tc>
          <w:tcPr>
            <w:tcW w:w="460" w:type="dxa"/>
            <w:vAlign w:val="bottom"/>
            <w:tcBorders>
              <w:top w:val="single" w:sz="8" w:color="auto"/>
            </w:tcBorders>
          </w:tcPr>
          <w:p>
            <w:pPr>
              <w:spacing w:after="0"/>
              <w:rPr>
                <w:sz w:val="18"/>
                <w:szCs w:val="18"/>
                <w:color w:val="auto"/>
              </w:rPr>
            </w:pPr>
          </w:p>
        </w:tc>
        <w:tc>
          <w:tcPr>
            <w:tcW w:w="208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tcPr>
          <w:p>
            <w:pPr>
              <w:spacing w:after="0"/>
              <w:rPr>
                <w:sz w:val="18"/>
                <w:szCs w:val="18"/>
                <w:color w:val="auto"/>
              </w:rPr>
            </w:pPr>
          </w:p>
        </w:tc>
        <w:tc>
          <w:tcPr>
            <w:tcW w:w="2820" w:type="dxa"/>
            <w:vAlign w:val="bottom"/>
            <w:tcBorders>
              <w:top w:val="single" w:sz="8" w:color="auto"/>
            </w:tcBorders>
          </w:tcPr>
          <w:p>
            <w:pPr>
              <w:spacing w:after="0"/>
              <w:rPr>
                <w:sz w:val="18"/>
                <w:szCs w:val="18"/>
                <w:color w:val="auto"/>
              </w:rPr>
            </w:pPr>
          </w:p>
        </w:tc>
        <w:tc>
          <w:tcPr>
            <w:tcW w:w="1600" w:type="dxa"/>
            <w:vAlign w:val="bottom"/>
            <w:tcBorders>
              <w:top w:val="single" w:sz="8" w:color="auto"/>
              <w:right w:val="single" w:sz="8" w:color="auto"/>
            </w:tcBorders>
          </w:tcPr>
          <w:p>
            <w:pPr>
              <w:spacing w:after="0"/>
              <w:rPr>
                <w:sz w:val="18"/>
                <w:szCs w:val="18"/>
                <w:color w:val="auto"/>
              </w:rPr>
            </w:pPr>
          </w:p>
        </w:tc>
        <w:tc>
          <w:tcPr>
            <w:tcW w:w="124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Borders>
              <w:left w:val="single" w:sz="8" w:color="auto"/>
            </w:tcBorders>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0" w:type="dxa"/>
            <w:vAlign w:val="bottom"/>
            <w:tcBorders>
              <w:left w:val="single" w:sz="8" w:color="auto"/>
            </w:tcBorders>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5"/>
                <w:szCs w:val="15"/>
                <w:color w:val="auto"/>
              </w:rPr>
              <w:t>a.</w:t>
            </w:r>
          </w:p>
        </w:tc>
        <w:tc>
          <w:tcPr>
            <w:tcW w:w="46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2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480" w:type="dxa"/>
            <w:vAlign w:val="bottom"/>
            <w:tcBorders>
              <w:left w:val="single" w:sz="8" w:color="auto"/>
            </w:tcBorders>
          </w:tcPr>
          <w:p>
            <w:pPr>
              <w:spacing w:after="0"/>
              <w:rPr>
                <w:sz w:val="3"/>
                <w:szCs w:val="3"/>
                <w:color w:val="auto"/>
              </w:rPr>
            </w:pPr>
          </w:p>
        </w:tc>
        <w:tc>
          <w:tcPr>
            <w:tcW w:w="280" w:type="dxa"/>
            <w:vAlign w:val="bottom"/>
            <w:tcBorders>
              <w:right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480" w:type="dxa"/>
            <w:vAlign w:val="bottom"/>
            <w:tcBorders>
              <w:left w:val="single" w:sz="8" w:color="auto"/>
            </w:tcBorders>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5"/>
                <w:szCs w:val="15"/>
                <w:color w:val="auto"/>
              </w:rPr>
              <w:t>b.</w:t>
            </w:r>
          </w:p>
        </w:tc>
        <w:tc>
          <w:tcPr>
            <w:tcW w:w="460" w:type="dxa"/>
            <w:vAlign w:val="bottom"/>
          </w:tcPr>
          <w:p>
            <w:pPr>
              <w:jc w:val="right"/>
              <w:ind w:right="65"/>
              <w:spacing w:after="0"/>
              <w:rPr>
                <w:sz w:val="20"/>
                <w:szCs w:val="20"/>
                <w:color w:val="auto"/>
              </w:rPr>
            </w:pPr>
            <w:r>
              <w:rPr>
                <w:rFonts w:ascii="Arial" w:cs="Arial" w:eastAsia="Arial" w:hAnsi="Arial"/>
                <w:sz w:val="15"/>
                <w:szCs w:val="15"/>
                <w:color w:val="auto"/>
                <w:w w:val="99"/>
              </w:rPr>
              <w:t>[***].</w:t>
            </w:r>
          </w:p>
        </w:tc>
        <w:tc>
          <w:tcPr>
            <w:tcW w:w="2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480" w:type="dxa"/>
            <w:vAlign w:val="bottom"/>
            <w:tcBorders>
              <w:left w:val="single" w:sz="8" w:color="auto"/>
            </w:tcBorders>
          </w:tcPr>
          <w:p>
            <w:pPr>
              <w:spacing w:after="0"/>
              <w:rPr>
                <w:sz w:val="3"/>
                <w:szCs w:val="3"/>
                <w:color w:val="auto"/>
              </w:rPr>
            </w:pPr>
          </w:p>
        </w:tc>
        <w:tc>
          <w:tcPr>
            <w:tcW w:w="280" w:type="dxa"/>
            <w:vAlign w:val="bottom"/>
            <w:tcBorders>
              <w:right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480" w:type="dxa"/>
            <w:vAlign w:val="bottom"/>
            <w:tcBorders>
              <w:left w:val="single" w:sz="8" w:color="auto"/>
            </w:tcBorders>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5"/>
                <w:szCs w:val="15"/>
                <w:color w:val="auto"/>
              </w:rPr>
              <w:t>c.</w:t>
            </w:r>
          </w:p>
        </w:tc>
        <w:tc>
          <w:tcPr>
            <w:tcW w:w="46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2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480" w:type="dxa"/>
            <w:vAlign w:val="bottom"/>
            <w:tcBorders>
              <w:left w:val="single" w:sz="8" w:color="auto"/>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48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3.2</w:t>
            </w:r>
          </w:p>
        </w:tc>
        <w:tc>
          <w:tcPr>
            <w:tcW w:w="280" w:type="dxa"/>
            <w:vAlign w:val="bottom"/>
            <w:tcBorders>
              <w:right w:val="single" w:sz="8" w:color="auto"/>
            </w:tcBorders>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5"/>
                <w:szCs w:val="15"/>
                <w:color w:val="auto"/>
                <w:w w:val="99"/>
              </w:rPr>
              <w:t>[***].</w:t>
            </w:r>
          </w:p>
        </w:tc>
        <w:tc>
          <w:tcPr>
            <w:tcW w:w="4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Borders>
              <w:left w:val="single" w:sz="8" w:color="auto"/>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3.3</w:t>
            </w:r>
          </w:p>
        </w:tc>
        <w:tc>
          <w:tcPr>
            <w:tcW w:w="280" w:type="dxa"/>
            <w:vAlign w:val="bottom"/>
            <w:tcBorders>
              <w:right w:val="single" w:sz="8" w:color="auto"/>
            </w:tcBorders>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5"/>
                <w:szCs w:val="15"/>
                <w:color w:val="auto"/>
                <w:w w:val="99"/>
              </w:rPr>
              <w:t>[***].</w:t>
            </w:r>
          </w:p>
        </w:tc>
        <w:tc>
          <w:tcPr>
            <w:tcW w:w="4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Borders>
              <w:left w:val="single" w:sz="8" w:color="auto"/>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3.4</w:t>
            </w:r>
          </w:p>
        </w:tc>
        <w:tc>
          <w:tcPr>
            <w:tcW w:w="280" w:type="dxa"/>
            <w:vAlign w:val="bottom"/>
            <w:tcBorders>
              <w:right w:val="single" w:sz="8" w:color="auto"/>
            </w:tcBorders>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5"/>
                <w:szCs w:val="15"/>
                <w:color w:val="auto"/>
                <w:w w:val="99"/>
              </w:rPr>
              <w:t>[***].</w:t>
            </w:r>
          </w:p>
        </w:tc>
        <w:tc>
          <w:tcPr>
            <w:tcW w:w="4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Borders>
              <w:left w:val="single" w:sz="8" w:color="auto"/>
            </w:tcBorders>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860" w:type="dxa"/>
            <w:vAlign w:val="bottom"/>
            <w:tcBorders>
              <w:bottom w:val="single" w:sz="8" w:color="auto"/>
            </w:tcBorders>
            <w:gridSpan w:val="2"/>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0" w:type="dxa"/>
            <w:vAlign w:val="bottom"/>
            <w:tcBorders>
              <w:left w:val="single" w:sz="8" w:color="auto"/>
            </w:tcBorders>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860" w:type="dxa"/>
            <w:vAlign w:val="bottom"/>
            <w:gridSpan w:val="2"/>
          </w:tcPr>
          <w:p>
            <w:pPr>
              <w:ind w:left="320"/>
              <w:spacing w:after="0"/>
              <w:rPr>
                <w:sz w:val="20"/>
                <w:szCs w:val="20"/>
                <w:color w:val="auto"/>
              </w:rPr>
            </w:pPr>
            <w:r>
              <w:rPr>
                <w:rFonts w:ascii="Arial" w:cs="Arial" w:eastAsia="Arial" w:hAnsi="Arial"/>
                <w:sz w:val="15"/>
                <w:szCs w:val="15"/>
                <w:color w:val="auto"/>
              </w:rPr>
              <w:t>a.</w:t>
            </w:r>
          </w:p>
        </w:tc>
        <w:tc>
          <w:tcPr>
            <w:tcW w:w="2080" w:type="dxa"/>
            <w:vAlign w:val="bottom"/>
          </w:tcPr>
          <w:p>
            <w:pPr>
              <w:jc w:val="right"/>
              <w:ind w:right="1605"/>
              <w:spacing w:after="0"/>
              <w:rPr>
                <w:sz w:val="20"/>
                <w:szCs w:val="20"/>
                <w:color w:val="auto"/>
              </w:rPr>
            </w:pPr>
            <w:r>
              <w:rPr>
                <w:rFonts w:ascii="Arial" w:cs="Arial" w:eastAsia="Arial" w:hAnsi="Arial"/>
                <w:sz w:val="15"/>
                <w:szCs w:val="15"/>
                <w:color w:val="auto"/>
              </w:rPr>
              <w:t>[***].</w:t>
            </w: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480" w:type="dxa"/>
            <w:vAlign w:val="bottom"/>
            <w:tcBorders>
              <w:left w:val="single" w:sz="8" w:color="auto"/>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48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3.5</w:t>
            </w:r>
          </w:p>
        </w:tc>
        <w:tc>
          <w:tcPr>
            <w:tcW w:w="280" w:type="dxa"/>
            <w:vAlign w:val="bottom"/>
            <w:tcBorders>
              <w:right w:val="single" w:sz="8" w:color="auto"/>
            </w:tcBorders>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5"/>
                <w:szCs w:val="15"/>
                <w:color w:val="auto"/>
                <w:w w:val="99"/>
              </w:rPr>
              <w:t>[***].</w:t>
            </w:r>
          </w:p>
        </w:tc>
        <w:tc>
          <w:tcPr>
            <w:tcW w:w="4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Borders>
              <w:left w:val="single" w:sz="8" w:color="auto"/>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3.6</w:t>
            </w:r>
          </w:p>
        </w:tc>
        <w:tc>
          <w:tcPr>
            <w:tcW w:w="280" w:type="dxa"/>
            <w:vAlign w:val="bottom"/>
            <w:tcBorders>
              <w:right w:val="single" w:sz="8" w:color="auto"/>
            </w:tcBorders>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5"/>
                <w:szCs w:val="15"/>
                <w:color w:val="auto"/>
                <w:w w:val="99"/>
              </w:rPr>
              <w:t>[***]</w:t>
            </w:r>
            <w:r>
              <w:rPr>
                <w:rFonts w:ascii="Arial" w:cs="Arial" w:eastAsia="Arial" w:hAnsi="Arial"/>
                <w:sz w:val="15"/>
                <w:szCs w:val="15"/>
                <w:color w:val="222222"/>
                <w:w w:val="99"/>
              </w:rPr>
              <w:t>.</w:t>
            </w:r>
          </w:p>
        </w:tc>
        <w:tc>
          <w:tcPr>
            <w:tcW w:w="4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Borders>
              <w:left w:val="single" w:sz="8" w:color="auto"/>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3.7</w:t>
            </w:r>
          </w:p>
        </w:tc>
        <w:tc>
          <w:tcPr>
            <w:tcW w:w="280" w:type="dxa"/>
            <w:vAlign w:val="bottom"/>
            <w:tcBorders>
              <w:right w:val="single" w:sz="8" w:color="auto"/>
            </w:tcBorders>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5"/>
                <w:szCs w:val="15"/>
                <w:color w:val="auto"/>
                <w:w w:val="99"/>
              </w:rPr>
              <w:t>[***].</w:t>
            </w:r>
          </w:p>
        </w:tc>
        <w:tc>
          <w:tcPr>
            <w:tcW w:w="4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Borders>
              <w:left w:val="single" w:sz="8" w:color="auto"/>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3.8</w:t>
            </w:r>
          </w:p>
        </w:tc>
        <w:tc>
          <w:tcPr>
            <w:tcW w:w="280" w:type="dxa"/>
            <w:vAlign w:val="bottom"/>
            <w:tcBorders>
              <w:right w:val="single" w:sz="8" w:color="auto"/>
            </w:tcBorders>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Borders>
              <w:left w:val="single" w:sz="8" w:color="auto"/>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3.9</w:t>
            </w:r>
          </w:p>
        </w:tc>
        <w:tc>
          <w:tcPr>
            <w:tcW w:w="280" w:type="dxa"/>
            <w:vAlign w:val="bottom"/>
            <w:tcBorders>
              <w:right w:val="single" w:sz="8" w:color="auto"/>
            </w:tcBorders>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5"/>
                <w:szCs w:val="15"/>
                <w:color w:val="auto"/>
                <w:w w:val="99"/>
              </w:rPr>
              <w:t>[***]:</w:t>
            </w:r>
          </w:p>
        </w:tc>
        <w:tc>
          <w:tcPr>
            <w:tcW w:w="4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Borders>
              <w:left w:val="single" w:sz="8" w:color="auto"/>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0" w:type="dxa"/>
            <w:vAlign w:val="bottom"/>
            <w:tcBorders>
              <w:left w:val="single" w:sz="8" w:color="auto"/>
            </w:tcBorders>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5"/>
                <w:szCs w:val="15"/>
                <w:color w:val="auto"/>
              </w:rPr>
              <w:t>a.</w:t>
            </w:r>
          </w:p>
        </w:tc>
        <w:tc>
          <w:tcPr>
            <w:tcW w:w="46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2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480" w:type="dxa"/>
            <w:vAlign w:val="bottom"/>
            <w:tcBorders>
              <w:left w:val="single" w:sz="8" w:color="auto"/>
            </w:tcBorders>
          </w:tcPr>
          <w:p>
            <w:pPr>
              <w:spacing w:after="0"/>
              <w:rPr>
                <w:sz w:val="3"/>
                <w:szCs w:val="3"/>
                <w:color w:val="auto"/>
              </w:rPr>
            </w:pPr>
          </w:p>
        </w:tc>
        <w:tc>
          <w:tcPr>
            <w:tcW w:w="280" w:type="dxa"/>
            <w:vAlign w:val="bottom"/>
            <w:tcBorders>
              <w:right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480" w:type="dxa"/>
            <w:vAlign w:val="bottom"/>
            <w:tcBorders>
              <w:left w:val="single" w:sz="8" w:color="auto"/>
            </w:tcBorders>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5"/>
                <w:szCs w:val="15"/>
                <w:color w:val="auto"/>
              </w:rPr>
              <w:t>b.</w:t>
            </w:r>
          </w:p>
        </w:tc>
        <w:tc>
          <w:tcPr>
            <w:tcW w:w="460" w:type="dxa"/>
            <w:vAlign w:val="bottom"/>
          </w:tcPr>
          <w:p>
            <w:pPr>
              <w:jc w:val="right"/>
              <w:ind w:right="65"/>
              <w:spacing w:after="0"/>
              <w:rPr>
                <w:sz w:val="20"/>
                <w:szCs w:val="20"/>
                <w:color w:val="auto"/>
              </w:rPr>
            </w:pPr>
            <w:r>
              <w:rPr>
                <w:rFonts w:ascii="Arial" w:cs="Arial" w:eastAsia="Arial" w:hAnsi="Arial"/>
                <w:sz w:val="15"/>
                <w:szCs w:val="15"/>
                <w:color w:val="auto"/>
                <w:w w:val="99"/>
              </w:rPr>
              <w:t>[***].</w:t>
            </w:r>
          </w:p>
        </w:tc>
        <w:tc>
          <w:tcPr>
            <w:tcW w:w="2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480" w:type="dxa"/>
            <w:vAlign w:val="bottom"/>
            <w:tcBorders>
              <w:left w:val="single" w:sz="8" w:color="auto"/>
            </w:tcBorders>
          </w:tcPr>
          <w:p>
            <w:pPr>
              <w:spacing w:after="0"/>
              <w:rPr>
                <w:sz w:val="3"/>
                <w:szCs w:val="3"/>
                <w:color w:val="auto"/>
              </w:rPr>
            </w:pPr>
          </w:p>
        </w:tc>
        <w:tc>
          <w:tcPr>
            <w:tcW w:w="280" w:type="dxa"/>
            <w:vAlign w:val="bottom"/>
            <w:tcBorders>
              <w:right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480" w:type="dxa"/>
            <w:vAlign w:val="bottom"/>
            <w:tcBorders>
              <w:left w:val="single" w:sz="8" w:color="auto"/>
            </w:tcBorders>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5"/>
                <w:szCs w:val="15"/>
                <w:color w:val="auto"/>
              </w:rPr>
              <w:t>c.</w:t>
            </w:r>
          </w:p>
        </w:tc>
        <w:tc>
          <w:tcPr>
            <w:tcW w:w="46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2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480" w:type="dxa"/>
            <w:vAlign w:val="bottom"/>
            <w:tcBorders>
              <w:left w:val="single" w:sz="8" w:color="auto"/>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48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3.10</w:t>
            </w:r>
          </w:p>
        </w:tc>
        <w:tc>
          <w:tcPr>
            <w:tcW w:w="280" w:type="dxa"/>
            <w:vAlign w:val="bottom"/>
            <w:tcBorders>
              <w:right w:val="single" w:sz="8" w:color="auto"/>
            </w:tcBorders>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5"/>
                <w:szCs w:val="15"/>
                <w:color w:val="auto"/>
                <w:w w:val="99"/>
              </w:rPr>
              <w:t>[***]:</w:t>
            </w:r>
          </w:p>
        </w:tc>
        <w:tc>
          <w:tcPr>
            <w:tcW w:w="4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Borders>
              <w:left w:val="single" w:sz="8" w:color="auto"/>
            </w:tcBorders>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0" w:type="dxa"/>
            <w:vAlign w:val="bottom"/>
            <w:tcBorders>
              <w:left w:val="single" w:sz="8" w:color="auto"/>
            </w:tcBorders>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5"/>
                <w:szCs w:val="15"/>
                <w:color w:val="auto"/>
              </w:rPr>
              <w:t>a.</w:t>
            </w:r>
          </w:p>
        </w:tc>
        <w:tc>
          <w:tcPr>
            <w:tcW w:w="46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2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480" w:type="dxa"/>
            <w:vAlign w:val="bottom"/>
            <w:tcBorders>
              <w:left w:val="single" w:sz="8" w:color="auto"/>
            </w:tcBorders>
          </w:tcPr>
          <w:p>
            <w:pPr>
              <w:spacing w:after="0"/>
              <w:rPr>
                <w:sz w:val="3"/>
                <w:szCs w:val="3"/>
                <w:color w:val="auto"/>
              </w:rPr>
            </w:pPr>
          </w:p>
        </w:tc>
        <w:tc>
          <w:tcPr>
            <w:tcW w:w="280" w:type="dxa"/>
            <w:vAlign w:val="bottom"/>
            <w:tcBorders>
              <w:right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480" w:type="dxa"/>
            <w:vAlign w:val="bottom"/>
            <w:tcBorders>
              <w:left w:val="single" w:sz="8" w:color="auto"/>
            </w:tcBorders>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5"/>
                <w:szCs w:val="15"/>
                <w:color w:val="auto"/>
              </w:rPr>
              <w:t>b.</w:t>
            </w:r>
          </w:p>
        </w:tc>
        <w:tc>
          <w:tcPr>
            <w:tcW w:w="460" w:type="dxa"/>
            <w:vAlign w:val="bottom"/>
          </w:tcPr>
          <w:p>
            <w:pPr>
              <w:jc w:val="right"/>
              <w:ind w:right="65"/>
              <w:spacing w:after="0"/>
              <w:rPr>
                <w:sz w:val="20"/>
                <w:szCs w:val="20"/>
                <w:color w:val="auto"/>
              </w:rPr>
            </w:pPr>
            <w:r>
              <w:rPr>
                <w:rFonts w:ascii="Arial" w:cs="Arial" w:eastAsia="Arial" w:hAnsi="Arial"/>
                <w:sz w:val="15"/>
                <w:szCs w:val="15"/>
                <w:color w:val="auto"/>
                <w:w w:val="99"/>
              </w:rPr>
              <w:t>[***].</w:t>
            </w:r>
          </w:p>
        </w:tc>
        <w:tc>
          <w:tcPr>
            <w:tcW w:w="2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480" w:type="dxa"/>
            <w:vAlign w:val="bottom"/>
            <w:tcBorders>
              <w:left w:val="single" w:sz="8" w:color="auto"/>
            </w:tcBorders>
          </w:tcPr>
          <w:p>
            <w:pPr>
              <w:spacing w:after="0"/>
              <w:rPr>
                <w:sz w:val="3"/>
                <w:szCs w:val="3"/>
                <w:color w:val="auto"/>
              </w:rPr>
            </w:pPr>
          </w:p>
        </w:tc>
        <w:tc>
          <w:tcPr>
            <w:tcW w:w="280" w:type="dxa"/>
            <w:vAlign w:val="bottom"/>
            <w:tcBorders>
              <w:right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480" w:type="dxa"/>
            <w:vAlign w:val="bottom"/>
            <w:tcBorders>
              <w:left w:val="single" w:sz="8" w:color="auto"/>
            </w:tcBorders>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5"/>
                <w:szCs w:val="15"/>
                <w:color w:val="auto"/>
              </w:rPr>
              <w:t>c.</w:t>
            </w:r>
          </w:p>
        </w:tc>
        <w:tc>
          <w:tcPr>
            <w:tcW w:w="46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2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480" w:type="dxa"/>
            <w:vAlign w:val="bottom"/>
            <w:tcBorders>
              <w:left w:val="single" w:sz="8" w:color="auto"/>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80" w:top="408" w:right="27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Appendix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4845685</wp:posOffset>
            </wp:positionH>
            <wp:positionV relativeFrom="paragraph">
              <wp:posOffset>139700</wp:posOffset>
            </wp:positionV>
            <wp:extent cx="1110615" cy="6553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10615" cy="65532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1480"/>
        <w:spacing w:after="0"/>
        <w:rPr>
          <w:sz w:val="20"/>
          <w:szCs w:val="20"/>
          <w:color w:val="auto"/>
        </w:rPr>
      </w:pPr>
      <w:r>
        <w:rPr>
          <w:rFonts w:ascii="Arial" w:cs="Arial" w:eastAsia="Arial" w:hAnsi="Arial"/>
          <w:sz w:val="21"/>
          <w:szCs w:val="21"/>
          <w:color w:val="auto"/>
        </w:rPr>
        <w:t>Accepted Test Procedures (ATP)</w:t>
      </w:r>
    </w:p>
    <w:p>
      <w:pPr>
        <w:spacing w:after="0" w:line="200" w:lineRule="exact"/>
        <w:rPr>
          <w:sz w:val="20"/>
          <w:szCs w:val="20"/>
          <w:color w:val="auto"/>
        </w:rPr>
      </w:pPr>
    </w:p>
    <w:p>
      <w:pPr>
        <w:spacing w:after="0" w:line="393"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3700" w:type="dxa"/>
            <w:vAlign w:val="bottom"/>
            <w:tcBorders>
              <w:top w:val="single" w:sz="8" w:color="auto"/>
              <w:left w:val="single" w:sz="8" w:color="auto"/>
              <w:bottom w:val="single" w:sz="8" w:color="auto"/>
            </w:tcBorders>
            <w:gridSpan w:val="4"/>
          </w:tcPr>
          <w:p>
            <w:pPr>
              <w:ind w:left="20"/>
              <w:spacing w:after="0"/>
              <w:rPr>
                <w:sz w:val="20"/>
                <w:szCs w:val="20"/>
                <w:color w:val="auto"/>
              </w:rPr>
            </w:pPr>
            <w:r>
              <w:rPr>
                <w:rFonts w:ascii="Arial" w:cs="Arial" w:eastAsia="Arial" w:hAnsi="Arial"/>
                <w:sz w:val="15"/>
                <w:szCs w:val="15"/>
                <w:color w:val="auto"/>
              </w:rPr>
              <w:t>Project: Kornit 931/932/951/952/953</w:t>
            </w:r>
          </w:p>
        </w:tc>
        <w:tc>
          <w:tcPr>
            <w:tcW w:w="1980" w:type="dxa"/>
            <w:vAlign w:val="bottom"/>
            <w:tcBorders>
              <w:top w:val="single" w:sz="8" w:color="auto"/>
              <w:bottom w:val="single" w:sz="8" w:color="auto"/>
              <w:right w:val="single" w:sz="8" w:color="auto"/>
            </w:tcBorders>
          </w:tcPr>
          <w:p>
            <w:pPr>
              <w:spacing w:after="0"/>
              <w:rPr>
                <w:sz w:val="16"/>
                <w:szCs w:val="16"/>
                <w:color w:val="auto"/>
              </w:rPr>
            </w:pPr>
          </w:p>
        </w:tc>
        <w:tc>
          <w:tcPr>
            <w:tcW w:w="282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rPr>
              <w:t>Subject: ATP</w:t>
            </w:r>
          </w:p>
        </w:tc>
        <w:tc>
          <w:tcPr>
            <w:tcW w:w="160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700" w:type="dxa"/>
            <w:vAlign w:val="bottom"/>
            <w:tcBorders>
              <w:left w:val="single" w:sz="8" w:color="auto"/>
              <w:bottom w:val="single" w:sz="8" w:color="auto"/>
              <w:right w:val="single" w:sz="8" w:color="auto"/>
            </w:tcBorders>
            <w:gridSpan w:val="4"/>
          </w:tcPr>
          <w:p>
            <w:pPr>
              <w:ind w:left="20"/>
              <w:spacing w:after="0" w:line="171" w:lineRule="exact"/>
              <w:rPr>
                <w:sz w:val="20"/>
                <w:szCs w:val="20"/>
                <w:color w:val="auto"/>
              </w:rPr>
            </w:pPr>
            <w:r>
              <w:rPr>
                <w:rFonts w:ascii="Arial" w:cs="Arial" w:eastAsia="Arial" w:hAnsi="Arial"/>
                <w:sz w:val="15"/>
                <w:szCs w:val="15"/>
                <w:color w:val="auto"/>
              </w:rPr>
              <w:t>Order Number: 60-PATP-0001</w:t>
            </w:r>
          </w:p>
        </w:tc>
        <w:tc>
          <w:tcPr>
            <w:tcW w:w="1980" w:type="dxa"/>
            <w:vAlign w:val="bottom"/>
            <w:tcBorders>
              <w:bottom w:val="single" w:sz="8" w:color="auto"/>
              <w:right w:val="single" w:sz="8" w:color="auto"/>
            </w:tcBorders>
          </w:tcPr>
          <w:p>
            <w:pPr>
              <w:spacing w:after="0" w:line="171" w:lineRule="exact"/>
              <w:rPr>
                <w:sz w:val="20"/>
                <w:szCs w:val="20"/>
                <w:color w:val="auto"/>
              </w:rPr>
            </w:pPr>
            <w:r>
              <w:rPr>
                <w:rFonts w:ascii="Arial" w:cs="Arial" w:eastAsia="Arial" w:hAnsi="Arial"/>
                <w:sz w:val="15"/>
                <w:szCs w:val="15"/>
                <w:color w:val="auto"/>
              </w:rPr>
              <w:t>Date: 07/16/2013</w:t>
            </w:r>
          </w:p>
        </w:tc>
        <w:tc>
          <w:tcPr>
            <w:tcW w:w="2820" w:type="dxa"/>
            <w:vAlign w:val="bottom"/>
            <w:tcBorders>
              <w:bottom w:val="single" w:sz="8" w:color="auto"/>
              <w:right w:val="single" w:sz="8" w:color="auto"/>
            </w:tcBorders>
          </w:tcPr>
          <w:p>
            <w:pPr>
              <w:spacing w:after="0" w:line="171" w:lineRule="exact"/>
              <w:rPr>
                <w:sz w:val="20"/>
                <w:szCs w:val="20"/>
                <w:color w:val="auto"/>
              </w:rPr>
            </w:pPr>
            <w:r>
              <w:rPr>
                <w:rFonts w:ascii="Arial" w:cs="Arial" w:eastAsia="Arial" w:hAnsi="Arial"/>
                <w:sz w:val="15"/>
                <w:szCs w:val="15"/>
                <w:color w:val="auto"/>
              </w:rPr>
              <w:t>Revision: 2</w:t>
            </w:r>
          </w:p>
        </w:tc>
        <w:tc>
          <w:tcPr>
            <w:tcW w:w="2840" w:type="dxa"/>
            <w:vAlign w:val="bottom"/>
            <w:tcBorders>
              <w:bottom w:val="single" w:sz="8" w:color="auto"/>
              <w:right w:val="single" w:sz="8" w:color="auto"/>
            </w:tcBorders>
            <w:gridSpan w:val="2"/>
          </w:tcPr>
          <w:p>
            <w:pPr>
              <w:spacing w:after="0" w:line="171" w:lineRule="exact"/>
              <w:rPr>
                <w:sz w:val="20"/>
                <w:szCs w:val="20"/>
                <w:color w:val="auto"/>
              </w:rPr>
            </w:pPr>
            <w:r>
              <w:rPr>
                <w:rFonts w:ascii="Arial" w:cs="Arial" w:eastAsia="Arial" w:hAnsi="Arial"/>
                <w:sz w:val="15"/>
                <w:szCs w:val="15"/>
                <w:color w:val="auto"/>
              </w:rPr>
              <w:t>Page 4 of 6</w:t>
            </w:r>
          </w:p>
        </w:tc>
        <w:tc>
          <w:tcPr>
            <w:tcW w:w="0" w:type="dxa"/>
            <w:vAlign w:val="bottom"/>
          </w:tcPr>
          <w:p>
            <w:pPr>
              <w:spacing w:after="0"/>
              <w:rPr>
                <w:sz w:val="1"/>
                <w:szCs w:val="1"/>
                <w:color w:val="auto"/>
              </w:rPr>
            </w:pPr>
          </w:p>
        </w:tc>
      </w:tr>
      <w:tr>
        <w:trPr>
          <w:trHeight w:val="160"/>
        </w:trPr>
        <w:tc>
          <w:tcPr>
            <w:tcW w:w="500" w:type="dxa"/>
            <w:vAlign w:val="bottom"/>
            <w:tcBorders>
              <w:left w:val="single" w:sz="8" w:color="auto"/>
            </w:tcBorders>
          </w:tcPr>
          <w:p>
            <w:pPr>
              <w:ind w:left="20"/>
              <w:spacing w:after="0" w:line="160" w:lineRule="exact"/>
              <w:rPr>
                <w:sz w:val="20"/>
                <w:szCs w:val="20"/>
                <w:color w:val="auto"/>
              </w:rPr>
            </w:pPr>
            <w:r>
              <w:rPr>
                <w:rFonts w:ascii="Arial" w:cs="Arial" w:eastAsia="Arial" w:hAnsi="Arial"/>
                <w:sz w:val="15"/>
                <w:szCs w:val="15"/>
                <w:color w:val="auto"/>
              </w:rPr>
              <w:t>Editor:</w:t>
            </w: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540" w:type="dxa"/>
            <w:vAlign w:val="bottom"/>
            <w:tcBorders>
              <w:right w:val="single" w:sz="8" w:color="auto"/>
            </w:tcBorders>
          </w:tcPr>
          <w:p>
            <w:pPr>
              <w:spacing w:after="0"/>
              <w:rPr>
                <w:sz w:val="13"/>
                <w:szCs w:val="13"/>
                <w:color w:val="auto"/>
              </w:rPr>
            </w:pPr>
          </w:p>
        </w:tc>
        <w:tc>
          <w:tcPr>
            <w:tcW w:w="1980" w:type="dxa"/>
            <w:vAlign w:val="bottom"/>
            <w:tcBorders>
              <w:right w:val="single" w:sz="8" w:color="auto"/>
            </w:tcBorders>
          </w:tcPr>
          <w:p>
            <w:pPr>
              <w:spacing w:after="0" w:line="160" w:lineRule="exact"/>
              <w:rPr>
                <w:sz w:val="20"/>
                <w:szCs w:val="20"/>
                <w:color w:val="auto"/>
              </w:rPr>
            </w:pPr>
            <w:r>
              <w:rPr>
                <w:rFonts w:ascii="Arial" w:cs="Arial" w:eastAsia="Arial" w:hAnsi="Arial"/>
                <w:sz w:val="15"/>
                <w:szCs w:val="15"/>
                <w:color w:val="auto"/>
              </w:rPr>
              <w:t>Confirmed by:</w:t>
            </w:r>
          </w:p>
        </w:tc>
        <w:tc>
          <w:tcPr>
            <w:tcW w:w="2820" w:type="dxa"/>
            <w:vAlign w:val="bottom"/>
            <w:vMerge w:val="restart"/>
          </w:tcPr>
          <w:p>
            <w:pPr>
              <w:spacing w:after="0"/>
              <w:rPr>
                <w:sz w:val="20"/>
                <w:szCs w:val="20"/>
                <w:color w:val="auto"/>
              </w:rPr>
            </w:pPr>
            <w:r>
              <w:rPr>
                <w:rFonts w:ascii="Arial" w:cs="Arial" w:eastAsia="Arial" w:hAnsi="Arial"/>
                <w:sz w:val="15"/>
                <w:szCs w:val="15"/>
                <w:color w:val="auto"/>
              </w:rPr>
              <w:t>Signature:</w:t>
            </w:r>
          </w:p>
        </w:tc>
        <w:tc>
          <w:tcPr>
            <w:tcW w:w="1600" w:type="dxa"/>
            <w:vAlign w:val="bottom"/>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1160" w:type="dxa"/>
            <w:vAlign w:val="bottom"/>
            <w:tcBorders>
              <w:left w:val="single" w:sz="8" w:color="auto"/>
            </w:tcBorders>
            <w:gridSpan w:val="3"/>
            <w:vMerge w:val="restart"/>
          </w:tcPr>
          <w:p>
            <w:pPr>
              <w:ind w:left="20"/>
              <w:spacing w:after="0"/>
              <w:rPr>
                <w:sz w:val="20"/>
                <w:szCs w:val="20"/>
                <w:color w:val="auto"/>
              </w:rPr>
            </w:pPr>
            <w:r>
              <w:rPr>
                <w:rFonts w:ascii="Arial" w:cs="Arial" w:eastAsia="Arial" w:hAnsi="Arial"/>
                <w:sz w:val="15"/>
                <w:szCs w:val="15"/>
                <w:color w:val="auto"/>
              </w:rPr>
              <w:t>Lev Superfin</w:t>
            </w:r>
          </w:p>
        </w:tc>
        <w:tc>
          <w:tcPr>
            <w:tcW w:w="2540" w:type="dxa"/>
            <w:vAlign w:val="bottom"/>
            <w:tcBorders>
              <w:right w:val="single" w:sz="8" w:color="auto"/>
            </w:tcBorders>
          </w:tcPr>
          <w:p>
            <w:pPr>
              <w:spacing w:after="0"/>
              <w:rPr>
                <w:sz w:val="8"/>
                <w:szCs w:val="8"/>
                <w:color w:val="auto"/>
              </w:rPr>
            </w:pPr>
          </w:p>
        </w:tc>
        <w:tc>
          <w:tcPr>
            <w:tcW w:w="1980" w:type="dxa"/>
            <w:vAlign w:val="bottom"/>
            <w:tcBorders>
              <w:right w:val="single" w:sz="8" w:color="auto"/>
            </w:tcBorders>
            <w:vMerge w:val="restart"/>
          </w:tcPr>
          <w:p>
            <w:pPr>
              <w:spacing w:after="0"/>
              <w:rPr>
                <w:sz w:val="20"/>
                <w:szCs w:val="20"/>
                <w:color w:val="auto"/>
              </w:rPr>
            </w:pPr>
            <w:r>
              <w:rPr>
                <w:rFonts w:ascii="Arial" w:cs="Arial" w:eastAsia="Arial" w:hAnsi="Arial"/>
                <w:sz w:val="15"/>
                <w:szCs w:val="15"/>
                <w:color w:val="auto"/>
              </w:rPr>
              <w:t>Rea Rogel</w:t>
            </w:r>
          </w:p>
        </w:tc>
        <w:tc>
          <w:tcPr>
            <w:tcW w:w="2820" w:type="dxa"/>
            <w:vAlign w:val="bottom"/>
            <w:vMerge w:val="continue"/>
          </w:tcPr>
          <w:p>
            <w:pPr>
              <w:spacing w:after="0"/>
              <w:rPr>
                <w:sz w:val="8"/>
                <w:szCs w:val="8"/>
                <w:color w:val="auto"/>
              </w:rPr>
            </w:pPr>
          </w:p>
        </w:tc>
        <w:tc>
          <w:tcPr>
            <w:tcW w:w="1600" w:type="dxa"/>
            <w:vAlign w:val="bottom"/>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160" w:type="dxa"/>
            <w:vAlign w:val="bottom"/>
            <w:tcBorders>
              <w:left w:val="single" w:sz="8" w:color="auto"/>
              <w:bottom w:val="single" w:sz="8" w:color="auto"/>
            </w:tcBorders>
            <w:gridSpan w:val="3"/>
            <w:vMerge w:val="continue"/>
          </w:tcPr>
          <w:p>
            <w:pPr>
              <w:spacing w:after="0"/>
              <w:rPr>
                <w:sz w:val="7"/>
                <w:szCs w:val="7"/>
                <w:color w:val="auto"/>
              </w:rPr>
            </w:pPr>
          </w:p>
        </w:tc>
        <w:tc>
          <w:tcPr>
            <w:tcW w:w="2540" w:type="dxa"/>
            <w:vAlign w:val="bottom"/>
            <w:tcBorders>
              <w:bottom w:val="single" w:sz="8" w:color="auto"/>
              <w:right w:val="single" w:sz="8" w:color="auto"/>
            </w:tcBorders>
          </w:tcPr>
          <w:p>
            <w:pPr>
              <w:spacing w:after="0"/>
              <w:rPr>
                <w:sz w:val="7"/>
                <w:szCs w:val="7"/>
                <w:color w:val="auto"/>
              </w:rPr>
            </w:pPr>
          </w:p>
        </w:tc>
        <w:tc>
          <w:tcPr>
            <w:tcW w:w="1980" w:type="dxa"/>
            <w:vAlign w:val="bottom"/>
            <w:tcBorders>
              <w:bottom w:val="single" w:sz="8" w:color="auto"/>
              <w:right w:val="single" w:sz="8" w:color="auto"/>
            </w:tcBorders>
            <w:vMerge w:val="continue"/>
          </w:tcPr>
          <w:p>
            <w:pPr>
              <w:spacing w:after="0"/>
              <w:rPr>
                <w:sz w:val="7"/>
                <w:szCs w:val="7"/>
                <w:color w:val="auto"/>
              </w:rPr>
            </w:pPr>
          </w:p>
        </w:tc>
        <w:tc>
          <w:tcPr>
            <w:tcW w:w="282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551"/>
        </w:trPr>
        <w:tc>
          <w:tcPr>
            <w:tcW w:w="500" w:type="dxa"/>
            <w:vAlign w:val="bottom"/>
          </w:tcPr>
          <w:p>
            <w:pPr>
              <w:spacing w:after="0"/>
              <w:rPr>
                <w:sz w:val="20"/>
                <w:szCs w:val="20"/>
                <w:color w:val="auto"/>
              </w:rPr>
            </w:pPr>
            <w:r>
              <w:rPr>
                <w:rFonts w:ascii="Arial" w:cs="Arial" w:eastAsia="Arial" w:hAnsi="Arial"/>
                <w:sz w:val="15"/>
                <w:szCs w:val="15"/>
                <w:color w:val="auto"/>
              </w:rPr>
              <w:t>4.</w:t>
            </w:r>
          </w:p>
        </w:tc>
        <w:tc>
          <w:tcPr>
            <w:tcW w:w="3200" w:type="dxa"/>
            <w:vAlign w:val="bottom"/>
            <w:gridSpan w:val="3"/>
            <w:vMerge w:val="restart"/>
          </w:tcPr>
          <w:p>
            <w:pPr>
              <w:ind w:left="40"/>
              <w:spacing w:after="0"/>
              <w:rPr>
                <w:sz w:val="20"/>
                <w:szCs w:val="20"/>
                <w:color w:val="auto"/>
              </w:rPr>
            </w:pPr>
            <w:r>
              <w:rPr>
                <w:rFonts w:ascii="Arial" w:cs="Arial" w:eastAsia="Arial" w:hAnsi="Arial"/>
                <w:sz w:val="15"/>
                <w:szCs w:val="15"/>
                <w:b w:val="1"/>
                <w:bCs w:val="1"/>
                <w:color w:val="auto"/>
              </w:rPr>
              <w:t>Humidity System Tests (only 952/3)</w:t>
            </w:r>
          </w:p>
        </w:tc>
        <w:tc>
          <w:tcPr>
            <w:tcW w:w="19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00" w:type="dxa"/>
            <w:vAlign w:val="bottom"/>
          </w:tcPr>
          <w:p>
            <w:pPr>
              <w:spacing w:after="0"/>
              <w:rPr>
                <w:sz w:val="9"/>
                <w:szCs w:val="9"/>
                <w:color w:val="auto"/>
              </w:rPr>
            </w:pPr>
          </w:p>
        </w:tc>
        <w:tc>
          <w:tcPr>
            <w:tcW w:w="3200" w:type="dxa"/>
            <w:vAlign w:val="bottom"/>
            <w:gridSpan w:val="3"/>
            <w:vMerge w:val="continue"/>
          </w:tcPr>
          <w:p>
            <w:pPr>
              <w:spacing w:after="0"/>
              <w:rPr>
                <w:sz w:val="9"/>
                <w:szCs w:val="9"/>
                <w:color w:val="auto"/>
              </w:rPr>
            </w:pPr>
          </w:p>
        </w:tc>
        <w:tc>
          <w:tcPr>
            <w:tcW w:w="1980" w:type="dxa"/>
            <w:vAlign w:val="bottom"/>
          </w:tcPr>
          <w:p>
            <w:pPr>
              <w:spacing w:after="0"/>
              <w:rPr>
                <w:sz w:val="9"/>
                <w:szCs w:val="9"/>
                <w:color w:val="auto"/>
              </w:rPr>
            </w:pPr>
          </w:p>
        </w:tc>
        <w:tc>
          <w:tcPr>
            <w:tcW w:w="28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760" w:type="dxa"/>
            <w:vAlign w:val="bottom"/>
            <w:tcBorders>
              <w:bottom w:val="single" w:sz="8" w:color="FF0000"/>
            </w:tcBorders>
            <w:gridSpan w:val="2"/>
          </w:tcPr>
          <w:p>
            <w:pPr>
              <w:spacing w:after="0"/>
              <w:rPr>
                <w:sz w:val="11"/>
                <w:szCs w:val="11"/>
                <w:color w:val="auto"/>
              </w:rPr>
            </w:pPr>
          </w:p>
        </w:tc>
        <w:tc>
          <w:tcPr>
            <w:tcW w:w="400" w:type="dxa"/>
            <w:vAlign w:val="bottom"/>
            <w:tcBorders>
              <w:bottom w:val="single" w:sz="8" w:color="FF0000"/>
            </w:tcBorders>
          </w:tcPr>
          <w:p>
            <w:pPr>
              <w:spacing w:after="0"/>
              <w:rPr>
                <w:sz w:val="11"/>
                <w:szCs w:val="11"/>
                <w:color w:val="auto"/>
              </w:rPr>
            </w:pPr>
          </w:p>
        </w:tc>
        <w:tc>
          <w:tcPr>
            <w:tcW w:w="2540" w:type="dxa"/>
            <w:vAlign w:val="bottom"/>
            <w:tcBorders>
              <w:bottom w:val="single" w:sz="8" w:color="FF0000"/>
            </w:tcBorders>
          </w:tcPr>
          <w:p>
            <w:pPr>
              <w:spacing w:after="0"/>
              <w:rPr>
                <w:sz w:val="11"/>
                <w:szCs w:val="11"/>
                <w:color w:val="auto"/>
              </w:rPr>
            </w:pPr>
          </w:p>
        </w:tc>
        <w:tc>
          <w:tcPr>
            <w:tcW w:w="1980" w:type="dxa"/>
            <w:vAlign w:val="bottom"/>
            <w:tcBorders>
              <w:bottom w:val="single" w:sz="8" w:color="FF0000"/>
            </w:tcBorders>
          </w:tcPr>
          <w:p>
            <w:pPr>
              <w:spacing w:after="0"/>
              <w:rPr>
                <w:sz w:val="11"/>
                <w:szCs w:val="11"/>
                <w:color w:val="auto"/>
              </w:rPr>
            </w:pPr>
          </w:p>
        </w:tc>
        <w:tc>
          <w:tcPr>
            <w:tcW w:w="2820" w:type="dxa"/>
            <w:vAlign w:val="bottom"/>
            <w:tcBorders>
              <w:bottom w:val="single" w:sz="8" w:color="FF0000"/>
            </w:tcBorders>
          </w:tcPr>
          <w:p>
            <w:pPr>
              <w:spacing w:after="0"/>
              <w:rPr>
                <w:sz w:val="11"/>
                <w:szCs w:val="11"/>
                <w:color w:val="auto"/>
              </w:rPr>
            </w:pPr>
          </w:p>
        </w:tc>
        <w:tc>
          <w:tcPr>
            <w:tcW w:w="1600" w:type="dxa"/>
            <w:vAlign w:val="bottom"/>
            <w:tcBorders>
              <w:bottom w:val="single" w:sz="8" w:color="FF0000"/>
            </w:tcBorders>
          </w:tcPr>
          <w:p>
            <w:pPr>
              <w:spacing w:after="0"/>
              <w:rPr>
                <w:sz w:val="11"/>
                <w:szCs w:val="11"/>
                <w:color w:val="auto"/>
              </w:rPr>
            </w:pPr>
          </w:p>
        </w:tc>
        <w:tc>
          <w:tcPr>
            <w:tcW w:w="1240" w:type="dxa"/>
            <w:vAlign w:val="bottom"/>
            <w:tcBorders>
              <w:bottom w:val="single" w:sz="8" w:color="FF0000"/>
            </w:tcBorders>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160" w:type="dxa"/>
            <w:vAlign w:val="bottom"/>
            <w:tcBorders>
              <w:bottom w:val="single" w:sz="8" w:color="FF0000"/>
            </w:tcBorders>
            <w:gridSpan w:val="3"/>
          </w:tcPr>
          <w:p>
            <w:pPr>
              <w:spacing w:after="0" w:line="137" w:lineRule="exact"/>
              <w:rPr>
                <w:sz w:val="20"/>
                <w:szCs w:val="20"/>
                <w:color w:val="auto"/>
              </w:rPr>
            </w:pPr>
            <w:r>
              <w:rPr>
                <w:rFonts w:ascii="Arial" w:cs="Arial" w:eastAsia="Arial" w:hAnsi="Arial"/>
                <w:sz w:val="15"/>
                <w:szCs w:val="15"/>
                <w:b w:val="1"/>
                <w:bCs w:val="1"/>
                <w:color w:val="auto"/>
              </w:rPr>
              <w:t xml:space="preserve">Notes: </w:t>
            </w:r>
            <w:r>
              <w:rPr>
                <w:rFonts w:ascii="Arial" w:cs="Arial" w:eastAsia="Arial" w:hAnsi="Arial"/>
                <w:sz w:val="15"/>
                <w:szCs w:val="15"/>
                <w:color w:val="auto"/>
              </w:rPr>
              <w:t>1) [***].</w:t>
            </w:r>
          </w:p>
        </w:tc>
        <w:tc>
          <w:tcPr>
            <w:tcW w:w="2540" w:type="dxa"/>
            <w:vAlign w:val="bottom"/>
            <w:tcBorders>
              <w:bottom w:val="single" w:sz="8" w:color="FF0000"/>
            </w:tcBorders>
          </w:tcPr>
          <w:p>
            <w:pPr>
              <w:spacing w:after="0"/>
              <w:rPr>
                <w:sz w:val="11"/>
                <w:szCs w:val="11"/>
                <w:color w:val="auto"/>
              </w:rPr>
            </w:pPr>
          </w:p>
        </w:tc>
        <w:tc>
          <w:tcPr>
            <w:tcW w:w="1980" w:type="dxa"/>
            <w:vAlign w:val="bottom"/>
            <w:tcBorders>
              <w:bottom w:val="single" w:sz="8" w:color="FF0000"/>
            </w:tcBorders>
          </w:tcPr>
          <w:p>
            <w:pPr>
              <w:spacing w:after="0"/>
              <w:rPr>
                <w:sz w:val="11"/>
                <w:szCs w:val="11"/>
                <w:color w:val="auto"/>
              </w:rPr>
            </w:pPr>
          </w:p>
        </w:tc>
        <w:tc>
          <w:tcPr>
            <w:tcW w:w="2820" w:type="dxa"/>
            <w:vAlign w:val="bottom"/>
            <w:tcBorders>
              <w:bottom w:val="single" w:sz="8" w:color="FF0000"/>
            </w:tcBorders>
          </w:tcPr>
          <w:p>
            <w:pPr>
              <w:spacing w:after="0"/>
              <w:rPr>
                <w:sz w:val="11"/>
                <w:szCs w:val="11"/>
                <w:color w:val="auto"/>
              </w:rPr>
            </w:pPr>
          </w:p>
        </w:tc>
        <w:tc>
          <w:tcPr>
            <w:tcW w:w="1600" w:type="dxa"/>
            <w:vAlign w:val="bottom"/>
            <w:tcBorders>
              <w:bottom w:val="single" w:sz="8" w:color="FF0000"/>
            </w:tcBorders>
          </w:tcPr>
          <w:p>
            <w:pPr>
              <w:spacing w:after="0"/>
              <w:rPr>
                <w:sz w:val="11"/>
                <w:szCs w:val="11"/>
                <w:color w:val="auto"/>
              </w:rPr>
            </w:pPr>
          </w:p>
        </w:tc>
        <w:tc>
          <w:tcPr>
            <w:tcW w:w="1240" w:type="dxa"/>
            <w:vAlign w:val="bottom"/>
            <w:tcBorders>
              <w:bottom w:val="single" w:sz="8" w:color="FF0000"/>
            </w:tcBorders>
          </w:tcPr>
          <w:p>
            <w:pPr>
              <w:spacing w:after="0"/>
              <w:rPr>
                <w:sz w:val="11"/>
                <w:szCs w:val="11"/>
                <w:color w:val="auto"/>
              </w:rPr>
            </w:pPr>
          </w:p>
        </w:tc>
        <w:tc>
          <w:tcPr>
            <w:tcW w:w="0" w:type="dxa"/>
            <w:vAlign w:val="bottom"/>
          </w:tcPr>
          <w:p>
            <w:pPr>
              <w:spacing w:after="0"/>
              <w:rPr>
                <w:sz w:val="1"/>
                <w:szCs w:val="1"/>
                <w:color w:val="auto"/>
              </w:rPr>
            </w:pPr>
          </w:p>
        </w:tc>
      </w:tr>
      <w:tr>
        <w:trPr>
          <w:trHeight w:val="293"/>
        </w:trPr>
        <w:tc>
          <w:tcPr>
            <w:tcW w:w="500" w:type="dxa"/>
            <w:vAlign w:val="bottom"/>
          </w:tcPr>
          <w:p>
            <w:pPr>
              <w:spacing w:after="0"/>
              <w:rPr>
                <w:sz w:val="20"/>
                <w:szCs w:val="20"/>
                <w:color w:val="auto"/>
              </w:rPr>
            </w:pPr>
            <w:r>
              <w:rPr>
                <w:rFonts w:ascii="Arial" w:cs="Arial" w:eastAsia="Arial" w:hAnsi="Arial"/>
                <w:sz w:val="15"/>
                <w:szCs w:val="15"/>
                <w:color w:val="auto"/>
              </w:rPr>
              <w:t>2) [***].</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940" w:type="dxa"/>
            <w:vAlign w:val="bottom"/>
            <w:tcBorders>
              <w:bottom w:val="single" w:sz="8" w:color="auto"/>
            </w:tcBorders>
            <w:gridSpan w:val="2"/>
          </w:tcPr>
          <w:p>
            <w:pPr>
              <w:spacing w:after="0"/>
              <w:rPr>
                <w:sz w:val="8"/>
                <w:szCs w:val="8"/>
                <w:color w:val="auto"/>
              </w:rPr>
            </w:pPr>
          </w:p>
        </w:tc>
        <w:tc>
          <w:tcPr>
            <w:tcW w:w="1980" w:type="dxa"/>
            <w:vAlign w:val="bottom"/>
            <w:tcBorders>
              <w:bottom w:val="single" w:sz="8" w:color="auto"/>
            </w:tcBorders>
          </w:tcPr>
          <w:p>
            <w:pPr>
              <w:spacing w:after="0"/>
              <w:rPr>
                <w:sz w:val="8"/>
                <w:szCs w:val="8"/>
                <w:color w:val="auto"/>
              </w:rPr>
            </w:pPr>
          </w:p>
        </w:tc>
        <w:tc>
          <w:tcPr>
            <w:tcW w:w="282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3"/>
        </w:trPr>
        <w:tc>
          <w:tcPr>
            <w:tcW w:w="500" w:type="dxa"/>
            <w:vAlign w:val="bottom"/>
            <w:tcBorders>
              <w:left w:val="single" w:sz="8" w:color="auto"/>
              <w:bottom w:val="single" w:sz="8" w:color="D9D9D9"/>
            </w:tcBorders>
            <w:shd w:val="clear" w:color="auto" w:fill="D9D9D9"/>
          </w:tcPr>
          <w:p>
            <w:pPr>
              <w:ind w:left="60"/>
              <w:spacing w:after="0"/>
              <w:rPr>
                <w:sz w:val="20"/>
                <w:szCs w:val="20"/>
                <w:color w:val="auto"/>
              </w:rPr>
            </w:pPr>
            <w:r>
              <w:rPr>
                <w:rFonts w:ascii="Arial" w:cs="Arial" w:eastAsia="Arial" w:hAnsi="Arial"/>
                <w:sz w:val="15"/>
                <w:szCs w:val="15"/>
                <w:b w:val="1"/>
                <w:bCs w:val="1"/>
                <w:color w:val="auto"/>
              </w:rPr>
              <w:t>No.</w:t>
            </w:r>
          </w:p>
        </w:tc>
        <w:tc>
          <w:tcPr>
            <w:tcW w:w="260" w:type="dxa"/>
            <w:vAlign w:val="bottom"/>
            <w:tcBorders>
              <w:bottom w:val="single" w:sz="8" w:color="D9D9D9"/>
              <w:right w:val="single" w:sz="8" w:color="auto"/>
            </w:tcBorders>
            <w:shd w:val="clear" w:color="auto" w:fill="D9D9D9"/>
          </w:tcPr>
          <w:p>
            <w:pPr>
              <w:spacing w:after="0"/>
              <w:rPr>
                <w:sz w:val="24"/>
                <w:szCs w:val="24"/>
                <w:color w:val="auto"/>
              </w:rPr>
            </w:pPr>
          </w:p>
        </w:tc>
        <w:tc>
          <w:tcPr>
            <w:tcW w:w="2940" w:type="dxa"/>
            <w:vAlign w:val="bottom"/>
            <w:tcBorders>
              <w:bottom w:val="single" w:sz="8" w:color="D9D9D9"/>
              <w:right w:val="single" w:sz="8" w:color="D9D9D9"/>
            </w:tcBorders>
            <w:gridSpan w:val="2"/>
            <w:shd w:val="clear" w:color="auto" w:fill="D9D9D9"/>
          </w:tcPr>
          <w:p>
            <w:pPr>
              <w:ind w:left="40"/>
              <w:spacing w:after="0"/>
              <w:rPr>
                <w:sz w:val="20"/>
                <w:szCs w:val="20"/>
                <w:color w:val="auto"/>
              </w:rPr>
            </w:pPr>
            <w:r>
              <w:rPr>
                <w:rFonts w:ascii="Arial" w:cs="Arial" w:eastAsia="Arial" w:hAnsi="Arial"/>
                <w:sz w:val="15"/>
                <w:szCs w:val="15"/>
                <w:b w:val="1"/>
                <w:bCs w:val="1"/>
                <w:color w:val="auto"/>
              </w:rPr>
              <w:t>Procedure</w:t>
            </w:r>
          </w:p>
        </w:tc>
        <w:tc>
          <w:tcPr>
            <w:tcW w:w="1980" w:type="dxa"/>
            <w:vAlign w:val="bottom"/>
            <w:tcBorders>
              <w:bottom w:val="single" w:sz="8" w:color="D9D9D9"/>
              <w:right w:val="single" w:sz="8" w:color="D9D9D9"/>
            </w:tcBorders>
            <w:shd w:val="clear" w:color="auto" w:fill="D9D9D9"/>
          </w:tcPr>
          <w:p>
            <w:pPr>
              <w:spacing w:after="0"/>
              <w:rPr>
                <w:sz w:val="24"/>
                <w:szCs w:val="24"/>
                <w:color w:val="auto"/>
              </w:rPr>
            </w:pPr>
          </w:p>
        </w:tc>
        <w:tc>
          <w:tcPr>
            <w:tcW w:w="2820" w:type="dxa"/>
            <w:vAlign w:val="bottom"/>
            <w:tcBorders>
              <w:bottom w:val="single" w:sz="8" w:color="D9D9D9"/>
              <w:right w:val="single" w:sz="8" w:color="D9D9D9"/>
            </w:tcBorders>
            <w:shd w:val="clear" w:color="auto" w:fill="D9D9D9"/>
          </w:tcPr>
          <w:p>
            <w:pPr>
              <w:spacing w:after="0"/>
              <w:rPr>
                <w:sz w:val="24"/>
                <w:szCs w:val="24"/>
                <w:color w:val="auto"/>
              </w:rPr>
            </w:pPr>
          </w:p>
        </w:tc>
        <w:tc>
          <w:tcPr>
            <w:tcW w:w="1600" w:type="dxa"/>
            <w:vAlign w:val="bottom"/>
            <w:tcBorders>
              <w:bottom w:val="single" w:sz="8" w:color="D9D9D9"/>
              <w:right w:val="single" w:sz="8" w:color="auto"/>
            </w:tcBorders>
            <w:shd w:val="clear" w:color="auto" w:fill="D9D9D9"/>
          </w:tcPr>
          <w:p>
            <w:pPr>
              <w:spacing w:after="0"/>
              <w:rPr>
                <w:sz w:val="24"/>
                <w:szCs w:val="24"/>
                <w:color w:val="auto"/>
              </w:rPr>
            </w:pPr>
          </w:p>
        </w:tc>
        <w:tc>
          <w:tcPr>
            <w:tcW w:w="1240" w:type="dxa"/>
            <w:vAlign w:val="bottom"/>
            <w:tcBorders>
              <w:bottom w:val="single" w:sz="8" w:color="D9D9D9"/>
              <w:right w:val="single" w:sz="8" w:color="auto"/>
            </w:tcBorders>
            <w:shd w:val="clear" w:color="auto" w:fill="D9D9D9"/>
          </w:tcPr>
          <w:p>
            <w:pPr>
              <w:ind w:left="40"/>
              <w:spacing w:after="0"/>
              <w:rPr>
                <w:sz w:val="20"/>
                <w:szCs w:val="20"/>
                <w:color w:val="auto"/>
              </w:rPr>
            </w:pPr>
            <w:r>
              <w:rPr>
                <w:rFonts w:ascii="Arial" w:cs="Arial" w:eastAsia="Arial" w:hAnsi="Arial"/>
                <w:sz w:val="18"/>
                <w:szCs w:val="18"/>
                <w:b w:val="1"/>
                <w:bCs w:val="1"/>
                <w:color w:val="auto"/>
              </w:rPr>
              <w:t>RT</w:t>
            </w:r>
          </w:p>
        </w:tc>
        <w:tc>
          <w:tcPr>
            <w:tcW w:w="0" w:type="dxa"/>
            <w:vAlign w:val="bottom"/>
          </w:tcPr>
          <w:p>
            <w:pPr>
              <w:spacing w:after="0"/>
              <w:rPr>
                <w:sz w:val="1"/>
                <w:szCs w:val="1"/>
                <w:color w:val="auto"/>
              </w:rPr>
            </w:pPr>
          </w:p>
        </w:tc>
      </w:tr>
      <w:tr>
        <w:trPr>
          <w:trHeight w:val="215"/>
        </w:trPr>
        <w:tc>
          <w:tcPr>
            <w:tcW w:w="500" w:type="dxa"/>
            <w:vAlign w:val="bottom"/>
            <w:tcBorders>
              <w:top w:val="single" w:sz="8" w:color="auto"/>
              <w:left w:val="single" w:sz="8" w:color="auto"/>
            </w:tcBorders>
          </w:tcPr>
          <w:p>
            <w:pPr>
              <w:ind w:left="20"/>
              <w:spacing w:after="0"/>
              <w:rPr>
                <w:sz w:val="20"/>
                <w:szCs w:val="20"/>
                <w:color w:val="auto"/>
              </w:rPr>
            </w:pPr>
            <w:r>
              <w:rPr>
                <w:rFonts w:ascii="Arial" w:cs="Arial" w:eastAsia="Arial" w:hAnsi="Arial"/>
                <w:sz w:val="15"/>
                <w:szCs w:val="15"/>
                <w:color w:val="auto"/>
              </w:rPr>
              <w:t>4.1</w:t>
            </w:r>
          </w:p>
        </w:tc>
        <w:tc>
          <w:tcPr>
            <w:tcW w:w="260" w:type="dxa"/>
            <w:vAlign w:val="bottom"/>
            <w:tcBorders>
              <w:top w:val="single" w:sz="8" w:color="auto"/>
              <w:right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54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tcPr>
          <w:p>
            <w:pPr>
              <w:spacing w:after="0"/>
              <w:rPr>
                <w:sz w:val="18"/>
                <w:szCs w:val="18"/>
                <w:color w:val="auto"/>
              </w:rPr>
            </w:pPr>
          </w:p>
        </w:tc>
        <w:tc>
          <w:tcPr>
            <w:tcW w:w="2820" w:type="dxa"/>
            <w:vAlign w:val="bottom"/>
            <w:tcBorders>
              <w:top w:val="single" w:sz="8" w:color="auto"/>
            </w:tcBorders>
          </w:tcPr>
          <w:p>
            <w:pPr>
              <w:spacing w:after="0"/>
              <w:rPr>
                <w:sz w:val="18"/>
                <w:szCs w:val="18"/>
                <w:color w:val="auto"/>
              </w:rPr>
            </w:pPr>
          </w:p>
        </w:tc>
        <w:tc>
          <w:tcPr>
            <w:tcW w:w="1600" w:type="dxa"/>
            <w:vAlign w:val="bottom"/>
            <w:tcBorders>
              <w:top w:val="single" w:sz="8" w:color="auto"/>
              <w:right w:val="single" w:sz="8" w:color="auto"/>
            </w:tcBorders>
          </w:tcPr>
          <w:p>
            <w:pPr>
              <w:spacing w:after="0"/>
              <w:rPr>
                <w:sz w:val="18"/>
                <w:szCs w:val="18"/>
                <w:color w:val="auto"/>
              </w:rPr>
            </w:pPr>
          </w:p>
        </w:tc>
        <w:tc>
          <w:tcPr>
            <w:tcW w:w="124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0" w:type="dxa"/>
            <w:vAlign w:val="bottom"/>
            <w:tcBorders>
              <w:left w:val="single" w:sz="8" w:color="auto"/>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4.2</w:t>
            </w:r>
          </w:p>
        </w:tc>
        <w:tc>
          <w:tcPr>
            <w:tcW w:w="260" w:type="dxa"/>
            <w:vAlign w:val="bottom"/>
            <w:tcBorders>
              <w:right w:val="single" w:sz="8" w:color="auto"/>
            </w:tcBorders>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w:t>
            </w:r>
          </w:p>
        </w:tc>
        <w:tc>
          <w:tcPr>
            <w:tcW w:w="25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0" w:type="dxa"/>
            <w:vAlign w:val="bottom"/>
            <w:tcBorders>
              <w:left w:val="single" w:sz="8" w:color="auto"/>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4.3</w:t>
            </w:r>
          </w:p>
        </w:tc>
        <w:tc>
          <w:tcPr>
            <w:tcW w:w="260" w:type="dxa"/>
            <w:vAlign w:val="bottom"/>
            <w:tcBorders>
              <w:right w:val="single" w:sz="8" w:color="auto"/>
            </w:tcBorders>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w:t>
            </w:r>
          </w:p>
        </w:tc>
        <w:tc>
          <w:tcPr>
            <w:tcW w:w="25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0" w:type="dxa"/>
            <w:vAlign w:val="bottom"/>
            <w:tcBorders>
              <w:left w:val="single" w:sz="8" w:color="auto"/>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4.4</w:t>
            </w:r>
          </w:p>
        </w:tc>
        <w:tc>
          <w:tcPr>
            <w:tcW w:w="260" w:type="dxa"/>
            <w:vAlign w:val="bottom"/>
            <w:tcBorders>
              <w:right w:val="single" w:sz="8" w:color="auto"/>
            </w:tcBorders>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w:t>
            </w:r>
          </w:p>
        </w:tc>
        <w:tc>
          <w:tcPr>
            <w:tcW w:w="25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0" w:type="dxa"/>
            <w:vAlign w:val="bottom"/>
            <w:tcBorders>
              <w:left w:val="single" w:sz="8" w:color="auto"/>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500" w:type="dxa"/>
            <w:vAlign w:val="bottom"/>
            <w:tcBorders>
              <w:bottom w:val="single" w:sz="8" w:color="FF0000"/>
            </w:tcBorders>
          </w:tcPr>
          <w:p>
            <w:pPr>
              <w:spacing w:after="0"/>
              <w:rPr>
                <w:sz w:val="14"/>
                <w:szCs w:val="14"/>
                <w:color w:val="auto"/>
              </w:rPr>
            </w:pPr>
          </w:p>
        </w:tc>
        <w:tc>
          <w:tcPr>
            <w:tcW w:w="660" w:type="dxa"/>
            <w:vAlign w:val="bottom"/>
            <w:tcBorders>
              <w:bottom w:val="single" w:sz="8" w:color="FF0000"/>
            </w:tcBorders>
            <w:gridSpan w:val="2"/>
          </w:tcPr>
          <w:p>
            <w:pPr>
              <w:spacing w:after="0"/>
              <w:rPr>
                <w:sz w:val="14"/>
                <w:szCs w:val="14"/>
                <w:color w:val="auto"/>
              </w:rPr>
            </w:pPr>
          </w:p>
        </w:tc>
        <w:tc>
          <w:tcPr>
            <w:tcW w:w="2540" w:type="dxa"/>
            <w:vAlign w:val="bottom"/>
            <w:tcBorders>
              <w:bottom w:val="single" w:sz="8" w:color="FF0000"/>
            </w:tcBorders>
          </w:tcPr>
          <w:p>
            <w:pPr>
              <w:spacing w:after="0"/>
              <w:rPr>
                <w:sz w:val="14"/>
                <w:szCs w:val="14"/>
                <w:color w:val="auto"/>
              </w:rPr>
            </w:pPr>
          </w:p>
        </w:tc>
        <w:tc>
          <w:tcPr>
            <w:tcW w:w="1980" w:type="dxa"/>
            <w:vAlign w:val="bottom"/>
            <w:tcBorders>
              <w:bottom w:val="single" w:sz="8" w:color="FF0000"/>
            </w:tcBorders>
          </w:tcPr>
          <w:p>
            <w:pPr>
              <w:spacing w:after="0"/>
              <w:rPr>
                <w:sz w:val="14"/>
                <w:szCs w:val="14"/>
                <w:color w:val="auto"/>
              </w:rPr>
            </w:pPr>
          </w:p>
        </w:tc>
        <w:tc>
          <w:tcPr>
            <w:tcW w:w="2820" w:type="dxa"/>
            <w:vAlign w:val="bottom"/>
            <w:tcBorders>
              <w:bottom w:val="single" w:sz="8" w:color="FF0000"/>
            </w:tcBorders>
          </w:tcPr>
          <w:p>
            <w:pPr>
              <w:spacing w:after="0"/>
              <w:rPr>
                <w:sz w:val="14"/>
                <w:szCs w:val="14"/>
                <w:color w:val="auto"/>
              </w:rPr>
            </w:pPr>
          </w:p>
        </w:tc>
        <w:tc>
          <w:tcPr>
            <w:tcW w:w="1600" w:type="dxa"/>
            <w:vAlign w:val="bottom"/>
            <w:tcBorders>
              <w:bottom w:val="single" w:sz="8" w:color="FF0000"/>
            </w:tcBorders>
          </w:tcPr>
          <w:p>
            <w:pPr>
              <w:spacing w:after="0"/>
              <w:rPr>
                <w:sz w:val="14"/>
                <w:szCs w:val="14"/>
                <w:color w:val="auto"/>
              </w:rPr>
            </w:pPr>
          </w:p>
        </w:tc>
        <w:tc>
          <w:tcPr>
            <w:tcW w:w="1240" w:type="dxa"/>
            <w:vAlign w:val="bottom"/>
            <w:tcBorders>
              <w:bottom w:val="single" w:sz="8" w:color="FF0000"/>
            </w:tcBorders>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500" w:type="dxa"/>
            <w:vAlign w:val="bottom"/>
            <w:tcBorders>
              <w:bottom w:val="single" w:sz="8" w:color="FF0000"/>
            </w:tcBorders>
          </w:tcPr>
          <w:p>
            <w:pPr>
              <w:spacing w:after="0" w:line="137" w:lineRule="exact"/>
              <w:rPr>
                <w:sz w:val="20"/>
                <w:szCs w:val="20"/>
                <w:color w:val="auto"/>
              </w:rPr>
            </w:pPr>
            <w:r>
              <w:rPr>
                <w:rFonts w:ascii="Arial" w:cs="Arial" w:eastAsia="Arial" w:hAnsi="Arial"/>
                <w:sz w:val="15"/>
                <w:szCs w:val="15"/>
                <w:b w:val="1"/>
                <w:bCs w:val="1"/>
                <w:color w:val="auto"/>
              </w:rPr>
              <w:t>Note:</w:t>
            </w:r>
          </w:p>
        </w:tc>
        <w:tc>
          <w:tcPr>
            <w:tcW w:w="660" w:type="dxa"/>
            <w:vAlign w:val="bottom"/>
            <w:tcBorders>
              <w:bottom w:val="single" w:sz="8" w:color="FF0000"/>
            </w:tcBorders>
            <w:gridSpan w:val="2"/>
          </w:tcPr>
          <w:p>
            <w:pPr>
              <w:ind w:left="40"/>
              <w:spacing w:after="0" w:line="137" w:lineRule="exact"/>
              <w:rPr>
                <w:sz w:val="20"/>
                <w:szCs w:val="20"/>
                <w:color w:val="auto"/>
              </w:rPr>
            </w:pPr>
            <w:r>
              <w:rPr>
                <w:rFonts w:ascii="Arial" w:cs="Arial" w:eastAsia="Arial" w:hAnsi="Arial"/>
                <w:sz w:val="15"/>
                <w:szCs w:val="15"/>
                <w:color w:val="auto"/>
              </w:rPr>
              <w:t>[***].</w:t>
            </w:r>
          </w:p>
        </w:tc>
        <w:tc>
          <w:tcPr>
            <w:tcW w:w="2540" w:type="dxa"/>
            <w:vAlign w:val="bottom"/>
            <w:tcBorders>
              <w:bottom w:val="single" w:sz="8" w:color="FF0000"/>
            </w:tcBorders>
          </w:tcPr>
          <w:p>
            <w:pPr>
              <w:spacing w:after="0"/>
              <w:rPr>
                <w:sz w:val="11"/>
                <w:szCs w:val="11"/>
                <w:color w:val="auto"/>
              </w:rPr>
            </w:pPr>
          </w:p>
        </w:tc>
        <w:tc>
          <w:tcPr>
            <w:tcW w:w="1980" w:type="dxa"/>
            <w:vAlign w:val="bottom"/>
            <w:tcBorders>
              <w:bottom w:val="single" w:sz="8" w:color="FF0000"/>
            </w:tcBorders>
          </w:tcPr>
          <w:p>
            <w:pPr>
              <w:spacing w:after="0"/>
              <w:rPr>
                <w:sz w:val="11"/>
                <w:szCs w:val="11"/>
                <w:color w:val="auto"/>
              </w:rPr>
            </w:pPr>
          </w:p>
        </w:tc>
        <w:tc>
          <w:tcPr>
            <w:tcW w:w="2820" w:type="dxa"/>
            <w:vAlign w:val="bottom"/>
            <w:tcBorders>
              <w:bottom w:val="single" w:sz="8" w:color="FF0000"/>
            </w:tcBorders>
          </w:tcPr>
          <w:p>
            <w:pPr>
              <w:spacing w:after="0"/>
              <w:rPr>
                <w:sz w:val="11"/>
                <w:szCs w:val="11"/>
                <w:color w:val="auto"/>
              </w:rPr>
            </w:pPr>
          </w:p>
        </w:tc>
        <w:tc>
          <w:tcPr>
            <w:tcW w:w="1600" w:type="dxa"/>
            <w:vAlign w:val="bottom"/>
            <w:tcBorders>
              <w:bottom w:val="single" w:sz="8" w:color="FF0000"/>
            </w:tcBorders>
          </w:tcPr>
          <w:p>
            <w:pPr>
              <w:spacing w:after="0"/>
              <w:rPr>
                <w:sz w:val="11"/>
                <w:szCs w:val="11"/>
                <w:color w:val="auto"/>
              </w:rPr>
            </w:pPr>
          </w:p>
        </w:tc>
        <w:tc>
          <w:tcPr>
            <w:tcW w:w="1240" w:type="dxa"/>
            <w:vAlign w:val="bottom"/>
            <w:tcBorders>
              <w:bottom w:val="single" w:sz="8" w:color="FF0000"/>
            </w:tcBorders>
          </w:tcPr>
          <w:p>
            <w:pPr>
              <w:spacing w:after="0"/>
              <w:rPr>
                <w:sz w:val="11"/>
                <w:szCs w:val="11"/>
                <w:color w:val="auto"/>
              </w:rPr>
            </w:pPr>
          </w:p>
        </w:tc>
        <w:tc>
          <w:tcPr>
            <w:tcW w:w="0" w:type="dxa"/>
            <w:vAlign w:val="bottom"/>
          </w:tcPr>
          <w:p>
            <w:pPr>
              <w:spacing w:after="0"/>
              <w:rPr>
                <w:sz w:val="1"/>
                <w:szCs w:val="1"/>
                <w:color w:val="auto"/>
              </w:rPr>
            </w:pPr>
          </w:p>
        </w:tc>
      </w:tr>
      <w:tr>
        <w:trPr>
          <w:trHeight w:val="372"/>
        </w:trPr>
        <w:tc>
          <w:tcPr>
            <w:tcW w:w="500" w:type="dxa"/>
            <w:vAlign w:val="bottom"/>
          </w:tcPr>
          <w:p>
            <w:pPr>
              <w:spacing w:after="0"/>
              <w:rPr>
                <w:sz w:val="20"/>
                <w:szCs w:val="20"/>
                <w:color w:val="auto"/>
              </w:rPr>
            </w:pPr>
            <w:r>
              <w:rPr>
                <w:rFonts w:ascii="Arial" w:cs="Arial" w:eastAsia="Arial" w:hAnsi="Arial"/>
                <w:sz w:val="15"/>
                <w:szCs w:val="15"/>
                <w:color w:val="auto"/>
              </w:rPr>
              <w:t>5.</w:t>
            </w:r>
          </w:p>
        </w:tc>
        <w:tc>
          <w:tcPr>
            <w:tcW w:w="3200" w:type="dxa"/>
            <w:vAlign w:val="bottom"/>
            <w:gridSpan w:val="3"/>
            <w:vMerge w:val="restart"/>
          </w:tcPr>
          <w:p>
            <w:pPr>
              <w:ind w:left="40"/>
              <w:spacing w:after="0"/>
              <w:rPr>
                <w:sz w:val="20"/>
                <w:szCs w:val="20"/>
                <w:color w:val="auto"/>
              </w:rPr>
            </w:pPr>
            <w:r>
              <w:rPr>
                <w:rFonts w:ascii="Arial" w:cs="Arial" w:eastAsia="Arial" w:hAnsi="Arial"/>
                <w:sz w:val="15"/>
                <w:szCs w:val="15"/>
                <w:b w:val="1"/>
                <w:bCs w:val="1"/>
                <w:color w:val="auto"/>
              </w:rPr>
              <w:t>Spraying Tests</w:t>
            </w:r>
          </w:p>
        </w:tc>
        <w:tc>
          <w:tcPr>
            <w:tcW w:w="19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00" w:type="dxa"/>
            <w:vAlign w:val="bottom"/>
          </w:tcPr>
          <w:p>
            <w:pPr>
              <w:spacing w:after="0"/>
              <w:rPr>
                <w:sz w:val="9"/>
                <w:szCs w:val="9"/>
                <w:color w:val="auto"/>
              </w:rPr>
            </w:pPr>
          </w:p>
        </w:tc>
        <w:tc>
          <w:tcPr>
            <w:tcW w:w="3200" w:type="dxa"/>
            <w:vAlign w:val="bottom"/>
            <w:gridSpan w:val="3"/>
            <w:vMerge w:val="continue"/>
          </w:tcPr>
          <w:p>
            <w:pPr>
              <w:spacing w:after="0"/>
              <w:rPr>
                <w:sz w:val="9"/>
                <w:szCs w:val="9"/>
                <w:color w:val="auto"/>
              </w:rPr>
            </w:pPr>
          </w:p>
        </w:tc>
        <w:tc>
          <w:tcPr>
            <w:tcW w:w="1980" w:type="dxa"/>
            <w:vAlign w:val="bottom"/>
          </w:tcPr>
          <w:p>
            <w:pPr>
              <w:spacing w:after="0"/>
              <w:rPr>
                <w:sz w:val="9"/>
                <w:szCs w:val="9"/>
                <w:color w:val="auto"/>
              </w:rPr>
            </w:pPr>
          </w:p>
        </w:tc>
        <w:tc>
          <w:tcPr>
            <w:tcW w:w="28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00" w:type="dxa"/>
            <w:vAlign w:val="bottom"/>
            <w:tcBorders>
              <w:bottom w:val="single" w:sz="8" w:color="FF0000"/>
            </w:tcBorders>
          </w:tcPr>
          <w:p>
            <w:pPr>
              <w:spacing w:after="0"/>
              <w:rPr>
                <w:sz w:val="11"/>
                <w:szCs w:val="11"/>
                <w:color w:val="auto"/>
              </w:rPr>
            </w:pPr>
          </w:p>
        </w:tc>
        <w:tc>
          <w:tcPr>
            <w:tcW w:w="660" w:type="dxa"/>
            <w:vAlign w:val="bottom"/>
            <w:tcBorders>
              <w:bottom w:val="single" w:sz="8" w:color="FF0000"/>
            </w:tcBorders>
            <w:gridSpan w:val="2"/>
          </w:tcPr>
          <w:p>
            <w:pPr>
              <w:spacing w:after="0"/>
              <w:rPr>
                <w:sz w:val="11"/>
                <w:szCs w:val="11"/>
                <w:color w:val="auto"/>
              </w:rPr>
            </w:pPr>
          </w:p>
        </w:tc>
        <w:tc>
          <w:tcPr>
            <w:tcW w:w="2540" w:type="dxa"/>
            <w:vAlign w:val="bottom"/>
            <w:tcBorders>
              <w:bottom w:val="single" w:sz="8" w:color="FF0000"/>
            </w:tcBorders>
          </w:tcPr>
          <w:p>
            <w:pPr>
              <w:spacing w:after="0"/>
              <w:rPr>
                <w:sz w:val="11"/>
                <w:szCs w:val="11"/>
                <w:color w:val="auto"/>
              </w:rPr>
            </w:pPr>
          </w:p>
        </w:tc>
        <w:tc>
          <w:tcPr>
            <w:tcW w:w="1980" w:type="dxa"/>
            <w:vAlign w:val="bottom"/>
            <w:tcBorders>
              <w:bottom w:val="single" w:sz="8" w:color="FF0000"/>
            </w:tcBorders>
          </w:tcPr>
          <w:p>
            <w:pPr>
              <w:spacing w:after="0"/>
              <w:rPr>
                <w:sz w:val="11"/>
                <w:szCs w:val="11"/>
                <w:color w:val="auto"/>
              </w:rPr>
            </w:pPr>
          </w:p>
        </w:tc>
        <w:tc>
          <w:tcPr>
            <w:tcW w:w="2820" w:type="dxa"/>
            <w:vAlign w:val="bottom"/>
            <w:tcBorders>
              <w:bottom w:val="single" w:sz="8" w:color="FF0000"/>
            </w:tcBorders>
          </w:tcPr>
          <w:p>
            <w:pPr>
              <w:spacing w:after="0"/>
              <w:rPr>
                <w:sz w:val="11"/>
                <w:szCs w:val="11"/>
                <w:color w:val="auto"/>
              </w:rPr>
            </w:pPr>
          </w:p>
        </w:tc>
        <w:tc>
          <w:tcPr>
            <w:tcW w:w="1600" w:type="dxa"/>
            <w:vAlign w:val="bottom"/>
            <w:tcBorders>
              <w:bottom w:val="single" w:sz="8" w:color="FF0000"/>
            </w:tcBorders>
          </w:tcPr>
          <w:p>
            <w:pPr>
              <w:spacing w:after="0"/>
              <w:rPr>
                <w:sz w:val="11"/>
                <w:szCs w:val="11"/>
                <w:color w:val="auto"/>
              </w:rPr>
            </w:pPr>
          </w:p>
        </w:tc>
        <w:tc>
          <w:tcPr>
            <w:tcW w:w="1240" w:type="dxa"/>
            <w:vAlign w:val="bottom"/>
            <w:tcBorders>
              <w:bottom w:val="single" w:sz="8" w:color="FF0000"/>
            </w:tcBorders>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00" w:type="dxa"/>
            <w:vAlign w:val="bottom"/>
            <w:tcBorders>
              <w:bottom w:val="single" w:sz="8" w:color="FF0000"/>
            </w:tcBorders>
          </w:tcPr>
          <w:p>
            <w:pPr>
              <w:spacing w:after="0" w:line="137" w:lineRule="exact"/>
              <w:rPr>
                <w:sz w:val="20"/>
                <w:szCs w:val="20"/>
                <w:color w:val="auto"/>
              </w:rPr>
            </w:pPr>
            <w:r>
              <w:rPr>
                <w:rFonts w:ascii="Arial" w:cs="Arial" w:eastAsia="Arial" w:hAnsi="Arial"/>
                <w:sz w:val="15"/>
                <w:szCs w:val="15"/>
                <w:b w:val="1"/>
                <w:bCs w:val="1"/>
                <w:color w:val="auto"/>
              </w:rPr>
              <w:t>Note:</w:t>
            </w:r>
          </w:p>
        </w:tc>
        <w:tc>
          <w:tcPr>
            <w:tcW w:w="660" w:type="dxa"/>
            <w:vAlign w:val="bottom"/>
            <w:tcBorders>
              <w:bottom w:val="single" w:sz="8" w:color="FF0000"/>
            </w:tcBorders>
            <w:gridSpan w:val="2"/>
          </w:tcPr>
          <w:p>
            <w:pPr>
              <w:ind w:left="40"/>
              <w:spacing w:after="0" w:line="137" w:lineRule="exact"/>
              <w:rPr>
                <w:sz w:val="20"/>
                <w:szCs w:val="20"/>
                <w:color w:val="auto"/>
              </w:rPr>
            </w:pPr>
            <w:r>
              <w:rPr>
                <w:rFonts w:ascii="Arial" w:cs="Arial" w:eastAsia="Arial" w:hAnsi="Arial"/>
                <w:sz w:val="15"/>
                <w:szCs w:val="15"/>
                <w:color w:val="auto"/>
              </w:rPr>
              <w:t>[***].</w:t>
            </w:r>
          </w:p>
        </w:tc>
        <w:tc>
          <w:tcPr>
            <w:tcW w:w="2540" w:type="dxa"/>
            <w:vAlign w:val="bottom"/>
            <w:tcBorders>
              <w:bottom w:val="single" w:sz="8" w:color="FF0000"/>
            </w:tcBorders>
          </w:tcPr>
          <w:p>
            <w:pPr>
              <w:spacing w:after="0"/>
              <w:rPr>
                <w:sz w:val="11"/>
                <w:szCs w:val="11"/>
                <w:color w:val="auto"/>
              </w:rPr>
            </w:pPr>
          </w:p>
        </w:tc>
        <w:tc>
          <w:tcPr>
            <w:tcW w:w="1980" w:type="dxa"/>
            <w:vAlign w:val="bottom"/>
            <w:tcBorders>
              <w:bottom w:val="single" w:sz="8" w:color="FF0000"/>
            </w:tcBorders>
          </w:tcPr>
          <w:p>
            <w:pPr>
              <w:spacing w:after="0"/>
              <w:rPr>
                <w:sz w:val="11"/>
                <w:szCs w:val="11"/>
                <w:color w:val="auto"/>
              </w:rPr>
            </w:pPr>
          </w:p>
        </w:tc>
        <w:tc>
          <w:tcPr>
            <w:tcW w:w="2820" w:type="dxa"/>
            <w:vAlign w:val="bottom"/>
            <w:tcBorders>
              <w:bottom w:val="single" w:sz="8" w:color="FF0000"/>
            </w:tcBorders>
          </w:tcPr>
          <w:p>
            <w:pPr>
              <w:spacing w:after="0"/>
              <w:rPr>
                <w:sz w:val="11"/>
                <w:szCs w:val="11"/>
                <w:color w:val="auto"/>
              </w:rPr>
            </w:pPr>
          </w:p>
        </w:tc>
        <w:tc>
          <w:tcPr>
            <w:tcW w:w="1600" w:type="dxa"/>
            <w:vAlign w:val="bottom"/>
            <w:tcBorders>
              <w:bottom w:val="single" w:sz="8" w:color="FF0000"/>
            </w:tcBorders>
          </w:tcPr>
          <w:p>
            <w:pPr>
              <w:spacing w:after="0"/>
              <w:rPr>
                <w:sz w:val="11"/>
                <w:szCs w:val="11"/>
                <w:color w:val="auto"/>
              </w:rPr>
            </w:pPr>
          </w:p>
        </w:tc>
        <w:tc>
          <w:tcPr>
            <w:tcW w:w="1240" w:type="dxa"/>
            <w:vAlign w:val="bottom"/>
            <w:tcBorders>
              <w:bottom w:val="single" w:sz="8" w:color="FF0000"/>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5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940" w:type="dxa"/>
            <w:vAlign w:val="bottom"/>
            <w:tcBorders>
              <w:bottom w:val="single" w:sz="8" w:color="auto"/>
            </w:tcBorders>
            <w:gridSpan w:val="2"/>
          </w:tcPr>
          <w:p>
            <w:pPr>
              <w:spacing w:after="0"/>
              <w:rPr>
                <w:sz w:val="9"/>
                <w:szCs w:val="9"/>
                <w:color w:val="auto"/>
              </w:rPr>
            </w:pPr>
          </w:p>
        </w:tc>
        <w:tc>
          <w:tcPr>
            <w:tcW w:w="1980" w:type="dxa"/>
            <w:vAlign w:val="bottom"/>
            <w:tcBorders>
              <w:bottom w:val="single" w:sz="8" w:color="auto"/>
            </w:tcBorders>
          </w:tcPr>
          <w:p>
            <w:pPr>
              <w:spacing w:after="0"/>
              <w:rPr>
                <w:sz w:val="9"/>
                <w:szCs w:val="9"/>
                <w:color w:val="auto"/>
              </w:rPr>
            </w:pPr>
          </w:p>
        </w:tc>
        <w:tc>
          <w:tcPr>
            <w:tcW w:w="282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33"/>
        </w:trPr>
        <w:tc>
          <w:tcPr>
            <w:tcW w:w="500" w:type="dxa"/>
            <w:vAlign w:val="bottom"/>
            <w:tcBorders>
              <w:left w:val="single" w:sz="8" w:color="auto"/>
              <w:bottom w:val="single" w:sz="8" w:color="D9D9D9"/>
            </w:tcBorders>
            <w:shd w:val="clear" w:color="auto" w:fill="D9D9D9"/>
          </w:tcPr>
          <w:p>
            <w:pPr>
              <w:ind w:left="60"/>
              <w:spacing w:after="0"/>
              <w:rPr>
                <w:sz w:val="20"/>
                <w:szCs w:val="20"/>
                <w:color w:val="auto"/>
              </w:rPr>
            </w:pPr>
            <w:r>
              <w:rPr>
                <w:rFonts w:ascii="Arial" w:cs="Arial" w:eastAsia="Arial" w:hAnsi="Arial"/>
                <w:sz w:val="15"/>
                <w:szCs w:val="15"/>
                <w:b w:val="1"/>
                <w:bCs w:val="1"/>
                <w:color w:val="auto"/>
              </w:rPr>
              <w:t>No.</w:t>
            </w:r>
          </w:p>
        </w:tc>
        <w:tc>
          <w:tcPr>
            <w:tcW w:w="260" w:type="dxa"/>
            <w:vAlign w:val="bottom"/>
            <w:tcBorders>
              <w:bottom w:val="single" w:sz="8" w:color="D9D9D9"/>
              <w:right w:val="single" w:sz="8" w:color="auto"/>
            </w:tcBorders>
            <w:shd w:val="clear" w:color="auto" w:fill="D9D9D9"/>
          </w:tcPr>
          <w:p>
            <w:pPr>
              <w:spacing w:after="0"/>
              <w:rPr>
                <w:sz w:val="24"/>
                <w:szCs w:val="24"/>
                <w:color w:val="auto"/>
              </w:rPr>
            </w:pPr>
          </w:p>
        </w:tc>
        <w:tc>
          <w:tcPr>
            <w:tcW w:w="2940" w:type="dxa"/>
            <w:vAlign w:val="bottom"/>
            <w:tcBorders>
              <w:bottom w:val="single" w:sz="8" w:color="D9D9D9"/>
              <w:right w:val="single" w:sz="8" w:color="D9D9D9"/>
            </w:tcBorders>
            <w:gridSpan w:val="2"/>
            <w:shd w:val="clear" w:color="auto" w:fill="D9D9D9"/>
          </w:tcPr>
          <w:p>
            <w:pPr>
              <w:ind w:left="40"/>
              <w:spacing w:after="0"/>
              <w:rPr>
                <w:sz w:val="20"/>
                <w:szCs w:val="20"/>
                <w:color w:val="auto"/>
              </w:rPr>
            </w:pPr>
            <w:r>
              <w:rPr>
                <w:rFonts w:ascii="Arial" w:cs="Arial" w:eastAsia="Arial" w:hAnsi="Arial"/>
                <w:sz w:val="15"/>
                <w:szCs w:val="15"/>
                <w:b w:val="1"/>
                <w:bCs w:val="1"/>
                <w:color w:val="auto"/>
              </w:rPr>
              <w:t>Procedure</w:t>
            </w:r>
          </w:p>
        </w:tc>
        <w:tc>
          <w:tcPr>
            <w:tcW w:w="1980" w:type="dxa"/>
            <w:vAlign w:val="bottom"/>
            <w:tcBorders>
              <w:bottom w:val="single" w:sz="8" w:color="D9D9D9"/>
              <w:right w:val="single" w:sz="8" w:color="D9D9D9"/>
            </w:tcBorders>
            <w:shd w:val="clear" w:color="auto" w:fill="D9D9D9"/>
          </w:tcPr>
          <w:p>
            <w:pPr>
              <w:spacing w:after="0"/>
              <w:rPr>
                <w:sz w:val="24"/>
                <w:szCs w:val="24"/>
                <w:color w:val="auto"/>
              </w:rPr>
            </w:pPr>
          </w:p>
        </w:tc>
        <w:tc>
          <w:tcPr>
            <w:tcW w:w="2820" w:type="dxa"/>
            <w:vAlign w:val="bottom"/>
            <w:tcBorders>
              <w:bottom w:val="single" w:sz="8" w:color="D9D9D9"/>
              <w:right w:val="single" w:sz="8" w:color="D9D9D9"/>
            </w:tcBorders>
            <w:shd w:val="clear" w:color="auto" w:fill="D9D9D9"/>
          </w:tcPr>
          <w:p>
            <w:pPr>
              <w:spacing w:after="0"/>
              <w:rPr>
                <w:sz w:val="24"/>
                <w:szCs w:val="24"/>
                <w:color w:val="auto"/>
              </w:rPr>
            </w:pPr>
          </w:p>
        </w:tc>
        <w:tc>
          <w:tcPr>
            <w:tcW w:w="1600" w:type="dxa"/>
            <w:vAlign w:val="bottom"/>
            <w:tcBorders>
              <w:bottom w:val="single" w:sz="8" w:color="D9D9D9"/>
              <w:right w:val="single" w:sz="8" w:color="auto"/>
            </w:tcBorders>
            <w:shd w:val="clear" w:color="auto" w:fill="D9D9D9"/>
          </w:tcPr>
          <w:p>
            <w:pPr>
              <w:spacing w:after="0"/>
              <w:rPr>
                <w:sz w:val="24"/>
                <w:szCs w:val="24"/>
                <w:color w:val="auto"/>
              </w:rPr>
            </w:pPr>
          </w:p>
        </w:tc>
        <w:tc>
          <w:tcPr>
            <w:tcW w:w="1240" w:type="dxa"/>
            <w:vAlign w:val="bottom"/>
            <w:tcBorders>
              <w:bottom w:val="single" w:sz="8" w:color="D9D9D9"/>
              <w:right w:val="single" w:sz="8" w:color="auto"/>
            </w:tcBorders>
            <w:shd w:val="clear" w:color="auto" w:fill="D9D9D9"/>
          </w:tcPr>
          <w:p>
            <w:pPr>
              <w:ind w:left="40"/>
              <w:spacing w:after="0"/>
              <w:rPr>
                <w:sz w:val="20"/>
                <w:szCs w:val="20"/>
                <w:color w:val="auto"/>
              </w:rPr>
            </w:pPr>
            <w:r>
              <w:rPr>
                <w:rFonts w:ascii="Arial" w:cs="Arial" w:eastAsia="Arial" w:hAnsi="Arial"/>
                <w:sz w:val="18"/>
                <w:szCs w:val="18"/>
                <w:b w:val="1"/>
                <w:bCs w:val="1"/>
                <w:color w:val="auto"/>
              </w:rPr>
              <w:t>RT</w:t>
            </w:r>
          </w:p>
        </w:tc>
        <w:tc>
          <w:tcPr>
            <w:tcW w:w="0" w:type="dxa"/>
            <w:vAlign w:val="bottom"/>
          </w:tcPr>
          <w:p>
            <w:pPr>
              <w:spacing w:after="0"/>
              <w:rPr>
                <w:sz w:val="1"/>
                <w:szCs w:val="1"/>
                <w:color w:val="auto"/>
              </w:rPr>
            </w:pPr>
          </w:p>
        </w:tc>
      </w:tr>
      <w:tr>
        <w:trPr>
          <w:trHeight w:val="215"/>
        </w:trPr>
        <w:tc>
          <w:tcPr>
            <w:tcW w:w="500" w:type="dxa"/>
            <w:vAlign w:val="bottom"/>
            <w:tcBorders>
              <w:top w:val="single" w:sz="8" w:color="auto"/>
              <w:left w:val="single" w:sz="8" w:color="auto"/>
            </w:tcBorders>
          </w:tcPr>
          <w:p>
            <w:pPr>
              <w:ind w:left="20"/>
              <w:spacing w:after="0"/>
              <w:rPr>
                <w:sz w:val="20"/>
                <w:szCs w:val="20"/>
                <w:color w:val="auto"/>
              </w:rPr>
            </w:pPr>
            <w:r>
              <w:rPr>
                <w:rFonts w:ascii="Arial" w:cs="Arial" w:eastAsia="Arial" w:hAnsi="Arial"/>
                <w:sz w:val="15"/>
                <w:szCs w:val="15"/>
                <w:color w:val="auto"/>
              </w:rPr>
              <w:t>5.1</w:t>
            </w:r>
          </w:p>
        </w:tc>
        <w:tc>
          <w:tcPr>
            <w:tcW w:w="260" w:type="dxa"/>
            <w:vAlign w:val="bottom"/>
            <w:tcBorders>
              <w:top w:val="single" w:sz="8" w:color="auto"/>
              <w:right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54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tcPr>
          <w:p>
            <w:pPr>
              <w:spacing w:after="0"/>
              <w:rPr>
                <w:sz w:val="18"/>
                <w:szCs w:val="18"/>
                <w:color w:val="auto"/>
              </w:rPr>
            </w:pPr>
          </w:p>
        </w:tc>
        <w:tc>
          <w:tcPr>
            <w:tcW w:w="2820" w:type="dxa"/>
            <w:vAlign w:val="bottom"/>
            <w:tcBorders>
              <w:top w:val="single" w:sz="8" w:color="auto"/>
            </w:tcBorders>
          </w:tcPr>
          <w:p>
            <w:pPr>
              <w:spacing w:after="0"/>
              <w:rPr>
                <w:sz w:val="18"/>
                <w:szCs w:val="18"/>
                <w:color w:val="auto"/>
              </w:rPr>
            </w:pPr>
          </w:p>
        </w:tc>
        <w:tc>
          <w:tcPr>
            <w:tcW w:w="1600" w:type="dxa"/>
            <w:vAlign w:val="bottom"/>
            <w:tcBorders>
              <w:top w:val="single" w:sz="8" w:color="auto"/>
              <w:right w:val="single" w:sz="8" w:color="auto"/>
            </w:tcBorders>
          </w:tcPr>
          <w:p>
            <w:pPr>
              <w:spacing w:after="0"/>
              <w:rPr>
                <w:sz w:val="18"/>
                <w:szCs w:val="18"/>
                <w:color w:val="auto"/>
              </w:rPr>
            </w:pPr>
          </w:p>
        </w:tc>
        <w:tc>
          <w:tcPr>
            <w:tcW w:w="124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0" w:type="dxa"/>
            <w:vAlign w:val="bottom"/>
            <w:tcBorders>
              <w:lef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 w:type="dxa"/>
            <w:vAlign w:val="bottom"/>
            <w:tcBorders>
              <w:lef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5"/>
                <w:szCs w:val="15"/>
                <w:color w:val="auto"/>
              </w:rPr>
              <w:t>a.</w:t>
            </w:r>
          </w:p>
        </w:tc>
        <w:tc>
          <w:tcPr>
            <w:tcW w:w="2540" w:type="dxa"/>
            <w:vAlign w:val="bottom"/>
          </w:tcPr>
          <w:p>
            <w:pPr>
              <w:jc w:val="right"/>
              <w:ind w:right="2105"/>
              <w:spacing w:after="0"/>
              <w:rPr>
                <w:sz w:val="20"/>
                <w:szCs w:val="20"/>
                <w:color w:val="auto"/>
              </w:rPr>
            </w:pPr>
            <w:r>
              <w:rPr>
                <w:rFonts w:ascii="Arial" w:cs="Arial" w:eastAsia="Arial" w:hAnsi="Arial"/>
                <w:sz w:val="15"/>
                <w:szCs w:val="15"/>
                <w:color w:val="auto"/>
              </w:rPr>
              <w:t>[***].</w:t>
            </w: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00" w:type="dxa"/>
            <w:vAlign w:val="bottom"/>
            <w:tcBorders>
              <w:left w:val="single" w:sz="8" w:color="auto"/>
            </w:tcBorders>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54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500" w:type="dxa"/>
            <w:vAlign w:val="bottom"/>
            <w:tcBorders>
              <w:lef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5"/>
                <w:szCs w:val="15"/>
                <w:color w:val="auto"/>
              </w:rPr>
              <w:t>b.</w:t>
            </w:r>
          </w:p>
        </w:tc>
        <w:tc>
          <w:tcPr>
            <w:tcW w:w="2540" w:type="dxa"/>
            <w:vAlign w:val="bottom"/>
          </w:tcPr>
          <w:p>
            <w:pPr>
              <w:jc w:val="right"/>
              <w:ind w:right="2145"/>
              <w:spacing w:after="0"/>
              <w:rPr>
                <w:sz w:val="20"/>
                <w:szCs w:val="20"/>
                <w:color w:val="auto"/>
              </w:rPr>
            </w:pPr>
            <w:r>
              <w:rPr>
                <w:rFonts w:ascii="Arial" w:cs="Arial" w:eastAsia="Arial" w:hAnsi="Arial"/>
                <w:sz w:val="15"/>
                <w:szCs w:val="15"/>
                <w:color w:val="auto"/>
                <w:w w:val="99"/>
              </w:rPr>
              <w:t>[***].</w:t>
            </w: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00" w:type="dxa"/>
            <w:vAlign w:val="bottom"/>
            <w:tcBorders>
              <w:left w:val="single" w:sz="8" w:color="auto"/>
            </w:tcBorders>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54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500" w:type="dxa"/>
            <w:vAlign w:val="bottom"/>
            <w:tcBorders>
              <w:lef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5"/>
                <w:szCs w:val="15"/>
                <w:color w:val="auto"/>
              </w:rPr>
              <w:t>c.</w:t>
            </w:r>
          </w:p>
        </w:tc>
        <w:tc>
          <w:tcPr>
            <w:tcW w:w="2540" w:type="dxa"/>
            <w:vAlign w:val="bottom"/>
          </w:tcPr>
          <w:p>
            <w:pPr>
              <w:jc w:val="right"/>
              <w:ind w:right="2105"/>
              <w:spacing w:after="0"/>
              <w:rPr>
                <w:sz w:val="20"/>
                <w:szCs w:val="20"/>
                <w:color w:val="auto"/>
              </w:rPr>
            </w:pPr>
            <w:r>
              <w:rPr>
                <w:rFonts w:ascii="Arial" w:cs="Arial" w:eastAsia="Arial" w:hAnsi="Arial"/>
                <w:sz w:val="15"/>
                <w:szCs w:val="15"/>
                <w:color w:val="auto"/>
              </w:rPr>
              <w:t>[***].</w:t>
            </w: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00" w:type="dxa"/>
            <w:vAlign w:val="bottom"/>
            <w:tcBorders>
              <w:left w:val="single" w:sz="8" w:color="auto"/>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54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50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5.2</w:t>
            </w:r>
          </w:p>
        </w:tc>
        <w:tc>
          <w:tcPr>
            <w:tcW w:w="260" w:type="dxa"/>
            <w:vAlign w:val="bottom"/>
            <w:tcBorders>
              <w:right w:val="single" w:sz="8" w:color="auto"/>
            </w:tcBorders>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w:t>
            </w:r>
          </w:p>
        </w:tc>
        <w:tc>
          <w:tcPr>
            <w:tcW w:w="25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0" w:type="dxa"/>
            <w:vAlign w:val="bottom"/>
            <w:tcBorders>
              <w:left w:val="single" w:sz="8" w:color="auto"/>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5.3</w:t>
            </w:r>
          </w:p>
        </w:tc>
        <w:tc>
          <w:tcPr>
            <w:tcW w:w="260" w:type="dxa"/>
            <w:vAlign w:val="bottom"/>
            <w:tcBorders>
              <w:right w:val="single" w:sz="8" w:color="auto"/>
            </w:tcBorders>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w:t>
            </w:r>
          </w:p>
        </w:tc>
        <w:tc>
          <w:tcPr>
            <w:tcW w:w="25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0" w:type="dxa"/>
            <w:vAlign w:val="bottom"/>
            <w:tcBorders>
              <w:left w:val="single" w:sz="8" w:color="auto"/>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5.4</w:t>
            </w:r>
          </w:p>
        </w:tc>
        <w:tc>
          <w:tcPr>
            <w:tcW w:w="260" w:type="dxa"/>
            <w:vAlign w:val="bottom"/>
            <w:tcBorders>
              <w:right w:val="single" w:sz="8" w:color="auto"/>
            </w:tcBorders>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w:t>
            </w:r>
          </w:p>
        </w:tc>
        <w:tc>
          <w:tcPr>
            <w:tcW w:w="25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0" w:type="dxa"/>
            <w:vAlign w:val="bottom"/>
            <w:tcBorders>
              <w:left w:val="single" w:sz="8" w:color="auto"/>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5.5</w:t>
            </w:r>
          </w:p>
        </w:tc>
        <w:tc>
          <w:tcPr>
            <w:tcW w:w="260" w:type="dxa"/>
            <w:vAlign w:val="bottom"/>
            <w:tcBorders>
              <w:right w:val="single" w:sz="8" w:color="auto"/>
            </w:tcBorders>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w:t>
            </w:r>
          </w:p>
        </w:tc>
        <w:tc>
          <w:tcPr>
            <w:tcW w:w="25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0" w:type="dxa"/>
            <w:vAlign w:val="bottom"/>
            <w:tcBorders>
              <w:left w:val="single" w:sz="8" w:color="auto"/>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00" w:type="dxa"/>
            <w:vAlign w:val="bottom"/>
            <w:tcBorders>
              <w:bottom w:val="single" w:sz="8" w:color="FF0000"/>
            </w:tcBorders>
          </w:tcPr>
          <w:p>
            <w:pPr>
              <w:spacing w:after="0"/>
              <w:rPr>
                <w:sz w:val="17"/>
                <w:szCs w:val="17"/>
                <w:color w:val="auto"/>
              </w:rPr>
            </w:pPr>
          </w:p>
        </w:tc>
        <w:tc>
          <w:tcPr>
            <w:tcW w:w="660" w:type="dxa"/>
            <w:vAlign w:val="bottom"/>
            <w:tcBorders>
              <w:bottom w:val="single" w:sz="8" w:color="FF0000"/>
            </w:tcBorders>
            <w:gridSpan w:val="2"/>
          </w:tcPr>
          <w:p>
            <w:pPr>
              <w:spacing w:after="0"/>
              <w:rPr>
                <w:sz w:val="17"/>
                <w:szCs w:val="17"/>
                <w:color w:val="auto"/>
              </w:rPr>
            </w:pPr>
          </w:p>
        </w:tc>
        <w:tc>
          <w:tcPr>
            <w:tcW w:w="2540" w:type="dxa"/>
            <w:vAlign w:val="bottom"/>
            <w:tcBorders>
              <w:bottom w:val="single" w:sz="8" w:color="FF0000"/>
            </w:tcBorders>
          </w:tcPr>
          <w:p>
            <w:pPr>
              <w:spacing w:after="0"/>
              <w:rPr>
                <w:sz w:val="17"/>
                <w:szCs w:val="17"/>
                <w:color w:val="auto"/>
              </w:rPr>
            </w:pPr>
          </w:p>
        </w:tc>
        <w:tc>
          <w:tcPr>
            <w:tcW w:w="1980" w:type="dxa"/>
            <w:vAlign w:val="bottom"/>
            <w:tcBorders>
              <w:bottom w:val="single" w:sz="8" w:color="FF0000"/>
            </w:tcBorders>
          </w:tcPr>
          <w:p>
            <w:pPr>
              <w:spacing w:after="0"/>
              <w:rPr>
                <w:sz w:val="17"/>
                <w:szCs w:val="17"/>
                <w:color w:val="auto"/>
              </w:rPr>
            </w:pPr>
          </w:p>
        </w:tc>
        <w:tc>
          <w:tcPr>
            <w:tcW w:w="2820" w:type="dxa"/>
            <w:vAlign w:val="bottom"/>
            <w:tcBorders>
              <w:bottom w:val="single" w:sz="8" w:color="FF0000"/>
            </w:tcBorders>
          </w:tcPr>
          <w:p>
            <w:pPr>
              <w:spacing w:after="0"/>
              <w:rPr>
                <w:sz w:val="17"/>
                <w:szCs w:val="17"/>
                <w:color w:val="auto"/>
              </w:rPr>
            </w:pPr>
          </w:p>
        </w:tc>
        <w:tc>
          <w:tcPr>
            <w:tcW w:w="1600" w:type="dxa"/>
            <w:vAlign w:val="bottom"/>
            <w:tcBorders>
              <w:bottom w:val="single" w:sz="8" w:color="FF0000"/>
            </w:tcBorders>
          </w:tcPr>
          <w:p>
            <w:pPr>
              <w:spacing w:after="0"/>
              <w:rPr>
                <w:sz w:val="17"/>
                <w:szCs w:val="17"/>
                <w:color w:val="auto"/>
              </w:rPr>
            </w:pPr>
          </w:p>
        </w:tc>
        <w:tc>
          <w:tcPr>
            <w:tcW w:w="1240" w:type="dxa"/>
            <w:vAlign w:val="bottom"/>
            <w:tcBorders>
              <w:bottom w:val="single" w:sz="8" w:color="FF0000"/>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500" w:type="dxa"/>
            <w:vAlign w:val="bottom"/>
            <w:tcBorders>
              <w:bottom w:val="single" w:sz="8" w:color="FF0000"/>
            </w:tcBorders>
          </w:tcPr>
          <w:p>
            <w:pPr>
              <w:spacing w:after="0" w:line="137" w:lineRule="exact"/>
              <w:rPr>
                <w:sz w:val="20"/>
                <w:szCs w:val="20"/>
                <w:color w:val="auto"/>
              </w:rPr>
            </w:pPr>
            <w:r>
              <w:rPr>
                <w:rFonts w:ascii="Arial" w:cs="Arial" w:eastAsia="Arial" w:hAnsi="Arial"/>
                <w:sz w:val="15"/>
                <w:szCs w:val="15"/>
                <w:b w:val="1"/>
                <w:bCs w:val="1"/>
                <w:color w:val="auto"/>
              </w:rPr>
              <w:t>Note:</w:t>
            </w:r>
          </w:p>
        </w:tc>
        <w:tc>
          <w:tcPr>
            <w:tcW w:w="660" w:type="dxa"/>
            <w:vAlign w:val="bottom"/>
            <w:tcBorders>
              <w:bottom w:val="single" w:sz="8" w:color="FF0000"/>
            </w:tcBorders>
            <w:gridSpan w:val="2"/>
          </w:tcPr>
          <w:p>
            <w:pPr>
              <w:ind w:left="40"/>
              <w:spacing w:after="0" w:line="137" w:lineRule="exact"/>
              <w:rPr>
                <w:sz w:val="20"/>
                <w:szCs w:val="20"/>
                <w:color w:val="auto"/>
              </w:rPr>
            </w:pPr>
            <w:r>
              <w:rPr>
                <w:rFonts w:ascii="Arial" w:cs="Arial" w:eastAsia="Arial" w:hAnsi="Arial"/>
                <w:sz w:val="15"/>
                <w:szCs w:val="15"/>
                <w:color w:val="auto"/>
              </w:rPr>
              <w:t>[***].</w:t>
            </w:r>
          </w:p>
        </w:tc>
        <w:tc>
          <w:tcPr>
            <w:tcW w:w="2540" w:type="dxa"/>
            <w:vAlign w:val="bottom"/>
            <w:tcBorders>
              <w:bottom w:val="single" w:sz="8" w:color="FF0000"/>
            </w:tcBorders>
          </w:tcPr>
          <w:p>
            <w:pPr>
              <w:spacing w:after="0"/>
              <w:rPr>
                <w:sz w:val="11"/>
                <w:szCs w:val="11"/>
                <w:color w:val="auto"/>
              </w:rPr>
            </w:pPr>
          </w:p>
        </w:tc>
        <w:tc>
          <w:tcPr>
            <w:tcW w:w="1980" w:type="dxa"/>
            <w:vAlign w:val="bottom"/>
            <w:tcBorders>
              <w:bottom w:val="single" w:sz="8" w:color="FF0000"/>
            </w:tcBorders>
          </w:tcPr>
          <w:p>
            <w:pPr>
              <w:spacing w:after="0"/>
              <w:rPr>
                <w:sz w:val="11"/>
                <w:szCs w:val="11"/>
                <w:color w:val="auto"/>
              </w:rPr>
            </w:pPr>
          </w:p>
        </w:tc>
        <w:tc>
          <w:tcPr>
            <w:tcW w:w="2820" w:type="dxa"/>
            <w:vAlign w:val="bottom"/>
            <w:tcBorders>
              <w:bottom w:val="single" w:sz="8" w:color="FF0000"/>
            </w:tcBorders>
          </w:tcPr>
          <w:p>
            <w:pPr>
              <w:spacing w:after="0"/>
              <w:rPr>
                <w:sz w:val="11"/>
                <w:szCs w:val="11"/>
                <w:color w:val="auto"/>
              </w:rPr>
            </w:pPr>
          </w:p>
        </w:tc>
        <w:tc>
          <w:tcPr>
            <w:tcW w:w="1600" w:type="dxa"/>
            <w:vAlign w:val="bottom"/>
            <w:tcBorders>
              <w:bottom w:val="single" w:sz="8" w:color="FF0000"/>
            </w:tcBorders>
          </w:tcPr>
          <w:p>
            <w:pPr>
              <w:spacing w:after="0"/>
              <w:rPr>
                <w:sz w:val="11"/>
                <w:szCs w:val="11"/>
                <w:color w:val="auto"/>
              </w:rPr>
            </w:pPr>
          </w:p>
        </w:tc>
        <w:tc>
          <w:tcPr>
            <w:tcW w:w="1240" w:type="dxa"/>
            <w:vAlign w:val="bottom"/>
            <w:tcBorders>
              <w:bottom w:val="single" w:sz="8" w:color="FF0000"/>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80" w:top="408" w:right="27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Appendix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4845685</wp:posOffset>
            </wp:positionH>
            <wp:positionV relativeFrom="paragraph">
              <wp:posOffset>139700</wp:posOffset>
            </wp:positionV>
            <wp:extent cx="1110615" cy="6553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10615" cy="65532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1480"/>
        <w:spacing w:after="0"/>
        <w:rPr>
          <w:sz w:val="20"/>
          <w:szCs w:val="20"/>
          <w:color w:val="auto"/>
        </w:rPr>
      </w:pPr>
      <w:r>
        <w:rPr>
          <w:rFonts w:ascii="Arial" w:cs="Arial" w:eastAsia="Arial" w:hAnsi="Arial"/>
          <w:sz w:val="21"/>
          <w:szCs w:val="21"/>
          <w:color w:val="auto"/>
        </w:rPr>
        <w:t>Accepted Test Procedures (ATP)</w:t>
      </w:r>
    </w:p>
    <w:p>
      <w:pPr>
        <w:spacing w:after="0" w:line="200" w:lineRule="exact"/>
        <w:rPr>
          <w:sz w:val="20"/>
          <w:szCs w:val="20"/>
          <w:color w:val="auto"/>
        </w:rPr>
      </w:pPr>
    </w:p>
    <w:p>
      <w:pPr>
        <w:spacing w:after="0" w:line="393"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3700" w:type="dxa"/>
            <w:vAlign w:val="bottom"/>
            <w:tcBorders>
              <w:top w:val="single" w:sz="8" w:color="auto"/>
              <w:left w:val="single" w:sz="8" w:color="auto"/>
              <w:bottom w:val="single" w:sz="8" w:color="auto"/>
            </w:tcBorders>
            <w:gridSpan w:val="4"/>
          </w:tcPr>
          <w:p>
            <w:pPr>
              <w:ind w:left="20"/>
              <w:spacing w:after="0"/>
              <w:rPr>
                <w:sz w:val="20"/>
                <w:szCs w:val="20"/>
                <w:color w:val="auto"/>
              </w:rPr>
            </w:pPr>
            <w:r>
              <w:rPr>
                <w:rFonts w:ascii="Arial" w:cs="Arial" w:eastAsia="Arial" w:hAnsi="Arial"/>
                <w:sz w:val="15"/>
                <w:szCs w:val="15"/>
                <w:color w:val="auto"/>
              </w:rPr>
              <w:t>Project: Kornit 931/932/951/952/953</w:t>
            </w:r>
          </w:p>
        </w:tc>
        <w:tc>
          <w:tcPr>
            <w:tcW w:w="1980" w:type="dxa"/>
            <w:vAlign w:val="bottom"/>
            <w:tcBorders>
              <w:top w:val="single" w:sz="8" w:color="auto"/>
              <w:bottom w:val="single" w:sz="8" w:color="auto"/>
              <w:right w:val="single" w:sz="8" w:color="auto"/>
            </w:tcBorders>
          </w:tcPr>
          <w:p>
            <w:pPr>
              <w:spacing w:after="0"/>
              <w:rPr>
                <w:sz w:val="16"/>
                <w:szCs w:val="16"/>
                <w:color w:val="auto"/>
              </w:rPr>
            </w:pPr>
          </w:p>
        </w:tc>
        <w:tc>
          <w:tcPr>
            <w:tcW w:w="282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rPr>
              <w:t>Subject: ATP</w:t>
            </w:r>
          </w:p>
        </w:tc>
        <w:tc>
          <w:tcPr>
            <w:tcW w:w="160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700" w:type="dxa"/>
            <w:vAlign w:val="bottom"/>
            <w:tcBorders>
              <w:left w:val="single" w:sz="8" w:color="auto"/>
              <w:bottom w:val="single" w:sz="8" w:color="auto"/>
              <w:right w:val="single" w:sz="8" w:color="auto"/>
            </w:tcBorders>
            <w:gridSpan w:val="4"/>
          </w:tcPr>
          <w:p>
            <w:pPr>
              <w:ind w:left="20"/>
              <w:spacing w:after="0" w:line="171" w:lineRule="exact"/>
              <w:rPr>
                <w:sz w:val="20"/>
                <w:szCs w:val="20"/>
                <w:color w:val="auto"/>
              </w:rPr>
            </w:pPr>
            <w:r>
              <w:rPr>
                <w:rFonts w:ascii="Arial" w:cs="Arial" w:eastAsia="Arial" w:hAnsi="Arial"/>
                <w:sz w:val="15"/>
                <w:szCs w:val="15"/>
                <w:color w:val="auto"/>
              </w:rPr>
              <w:t>Order Number: 60-PATP-0001</w:t>
            </w:r>
          </w:p>
        </w:tc>
        <w:tc>
          <w:tcPr>
            <w:tcW w:w="1980" w:type="dxa"/>
            <w:vAlign w:val="bottom"/>
            <w:tcBorders>
              <w:bottom w:val="single" w:sz="8" w:color="auto"/>
              <w:right w:val="single" w:sz="8" w:color="auto"/>
            </w:tcBorders>
          </w:tcPr>
          <w:p>
            <w:pPr>
              <w:spacing w:after="0" w:line="171" w:lineRule="exact"/>
              <w:rPr>
                <w:sz w:val="20"/>
                <w:szCs w:val="20"/>
                <w:color w:val="auto"/>
              </w:rPr>
            </w:pPr>
            <w:r>
              <w:rPr>
                <w:rFonts w:ascii="Arial" w:cs="Arial" w:eastAsia="Arial" w:hAnsi="Arial"/>
                <w:sz w:val="15"/>
                <w:szCs w:val="15"/>
                <w:color w:val="auto"/>
              </w:rPr>
              <w:t>Date: 07/16/2013</w:t>
            </w:r>
          </w:p>
        </w:tc>
        <w:tc>
          <w:tcPr>
            <w:tcW w:w="2820" w:type="dxa"/>
            <w:vAlign w:val="bottom"/>
            <w:tcBorders>
              <w:bottom w:val="single" w:sz="8" w:color="auto"/>
              <w:right w:val="single" w:sz="8" w:color="auto"/>
            </w:tcBorders>
          </w:tcPr>
          <w:p>
            <w:pPr>
              <w:spacing w:after="0" w:line="171" w:lineRule="exact"/>
              <w:rPr>
                <w:sz w:val="20"/>
                <w:szCs w:val="20"/>
                <w:color w:val="auto"/>
              </w:rPr>
            </w:pPr>
            <w:r>
              <w:rPr>
                <w:rFonts w:ascii="Arial" w:cs="Arial" w:eastAsia="Arial" w:hAnsi="Arial"/>
                <w:sz w:val="15"/>
                <w:szCs w:val="15"/>
                <w:color w:val="auto"/>
              </w:rPr>
              <w:t>Revision: 2</w:t>
            </w:r>
          </w:p>
        </w:tc>
        <w:tc>
          <w:tcPr>
            <w:tcW w:w="2840" w:type="dxa"/>
            <w:vAlign w:val="bottom"/>
            <w:tcBorders>
              <w:bottom w:val="single" w:sz="8" w:color="auto"/>
              <w:right w:val="single" w:sz="8" w:color="auto"/>
            </w:tcBorders>
            <w:gridSpan w:val="2"/>
          </w:tcPr>
          <w:p>
            <w:pPr>
              <w:spacing w:after="0" w:line="171" w:lineRule="exact"/>
              <w:rPr>
                <w:sz w:val="20"/>
                <w:szCs w:val="20"/>
                <w:color w:val="auto"/>
              </w:rPr>
            </w:pPr>
            <w:r>
              <w:rPr>
                <w:rFonts w:ascii="Arial" w:cs="Arial" w:eastAsia="Arial" w:hAnsi="Arial"/>
                <w:sz w:val="15"/>
                <w:szCs w:val="15"/>
                <w:color w:val="auto"/>
              </w:rPr>
              <w:t>Page 5 of 6</w:t>
            </w:r>
          </w:p>
        </w:tc>
        <w:tc>
          <w:tcPr>
            <w:tcW w:w="0" w:type="dxa"/>
            <w:vAlign w:val="bottom"/>
          </w:tcPr>
          <w:p>
            <w:pPr>
              <w:spacing w:after="0"/>
              <w:rPr>
                <w:sz w:val="1"/>
                <w:szCs w:val="1"/>
                <w:color w:val="auto"/>
              </w:rPr>
            </w:pPr>
          </w:p>
        </w:tc>
      </w:tr>
      <w:tr>
        <w:trPr>
          <w:trHeight w:val="160"/>
        </w:trPr>
        <w:tc>
          <w:tcPr>
            <w:tcW w:w="480" w:type="dxa"/>
            <w:vAlign w:val="bottom"/>
            <w:tcBorders>
              <w:left w:val="single" w:sz="8" w:color="auto"/>
            </w:tcBorders>
          </w:tcPr>
          <w:p>
            <w:pPr>
              <w:ind w:left="20"/>
              <w:spacing w:after="0" w:line="160" w:lineRule="exact"/>
              <w:rPr>
                <w:sz w:val="20"/>
                <w:szCs w:val="20"/>
                <w:color w:val="auto"/>
              </w:rPr>
            </w:pPr>
            <w:r>
              <w:rPr>
                <w:rFonts w:ascii="Arial" w:cs="Arial" w:eastAsia="Arial" w:hAnsi="Arial"/>
                <w:sz w:val="15"/>
                <w:szCs w:val="15"/>
                <w:color w:val="auto"/>
              </w:rPr>
              <w:t>Editor:</w:t>
            </w: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540" w:type="dxa"/>
            <w:vAlign w:val="bottom"/>
            <w:tcBorders>
              <w:right w:val="single" w:sz="8" w:color="auto"/>
            </w:tcBorders>
          </w:tcPr>
          <w:p>
            <w:pPr>
              <w:spacing w:after="0"/>
              <w:rPr>
                <w:sz w:val="13"/>
                <w:szCs w:val="13"/>
                <w:color w:val="auto"/>
              </w:rPr>
            </w:pPr>
          </w:p>
        </w:tc>
        <w:tc>
          <w:tcPr>
            <w:tcW w:w="1980" w:type="dxa"/>
            <w:vAlign w:val="bottom"/>
            <w:tcBorders>
              <w:right w:val="single" w:sz="8" w:color="auto"/>
            </w:tcBorders>
          </w:tcPr>
          <w:p>
            <w:pPr>
              <w:spacing w:after="0" w:line="160" w:lineRule="exact"/>
              <w:rPr>
                <w:sz w:val="20"/>
                <w:szCs w:val="20"/>
                <w:color w:val="auto"/>
              </w:rPr>
            </w:pPr>
            <w:r>
              <w:rPr>
                <w:rFonts w:ascii="Arial" w:cs="Arial" w:eastAsia="Arial" w:hAnsi="Arial"/>
                <w:sz w:val="15"/>
                <w:szCs w:val="15"/>
                <w:color w:val="auto"/>
              </w:rPr>
              <w:t>Confirmed by:</w:t>
            </w:r>
          </w:p>
        </w:tc>
        <w:tc>
          <w:tcPr>
            <w:tcW w:w="2820" w:type="dxa"/>
            <w:vAlign w:val="bottom"/>
            <w:vMerge w:val="restart"/>
          </w:tcPr>
          <w:p>
            <w:pPr>
              <w:spacing w:after="0"/>
              <w:rPr>
                <w:sz w:val="20"/>
                <w:szCs w:val="20"/>
                <w:color w:val="auto"/>
              </w:rPr>
            </w:pPr>
            <w:r>
              <w:rPr>
                <w:rFonts w:ascii="Arial" w:cs="Arial" w:eastAsia="Arial" w:hAnsi="Arial"/>
                <w:sz w:val="15"/>
                <w:szCs w:val="15"/>
                <w:color w:val="auto"/>
              </w:rPr>
              <w:t>Signature:</w:t>
            </w:r>
          </w:p>
        </w:tc>
        <w:tc>
          <w:tcPr>
            <w:tcW w:w="1600" w:type="dxa"/>
            <w:vAlign w:val="bottom"/>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1160" w:type="dxa"/>
            <w:vAlign w:val="bottom"/>
            <w:tcBorders>
              <w:left w:val="single" w:sz="8" w:color="auto"/>
            </w:tcBorders>
            <w:gridSpan w:val="3"/>
            <w:vMerge w:val="restart"/>
          </w:tcPr>
          <w:p>
            <w:pPr>
              <w:ind w:left="20"/>
              <w:spacing w:after="0"/>
              <w:rPr>
                <w:sz w:val="20"/>
                <w:szCs w:val="20"/>
                <w:color w:val="auto"/>
              </w:rPr>
            </w:pPr>
            <w:r>
              <w:rPr>
                <w:rFonts w:ascii="Arial" w:cs="Arial" w:eastAsia="Arial" w:hAnsi="Arial"/>
                <w:sz w:val="15"/>
                <w:szCs w:val="15"/>
                <w:color w:val="auto"/>
              </w:rPr>
              <w:t>Lev Superfin</w:t>
            </w:r>
          </w:p>
        </w:tc>
        <w:tc>
          <w:tcPr>
            <w:tcW w:w="2540" w:type="dxa"/>
            <w:vAlign w:val="bottom"/>
            <w:tcBorders>
              <w:right w:val="single" w:sz="8" w:color="auto"/>
            </w:tcBorders>
          </w:tcPr>
          <w:p>
            <w:pPr>
              <w:spacing w:after="0"/>
              <w:rPr>
                <w:sz w:val="8"/>
                <w:szCs w:val="8"/>
                <w:color w:val="auto"/>
              </w:rPr>
            </w:pPr>
          </w:p>
        </w:tc>
        <w:tc>
          <w:tcPr>
            <w:tcW w:w="1980" w:type="dxa"/>
            <w:vAlign w:val="bottom"/>
            <w:tcBorders>
              <w:right w:val="single" w:sz="8" w:color="auto"/>
            </w:tcBorders>
            <w:vMerge w:val="restart"/>
          </w:tcPr>
          <w:p>
            <w:pPr>
              <w:spacing w:after="0"/>
              <w:rPr>
                <w:sz w:val="20"/>
                <w:szCs w:val="20"/>
                <w:color w:val="auto"/>
              </w:rPr>
            </w:pPr>
            <w:r>
              <w:rPr>
                <w:rFonts w:ascii="Arial" w:cs="Arial" w:eastAsia="Arial" w:hAnsi="Arial"/>
                <w:sz w:val="15"/>
                <w:szCs w:val="15"/>
                <w:color w:val="auto"/>
              </w:rPr>
              <w:t>Rea Rogel</w:t>
            </w:r>
          </w:p>
        </w:tc>
        <w:tc>
          <w:tcPr>
            <w:tcW w:w="2820" w:type="dxa"/>
            <w:vAlign w:val="bottom"/>
            <w:vMerge w:val="continue"/>
          </w:tcPr>
          <w:p>
            <w:pPr>
              <w:spacing w:after="0"/>
              <w:rPr>
                <w:sz w:val="8"/>
                <w:szCs w:val="8"/>
                <w:color w:val="auto"/>
              </w:rPr>
            </w:pPr>
          </w:p>
        </w:tc>
        <w:tc>
          <w:tcPr>
            <w:tcW w:w="1600" w:type="dxa"/>
            <w:vAlign w:val="bottom"/>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160" w:type="dxa"/>
            <w:vAlign w:val="bottom"/>
            <w:tcBorders>
              <w:left w:val="single" w:sz="8" w:color="auto"/>
              <w:bottom w:val="single" w:sz="8" w:color="auto"/>
            </w:tcBorders>
            <w:gridSpan w:val="3"/>
            <w:vMerge w:val="continue"/>
          </w:tcPr>
          <w:p>
            <w:pPr>
              <w:spacing w:after="0"/>
              <w:rPr>
                <w:sz w:val="7"/>
                <w:szCs w:val="7"/>
                <w:color w:val="auto"/>
              </w:rPr>
            </w:pPr>
          </w:p>
        </w:tc>
        <w:tc>
          <w:tcPr>
            <w:tcW w:w="2540" w:type="dxa"/>
            <w:vAlign w:val="bottom"/>
            <w:tcBorders>
              <w:bottom w:val="single" w:sz="8" w:color="auto"/>
              <w:right w:val="single" w:sz="8" w:color="auto"/>
            </w:tcBorders>
          </w:tcPr>
          <w:p>
            <w:pPr>
              <w:spacing w:after="0"/>
              <w:rPr>
                <w:sz w:val="7"/>
                <w:szCs w:val="7"/>
                <w:color w:val="auto"/>
              </w:rPr>
            </w:pPr>
          </w:p>
        </w:tc>
        <w:tc>
          <w:tcPr>
            <w:tcW w:w="1980" w:type="dxa"/>
            <w:vAlign w:val="bottom"/>
            <w:tcBorders>
              <w:bottom w:val="single" w:sz="8" w:color="auto"/>
              <w:right w:val="single" w:sz="8" w:color="auto"/>
            </w:tcBorders>
            <w:vMerge w:val="continue"/>
          </w:tcPr>
          <w:p>
            <w:pPr>
              <w:spacing w:after="0"/>
              <w:rPr>
                <w:sz w:val="7"/>
                <w:szCs w:val="7"/>
                <w:color w:val="auto"/>
              </w:rPr>
            </w:pPr>
          </w:p>
        </w:tc>
        <w:tc>
          <w:tcPr>
            <w:tcW w:w="282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09"/>
        </w:trPr>
        <w:tc>
          <w:tcPr>
            <w:tcW w:w="480" w:type="dxa"/>
            <w:vAlign w:val="bottom"/>
          </w:tcPr>
          <w:p>
            <w:pPr>
              <w:spacing w:after="0"/>
              <w:rPr>
                <w:sz w:val="20"/>
                <w:szCs w:val="20"/>
                <w:color w:val="auto"/>
              </w:rPr>
            </w:pPr>
            <w:r>
              <w:rPr>
                <w:rFonts w:ascii="Arial" w:cs="Arial" w:eastAsia="Arial" w:hAnsi="Arial"/>
                <w:sz w:val="15"/>
                <w:szCs w:val="15"/>
                <w:color w:val="auto"/>
              </w:rPr>
              <w:t>6.</w:t>
            </w:r>
          </w:p>
        </w:tc>
        <w:tc>
          <w:tcPr>
            <w:tcW w:w="3220" w:type="dxa"/>
            <w:vAlign w:val="bottom"/>
            <w:gridSpan w:val="3"/>
            <w:vMerge w:val="restart"/>
          </w:tcPr>
          <w:p>
            <w:pPr>
              <w:ind w:left="60"/>
              <w:spacing w:after="0"/>
              <w:rPr>
                <w:sz w:val="20"/>
                <w:szCs w:val="20"/>
                <w:color w:val="auto"/>
              </w:rPr>
            </w:pPr>
            <w:r>
              <w:rPr>
                <w:rFonts w:ascii="Arial" w:cs="Arial" w:eastAsia="Arial" w:hAnsi="Arial"/>
                <w:sz w:val="15"/>
                <w:szCs w:val="15"/>
                <w:b w:val="1"/>
                <w:bCs w:val="1"/>
                <w:color w:val="auto"/>
              </w:rPr>
              <w:t>Printing Test</w:t>
            </w:r>
          </w:p>
        </w:tc>
        <w:tc>
          <w:tcPr>
            <w:tcW w:w="19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80" w:type="dxa"/>
            <w:vAlign w:val="bottom"/>
          </w:tcPr>
          <w:p>
            <w:pPr>
              <w:spacing w:after="0"/>
              <w:rPr>
                <w:sz w:val="9"/>
                <w:szCs w:val="9"/>
                <w:color w:val="auto"/>
              </w:rPr>
            </w:pPr>
          </w:p>
        </w:tc>
        <w:tc>
          <w:tcPr>
            <w:tcW w:w="3220" w:type="dxa"/>
            <w:vAlign w:val="bottom"/>
            <w:gridSpan w:val="3"/>
            <w:vMerge w:val="continue"/>
          </w:tcPr>
          <w:p>
            <w:pPr>
              <w:spacing w:after="0"/>
              <w:rPr>
                <w:sz w:val="9"/>
                <w:szCs w:val="9"/>
                <w:color w:val="auto"/>
              </w:rPr>
            </w:pPr>
          </w:p>
        </w:tc>
        <w:tc>
          <w:tcPr>
            <w:tcW w:w="1980" w:type="dxa"/>
            <w:vAlign w:val="bottom"/>
          </w:tcPr>
          <w:p>
            <w:pPr>
              <w:spacing w:after="0"/>
              <w:rPr>
                <w:sz w:val="9"/>
                <w:szCs w:val="9"/>
                <w:color w:val="auto"/>
              </w:rPr>
            </w:pPr>
          </w:p>
        </w:tc>
        <w:tc>
          <w:tcPr>
            <w:tcW w:w="28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80" w:type="dxa"/>
            <w:vAlign w:val="bottom"/>
            <w:tcBorders>
              <w:bottom w:val="single" w:sz="8" w:color="FF0000"/>
            </w:tcBorders>
          </w:tcPr>
          <w:p>
            <w:pPr>
              <w:spacing w:after="0"/>
              <w:rPr>
                <w:sz w:val="11"/>
                <w:szCs w:val="11"/>
                <w:color w:val="auto"/>
              </w:rPr>
            </w:pPr>
          </w:p>
        </w:tc>
        <w:tc>
          <w:tcPr>
            <w:tcW w:w="280" w:type="dxa"/>
            <w:vAlign w:val="bottom"/>
            <w:tcBorders>
              <w:bottom w:val="single" w:sz="8" w:color="FF0000"/>
            </w:tcBorders>
          </w:tcPr>
          <w:p>
            <w:pPr>
              <w:spacing w:after="0"/>
              <w:rPr>
                <w:sz w:val="11"/>
                <w:szCs w:val="11"/>
                <w:color w:val="auto"/>
              </w:rPr>
            </w:pPr>
          </w:p>
        </w:tc>
        <w:tc>
          <w:tcPr>
            <w:tcW w:w="400" w:type="dxa"/>
            <w:vAlign w:val="bottom"/>
            <w:tcBorders>
              <w:bottom w:val="single" w:sz="8" w:color="FF0000"/>
            </w:tcBorders>
          </w:tcPr>
          <w:p>
            <w:pPr>
              <w:spacing w:after="0"/>
              <w:rPr>
                <w:sz w:val="11"/>
                <w:szCs w:val="11"/>
                <w:color w:val="auto"/>
              </w:rPr>
            </w:pPr>
          </w:p>
        </w:tc>
        <w:tc>
          <w:tcPr>
            <w:tcW w:w="2540" w:type="dxa"/>
            <w:vAlign w:val="bottom"/>
            <w:tcBorders>
              <w:bottom w:val="single" w:sz="8" w:color="FF0000"/>
            </w:tcBorders>
          </w:tcPr>
          <w:p>
            <w:pPr>
              <w:spacing w:after="0"/>
              <w:rPr>
                <w:sz w:val="11"/>
                <w:szCs w:val="11"/>
                <w:color w:val="auto"/>
              </w:rPr>
            </w:pPr>
          </w:p>
        </w:tc>
        <w:tc>
          <w:tcPr>
            <w:tcW w:w="1980" w:type="dxa"/>
            <w:vAlign w:val="bottom"/>
            <w:tcBorders>
              <w:bottom w:val="single" w:sz="8" w:color="FF0000"/>
            </w:tcBorders>
          </w:tcPr>
          <w:p>
            <w:pPr>
              <w:spacing w:after="0"/>
              <w:rPr>
                <w:sz w:val="11"/>
                <w:szCs w:val="11"/>
                <w:color w:val="auto"/>
              </w:rPr>
            </w:pPr>
          </w:p>
        </w:tc>
        <w:tc>
          <w:tcPr>
            <w:tcW w:w="2820" w:type="dxa"/>
            <w:vAlign w:val="bottom"/>
            <w:tcBorders>
              <w:bottom w:val="single" w:sz="8" w:color="FF0000"/>
            </w:tcBorders>
          </w:tcPr>
          <w:p>
            <w:pPr>
              <w:spacing w:after="0"/>
              <w:rPr>
                <w:sz w:val="11"/>
                <w:szCs w:val="11"/>
                <w:color w:val="auto"/>
              </w:rPr>
            </w:pPr>
          </w:p>
        </w:tc>
        <w:tc>
          <w:tcPr>
            <w:tcW w:w="1600" w:type="dxa"/>
            <w:vAlign w:val="bottom"/>
            <w:tcBorders>
              <w:bottom w:val="single" w:sz="8" w:color="FF0000"/>
            </w:tcBorders>
          </w:tcPr>
          <w:p>
            <w:pPr>
              <w:spacing w:after="0"/>
              <w:rPr>
                <w:sz w:val="11"/>
                <w:szCs w:val="11"/>
                <w:color w:val="auto"/>
              </w:rPr>
            </w:pPr>
          </w:p>
        </w:tc>
        <w:tc>
          <w:tcPr>
            <w:tcW w:w="1240" w:type="dxa"/>
            <w:vAlign w:val="bottom"/>
            <w:tcBorders>
              <w:bottom w:val="single" w:sz="8" w:color="FF0000"/>
            </w:tcBorders>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80" w:type="dxa"/>
            <w:vAlign w:val="bottom"/>
            <w:tcBorders>
              <w:bottom w:val="single" w:sz="8" w:color="FF0000"/>
            </w:tcBorders>
          </w:tcPr>
          <w:p>
            <w:pPr>
              <w:spacing w:after="0" w:line="137" w:lineRule="exact"/>
              <w:rPr>
                <w:sz w:val="20"/>
                <w:szCs w:val="20"/>
                <w:color w:val="auto"/>
              </w:rPr>
            </w:pPr>
            <w:r>
              <w:rPr>
                <w:rFonts w:ascii="Arial" w:cs="Arial" w:eastAsia="Arial" w:hAnsi="Arial"/>
                <w:sz w:val="15"/>
                <w:szCs w:val="15"/>
                <w:b w:val="1"/>
                <w:bCs w:val="1"/>
                <w:color w:val="auto"/>
              </w:rPr>
              <w:t>Note:</w:t>
            </w:r>
          </w:p>
        </w:tc>
        <w:tc>
          <w:tcPr>
            <w:tcW w:w="680" w:type="dxa"/>
            <w:vAlign w:val="bottom"/>
            <w:tcBorders>
              <w:bottom w:val="single" w:sz="8" w:color="FF0000"/>
            </w:tcBorders>
            <w:gridSpan w:val="2"/>
          </w:tcPr>
          <w:p>
            <w:pPr>
              <w:ind w:left="60"/>
              <w:spacing w:after="0" w:line="137" w:lineRule="exact"/>
              <w:rPr>
                <w:sz w:val="20"/>
                <w:szCs w:val="20"/>
                <w:color w:val="auto"/>
              </w:rPr>
            </w:pPr>
            <w:r>
              <w:rPr>
                <w:rFonts w:ascii="Arial" w:cs="Arial" w:eastAsia="Arial" w:hAnsi="Arial"/>
                <w:sz w:val="15"/>
                <w:szCs w:val="15"/>
                <w:color w:val="auto"/>
              </w:rPr>
              <w:t>[***].</w:t>
            </w:r>
          </w:p>
        </w:tc>
        <w:tc>
          <w:tcPr>
            <w:tcW w:w="2540" w:type="dxa"/>
            <w:vAlign w:val="bottom"/>
            <w:tcBorders>
              <w:bottom w:val="single" w:sz="8" w:color="FF0000"/>
            </w:tcBorders>
          </w:tcPr>
          <w:p>
            <w:pPr>
              <w:spacing w:after="0"/>
              <w:rPr>
                <w:sz w:val="11"/>
                <w:szCs w:val="11"/>
                <w:color w:val="auto"/>
              </w:rPr>
            </w:pPr>
          </w:p>
        </w:tc>
        <w:tc>
          <w:tcPr>
            <w:tcW w:w="1980" w:type="dxa"/>
            <w:vAlign w:val="bottom"/>
            <w:tcBorders>
              <w:bottom w:val="single" w:sz="8" w:color="FF0000"/>
            </w:tcBorders>
          </w:tcPr>
          <w:p>
            <w:pPr>
              <w:spacing w:after="0"/>
              <w:rPr>
                <w:sz w:val="11"/>
                <w:szCs w:val="11"/>
                <w:color w:val="auto"/>
              </w:rPr>
            </w:pPr>
          </w:p>
        </w:tc>
        <w:tc>
          <w:tcPr>
            <w:tcW w:w="2820" w:type="dxa"/>
            <w:vAlign w:val="bottom"/>
            <w:tcBorders>
              <w:bottom w:val="single" w:sz="8" w:color="FF0000"/>
            </w:tcBorders>
          </w:tcPr>
          <w:p>
            <w:pPr>
              <w:spacing w:after="0"/>
              <w:rPr>
                <w:sz w:val="11"/>
                <w:szCs w:val="11"/>
                <w:color w:val="auto"/>
              </w:rPr>
            </w:pPr>
          </w:p>
        </w:tc>
        <w:tc>
          <w:tcPr>
            <w:tcW w:w="1600" w:type="dxa"/>
            <w:vAlign w:val="bottom"/>
            <w:tcBorders>
              <w:bottom w:val="single" w:sz="8" w:color="FF0000"/>
            </w:tcBorders>
          </w:tcPr>
          <w:p>
            <w:pPr>
              <w:spacing w:after="0"/>
              <w:rPr>
                <w:sz w:val="11"/>
                <w:szCs w:val="11"/>
                <w:color w:val="auto"/>
              </w:rPr>
            </w:pPr>
          </w:p>
        </w:tc>
        <w:tc>
          <w:tcPr>
            <w:tcW w:w="1240" w:type="dxa"/>
            <w:vAlign w:val="bottom"/>
            <w:tcBorders>
              <w:bottom w:val="single" w:sz="8" w:color="FF0000"/>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4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940" w:type="dxa"/>
            <w:vAlign w:val="bottom"/>
            <w:tcBorders>
              <w:bottom w:val="single" w:sz="8" w:color="auto"/>
            </w:tcBorders>
            <w:gridSpan w:val="2"/>
          </w:tcPr>
          <w:p>
            <w:pPr>
              <w:spacing w:after="0"/>
              <w:rPr>
                <w:sz w:val="9"/>
                <w:szCs w:val="9"/>
                <w:color w:val="auto"/>
              </w:rPr>
            </w:pPr>
          </w:p>
        </w:tc>
        <w:tc>
          <w:tcPr>
            <w:tcW w:w="1980" w:type="dxa"/>
            <w:vAlign w:val="bottom"/>
            <w:tcBorders>
              <w:bottom w:val="single" w:sz="8" w:color="auto"/>
            </w:tcBorders>
          </w:tcPr>
          <w:p>
            <w:pPr>
              <w:spacing w:after="0"/>
              <w:rPr>
                <w:sz w:val="9"/>
                <w:szCs w:val="9"/>
                <w:color w:val="auto"/>
              </w:rPr>
            </w:pPr>
          </w:p>
        </w:tc>
        <w:tc>
          <w:tcPr>
            <w:tcW w:w="282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86"/>
        </w:trPr>
        <w:tc>
          <w:tcPr>
            <w:tcW w:w="480" w:type="dxa"/>
            <w:vAlign w:val="bottom"/>
            <w:tcBorders>
              <w:left w:val="single" w:sz="8" w:color="auto"/>
            </w:tcBorders>
            <w:shd w:val="clear" w:color="auto" w:fill="D9D9D9"/>
          </w:tcPr>
          <w:p>
            <w:pPr>
              <w:ind w:left="60"/>
              <w:spacing w:after="0"/>
              <w:rPr>
                <w:sz w:val="20"/>
                <w:szCs w:val="20"/>
                <w:color w:val="auto"/>
              </w:rPr>
            </w:pPr>
            <w:r>
              <w:rPr>
                <w:rFonts w:ascii="Arial" w:cs="Arial" w:eastAsia="Arial" w:hAnsi="Arial"/>
                <w:sz w:val="15"/>
                <w:szCs w:val="15"/>
                <w:b w:val="1"/>
                <w:bCs w:val="1"/>
                <w:color w:val="auto"/>
              </w:rPr>
              <w:t>No.</w:t>
            </w:r>
          </w:p>
        </w:tc>
        <w:tc>
          <w:tcPr>
            <w:tcW w:w="280" w:type="dxa"/>
            <w:vAlign w:val="bottom"/>
            <w:tcBorders>
              <w:right w:val="single" w:sz="8" w:color="auto"/>
            </w:tcBorders>
            <w:shd w:val="clear" w:color="auto" w:fill="D9D9D9"/>
          </w:tcPr>
          <w:p>
            <w:pPr>
              <w:spacing w:after="0"/>
              <w:rPr>
                <w:sz w:val="24"/>
                <w:szCs w:val="24"/>
                <w:color w:val="auto"/>
              </w:rPr>
            </w:pPr>
          </w:p>
        </w:tc>
        <w:tc>
          <w:tcPr>
            <w:tcW w:w="2940" w:type="dxa"/>
            <w:vAlign w:val="bottom"/>
            <w:tcBorders>
              <w:right w:val="single" w:sz="8" w:color="D9D9D9"/>
            </w:tcBorders>
            <w:gridSpan w:val="2"/>
            <w:shd w:val="clear" w:color="auto" w:fill="D9D9D9"/>
          </w:tcPr>
          <w:p>
            <w:pPr>
              <w:ind w:left="40"/>
              <w:spacing w:after="0"/>
              <w:rPr>
                <w:sz w:val="20"/>
                <w:szCs w:val="20"/>
                <w:color w:val="auto"/>
              </w:rPr>
            </w:pPr>
            <w:r>
              <w:rPr>
                <w:rFonts w:ascii="Arial" w:cs="Arial" w:eastAsia="Arial" w:hAnsi="Arial"/>
                <w:sz w:val="15"/>
                <w:szCs w:val="15"/>
                <w:b w:val="1"/>
                <w:bCs w:val="1"/>
                <w:color w:val="auto"/>
              </w:rPr>
              <w:t>Procedure</w:t>
            </w:r>
          </w:p>
        </w:tc>
        <w:tc>
          <w:tcPr>
            <w:tcW w:w="1980" w:type="dxa"/>
            <w:vAlign w:val="bottom"/>
            <w:tcBorders>
              <w:right w:val="single" w:sz="8" w:color="D9D9D9"/>
            </w:tcBorders>
            <w:shd w:val="clear" w:color="auto" w:fill="D9D9D9"/>
          </w:tcPr>
          <w:p>
            <w:pPr>
              <w:spacing w:after="0"/>
              <w:rPr>
                <w:sz w:val="24"/>
                <w:szCs w:val="24"/>
                <w:color w:val="auto"/>
              </w:rPr>
            </w:pPr>
          </w:p>
        </w:tc>
        <w:tc>
          <w:tcPr>
            <w:tcW w:w="2820" w:type="dxa"/>
            <w:vAlign w:val="bottom"/>
            <w:tcBorders>
              <w:right w:val="single" w:sz="8" w:color="D9D9D9"/>
            </w:tcBorders>
            <w:shd w:val="clear" w:color="auto" w:fill="D9D9D9"/>
          </w:tcPr>
          <w:p>
            <w:pPr>
              <w:spacing w:after="0"/>
              <w:rPr>
                <w:sz w:val="24"/>
                <w:szCs w:val="24"/>
                <w:color w:val="auto"/>
              </w:rPr>
            </w:pPr>
          </w:p>
        </w:tc>
        <w:tc>
          <w:tcPr>
            <w:tcW w:w="1600" w:type="dxa"/>
            <w:vAlign w:val="bottom"/>
            <w:tcBorders>
              <w:right w:val="single" w:sz="8" w:color="auto"/>
            </w:tcBorders>
            <w:shd w:val="clear" w:color="auto" w:fill="D9D9D9"/>
          </w:tcPr>
          <w:p>
            <w:pPr>
              <w:spacing w:after="0"/>
              <w:rPr>
                <w:sz w:val="24"/>
                <w:szCs w:val="24"/>
                <w:color w:val="auto"/>
              </w:rPr>
            </w:pPr>
          </w:p>
        </w:tc>
        <w:tc>
          <w:tcPr>
            <w:tcW w:w="1240" w:type="dxa"/>
            <w:vAlign w:val="bottom"/>
            <w:tcBorders>
              <w:right w:val="single" w:sz="8" w:color="auto"/>
            </w:tcBorders>
            <w:shd w:val="clear" w:color="auto" w:fill="D9D9D9"/>
          </w:tcPr>
          <w:p>
            <w:pPr>
              <w:ind w:left="40"/>
              <w:spacing w:after="0"/>
              <w:rPr>
                <w:sz w:val="20"/>
                <w:szCs w:val="20"/>
                <w:color w:val="auto"/>
              </w:rPr>
            </w:pPr>
            <w:r>
              <w:rPr>
                <w:rFonts w:ascii="Arial" w:cs="Arial" w:eastAsia="Arial" w:hAnsi="Arial"/>
                <w:sz w:val="16"/>
                <w:szCs w:val="16"/>
                <w:b w:val="1"/>
                <w:bCs w:val="1"/>
                <w:color w:val="auto"/>
              </w:rPr>
              <w:t>RT</w:t>
            </w:r>
          </w:p>
        </w:tc>
        <w:tc>
          <w:tcPr>
            <w:tcW w:w="0" w:type="dxa"/>
            <w:vAlign w:val="bottom"/>
          </w:tcPr>
          <w:p>
            <w:pPr>
              <w:spacing w:after="0"/>
              <w:rPr>
                <w:sz w:val="1"/>
                <w:szCs w:val="1"/>
                <w:color w:val="auto"/>
              </w:rPr>
            </w:pPr>
          </w:p>
        </w:tc>
      </w:tr>
      <w:tr>
        <w:trPr>
          <w:trHeight w:val="98"/>
        </w:trPr>
        <w:tc>
          <w:tcPr>
            <w:tcW w:w="480" w:type="dxa"/>
            <w:vAlign w:val="bottom"/>
            <w:tcBorders>
              <w:left w:val="single" w:sz="8" w:color="auto"/>
              <w:bottom w:val="single" w:sz="8" w:color="auto"/>
            </w:tcBorders>
            <w:shd w:val="clear" w:color="auto" w:fill="D9D9D9"/>
          </w:tcPr>
          <w:p>
            <w:pPr>
              <w:spacing w:after="0"/>
              <w:rPr>
                <w:sz w:val="8"/>
                <w:szCs w:val="8"/>
                <w:color w:val="auto"/>
              </w:rPr>
            </w:pPr>
          </w:p>
        </w:tc>
        <w:tc>
          <w:tcPr>
            <w:tcW w:w="280" w:type="dxa"/>
            <w:vAlign w:val="bottom"/>
            <w:tcBorders>
              <w:bottom w:val="single" w:sz="8" w:color="auto"/>
              <w:right w:val="single" w:sz="8" w:color="auto"/>
            </w:tcBorders>
            <w:shd w:val="clear" w:color="auto" w:fill="D9D9D9"/>
          </w:tcPr>
          <w:p>
            <w:pPr>
              <w:spacing w:after="0"/>
              <w:rPr>
                <w:sz w:val="8"/>
                <w:szCs w:val="8"/>
                <w:color w:val="auto"/>
              </w:rPr>
            </w:pPr>
          </w:p>
        </w:tc>
        <w:tc>
          <w:tcPr>
            <w:tcW w:w="400" w:type="dxa"/>
            <w:vAlign w:val="bottom"/>
            <w:tcBorders>
              <w:bottom w:val="single" w:sz="8" w:color="auto"/>
            </w:tcBorders>
            <w:shd w:val="clear" w:color="auto" w:fill="D9D9D9"/>
          </w:tcPr>
          <w:p>
            <w:pPr>
              <w:spacing w:after="0"/>
              <w:rPr>
                <w:sz w:val="8"/>
                <w:szCs w:val="8"/>
                <w:color w:val="auto"/>
              </w:rPr>
            </w:pPr>
          </w:p>
        </w:tc>
        <w:tc>
          <w:tcPr>
            <w:tcW w:w="2540" w:type="dxa"/>
            <w:vAlign w:val="bottom"/>
            <w:tcBorders>
              <w:bottom w:val="single" w:sz="8" w:color="auto"/>
              <w:right w:val="single" w:sz="8" w:color="D9D9D9"/>
            </w:tcBorders>
            <w:shd w:val="clear" w:color="auto" w:fill="D9D9D9"/>
          </w:tcPr>
          <w:p>
            <w:pPr>
              <w:spacing w:after="0"/>
              <w:rPr>
                <w:sz w:val="8"/>
                <w:szCs w:val="8"/>
                <w:color w:val="auto"/>
              </w:rPr>
            </w:pPr>
          </w:p>
        </w:tc>
        <w:tc>
          <w:tcPr>
            <w:tcW w:w="1980" w:type="dxa"/>
            <w:vAlign w:val="bottom"/>
            <w:tcBorders>
              <w:bottom w:val="single" w:sz="8" w:color="auto"/>
              <w:right w:val="single" w:sz="8" w:color="D9D9D9"/>
            </w:tcBorders>
            <w:shd w:val="clear" w:color="auto" w:fill="D9D9D9"/>
          </w:tcPr>
          <w:p>
            <w:pPr>
              <w:spacing w:after="0"/>
              <w:rPr>
                <w:sz w:val="8"/>
                <w:szCs w:val="8"/>
                <w:color w:val="auto"/>
              </w:rPr>
            </w:pPr>
          </w:p>
        </w:tc>
        <w:tc>
          <w:tcPr>
            <w:tcW w:w="2820" w:type="dxa"/>
            <w:vAlign w:val="bottom"/>
            <w:tcBorders>
              <w:bottom w:val="single" w:sz="8" w:color="auto"/>
              <w:right w:val="single" w:sz="8" w:color="D9D9D9"/>
            </w:tcBorders>
            <w:shd w:val="clear" w:color="auto" w:fill="D9D9D9"/>
          </w:tcPr>
          <w:p>
            <w:pPr>
              <w:spacing w:after="0"/>
              <w:rPr>
                <w:sz w:val="8"/>
                <w:szCs w:val="8"/>
                <w:color w:val="auto"/>
              </w:rPr>
            </w:pPr>
          </w:p>
        </w:tc>
        <w:tc>
          <w:tcPr>
            <w:tcW w:w="1600" w:type="dxa"/>
            <w:vAlign w:val="bottom"/>
            <w:tcBorders>
              <w:bottom w:val="single" w:sz="8" w:color="auto"/>
              <w:right w:val="single" w:sz="8" w:color="auto"/>
            </w:tcBorders>
            <w:shd w:val="clear" w:color="auto" w:fill="D9D9D9"/>
          </w:tcPr>
          <w:p>
            <w:pPr>
              <w:spacing w:after="0"/>
              <w:rPr>
                <w:sz w:val="8"/>
                <w:szCs w:val="8"/>
                <w:color w:val="auto"/>
              </w:rPr>
            </w:pPr>
          </w:p>
        </w:tc>
        <w:tc>
          <w:tcPr>
            <w:tcW w:w="1240" w:type="dxa"/>
            <w:vAlign w:val="bottom"/>
            <w:tcBorders>
              <w:bottom w:val="single" w:sz="8" w:color="auto"/>
              <w:right w:val="single" w:sz="8" w:color="auto"/>
            </w:tcBorders>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48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6.1</w:t>
            </w:r>
          </w:p>
        </w:tc>
        <w:tc>
          <w:tcPr>
            <w:tcW w:w="280" w:type="dxa"/>
            <w:vAlign w:val="bottom"/>
            <w:tcBorders>
              <w:right w:val="single" w:sz="8" w:color="auto"/>
            </w:tcBorders>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5"/>
                <w:szCs w:val="15"/>
                <w:color w:val="auto"/>
                <w:w w:val="99"/>
              </w:rPr>
              <w:t>[***].</w:t>
            </w:r>
          </w:p>
        </w:tc>
        <w:tc>
          <w:tcPr>
            <w:tcW w:w="25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Borders>
              <w:left w:val="single" w:sz="8" w:color="auto"/>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6.2</w:t>
            </w:r>
          </w:p>
        </w:tc>
        <w:tc>
          <w:tcPr>
            <w:tcW w:w="280" w:type="dxa"/>
            <w:vAlign w:val="bottom"/>
            <w:tcBorders>
              <w:right w:val="single" w:sz="8" w:color="auto"/>
            </w:tcBorders>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5"/>
                <w:szCs w:val="15"/>
                <w:color w:val="auto"/>
              </w:rPr>
              <w:t>[***]</w:t>
            </w:r>
          </w:p>
        </w:tc>
        <w:tc>
          <w:tcPr>
            <w:tcW w:w="25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Borders>
              <w:left w:val="single" w:sz="8" w:color="auto"/>
            </w:tcBorders>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0" w:type="dxa"/>
            <w:vAlign w:val="bottom"/>
            <w:tcBorders>
              <w:left w:val="single" w:sz="8" w:color="auto"/>
            </w:tcBorders>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5"/>
                <w:szCs w:val="15"/>
                <w:color w:val="auto"/>
              </w:rPr>
              <w:t>a.</w:t>
            </w:r>
          </w:p>
        </w:tc>
        <w:tc>
          <w:tcPr>
            <w:tcW w:w="2540" w:type="dxa"/>
            <w:vAlign w:val="bottom"/>
          </w:tcPr>
          <w:p>
            <w:pPr>
              <w:jc w:val="right"/>
              <w:ind w:right="2105"/>
              <w:spacing w:after="0"/>
              <w:rPr>
                <w:sz w:val="20"/>
                <w:szCs w:val="20"/>
                <w:color w:val="auto"/>
              </w:rPr>
            </w:pPr>
            <w:r>
              <w:rPr>
                <w:rFonts w:ascii="Arial" w:cs="Arial" w:eastAsia="Arial" w:hAnsi="Arial"/>
                <w:sz w:val="15"/>
                <w:szCs w:val="15"/>
                <w:color w:val="auto"/>
              </w:rPr>
              <w:t>[***].</w:t>
            </w: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7"/>
        </w:trPr>
        <w:tc>
          <w:tcPr>
            <w:tcW w:w="480" w:type="dxa"/>
            <w:vAlign w:val="bottom"/>
            <w:tcBorders>
              <w:left w:val="single" w:sz="8" w:color="auto"/>
            </w:tcBorders>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54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480" w:type="dxa"/>
            <w:vAlign w:val="bottom"/>
            <w:tcBorders>
              <w:left w:val="single" w:sz="8" w:color="auto"/>
            </w:tcBorders>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5"/>
                <w:szCs w:val="15"/>
                <w:color w:val="auto"/>
              </w:rPr>
              <w:t>b.</w:t>
            </w:r>
          </w:p>
        </w:tc>
        <w:tc>
          <w:tcPr>
            <w:tcW w:w="2540" w:type="dxa"/>
            <w:vAlign w:val="bottom"/>
          </w:tcPr>
          <w:p>
            <w:pPr>
              <w:jc w:val="right"/>
              <w:ind w:right="2145"/>
              <w:spacing w:after="0"/>
              <w:rPr>
                <w:sz w:val="20"/>
                <w:szCs w:val="20"/>
                <w:color w:val="auto"/>
              </w:rPr>
            </w:pPr>
            <w:r>
              <w:rPr>
                <w:rFonts w:ascii="Arial" w:cs="Arial" w:eastAsia="Arial" w:hAnsi="Arial"/>
                <w:sz w:val="15"/>
                <w:szCs w:val="15"/>
                <w:color w:val="auto"/>
                <w:w w:val="99"/>
              </w:rPr>
              <w:t>[***].</w:t>
            </w: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7"/>
        </w:trPr>
        <w:tc>
          <w:tcPr>
            <w:tcW w:w="480" w:type="dxa"/>
            <w:vAlign w:val="bottom"/>
            <w:tcBorders>
              <w:left w:val="single" w:sz="8" w:color="auto"/>
            </w:tcBorders>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54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480" w:type="dxa"/>
            <w:vAlign w:val="bottom"/>
            <w:tcBorders>
              <w:left w:val="single" w:sz="8" w:color="auto"/>
            </w:tcBorders>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5"/>
                <w:szCs w:val="15"/>
                <w:color w:val="auto"/>
              </w:rPr>
              <w:t>c.</w:t>
            </w:r>
          </w:p>
        </w:tc>
        <w:tc>
          <w:tcPr>
            <w:tcW w:w="2540" w:type="dxa"/>
            <w:vAlign w:val="bottom"/>
          </w:tcPr>
          <w:p>
            <w:pPr>
              <w:jc w:val="right"/>
              <w:ind w:right="2105"/>
              <w:spacing w:after="0"/>
              <w:rPr>
                <w:sz w:val="20"/>
                <w:szCs w:val="20"/>
                <w:color w:val="auto"/>
              </w:rPr>
            </w:pPr>
            <w:r>
              <w:rPr>
                <w:rFonts w:ascii="Arial" w:cs="Arial" w:eastAsia="Arial" w:hAnsi="Arial"/>
                <w:sz w:val="15"/>
                <w:szCs w:val="15"/>
                <w:color w:val="auto"/>
              </w:rPr>
              <w:t>[***].</w:t>
            </w: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7"/>
        </w:trPr>
        <w:tc>
          <w:tcPr>
            <w:tcW w:w="480" w:type="dxa"/>
            <w:vAlign w:val="bottom"/>
            <w:tcBorders>
              <w:left w:val="single" w:sz="8" w:color="auto"/>
            </w:tcBorders>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54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480" w:type="dxa"/>
            <w:vAlign w:val="bottom"/>
            <w:tcBorders>
              <w:left w:val="single" w:sz="8" w:color="auto"/>
            </w:tcBorders>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5"/>
                <w:szCs w:val="15"/>
                <w:color w:val="auto"/>
              </w:rPr>
              <w:t>d.</w:t>
            </w:r>
          </w:p>
        </w:tc>
        <w:tc>
          <w:tcPr>
            <w:tcW w:w="2540" w:type="dxa"/>
            <w:vAlign w:val="bottom"/>
          </w:tcPr>
          <w:p>
            <w:pPr>
              <w:jc w:val="right"/>
              <w:ind w:right="2145"/>
              <w:spacing w:after="0"/>
              <w:rPr>
                <w:sz w:val="20"/>
                <w:szCs w:val="20"/>
                <w:color w:val="auto"/>
              </w:rPr>
            </w:pPr>
            <w:r>
              <w:rPr>
                <w:rFonts w:ascii="Arial" w:cs="Arial" w:eastAsia="Arial" w:hAnsi="Arial"/>
                <w:sz w:val="15"/>
                <w:szCs w:val="15"/>
                <w:color w:val="auto"/>
                <w:w w:val="99"/>
              </w:rPr>
              <w:t>[***].</w:t>
            </w: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7"/>
        </w:trPr>
        <w:tc>
          <w:tcPr>
            <w:tcW w:w="480" w:type="dxa"/>
            <w:vAlign w:val="bottom"/>
            <w:tcBorders>
              <w:left w:val="single" w:sz="8" w:color="auto"/>
            </w:tcBorders>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54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480" w:type="dxa"/>
            <w:vAlign w:val="bottom"/>
            <w:tcBorders>
              <w:left w:val="single" w:sz="8" w:color="auto"/>
            </w:tcBorders>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5"/>
                <w:szCs w:val="15"/>
                <w:color w:val="auto"/>
              </w:rPr>
              <w:t>e.</w:t>
            </w:r>
          </w:p>
        </w:tc>
        <w:tc>
          <w:tcPr>
            <w:tcW w:w="2540" w:type="dxa"/>
            <w:vAlign w:val="bottom"/>
          </w:tcPr>
          <w:p>
            <w:pPr>
              <w:jc w:val="right"/>
              <w:ind w:right="2105"/>
              <w:spacing w:after="0"/>
              <w:rPr>
                <w:sz w:val="20"/>
                <w:szCs w:val="20"/>
                <w:color w:val="auto"/>
              </w:rPr>
            </w:pPr>
            <w:r>
              <w:rPr>
                <w:rFonts w:ascii="Arial" w:cs="Arial" w:eastAsia="Arial" w:hAnsi="Arial"/>
                <w:sz w:val="15"/>
                <w:szCs w:val="15"/>
                <w:color w:val="auto"/>
              </w:rPr>
              <w:t>[***].</w:t>
            </w: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7"/>
        </w:trPr>
        <w:tc>
          <w:tcPr>
            <w:tcW w:w="480" w:type="dxa"/>
            <w:vAlign w:val="bottom"/>
            <w:tcBorders>
              <w:left w:val="single" w:sz="8" w:color="auto"/>
            </w:tcBorders>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54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480" w:type="dxa"/>
            <w:vAlign w:val="bottom"/>
            <w:tcBorders>
              <w:left w:val="single" w:sz="8" w:color="auto"/>
            </w:tcBorders>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5"/>
                <w:szCs w:val="15"/>
                <w:color w:val="auto"/>
              </w:rPr>
              <w:t>f.</w:t>
            </w:r>
          </w:p>
        </w:tc>
        <w:tc>
          <w:tcPr>
            <w:tcW w:w="2540" w:type="dxa"/>
            <w:vAlign w:val="bottom"/>
          </w:tcPr>
          <w:p>
            <w:pPr>
              <w:jc w:val="right"/>
              <w:ind w:right="2125"/>
              <w:spacing w:after="0"/>
              <w:rPr>
                <w:sz w:val="20"/>
                <w:szCs w:val="20"/>
                <w:color w:val="auto"/>
              </w:rPr>
            </w:pPr>
            <w:r>
              <w:rPr>
                <w:rFonts w:ascii="Arial" w:cs="Arial" w:eastAsia="Arial" w:hAnsi="Arial"/>
                <w:sz w:val="15"/>
                <w:szCs w:val="15"/>
                <w:color w:val="auto"/>
              </w:rPr>
              <w:t>[***].</w:t>
            </w: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7"/>
        </w:trPr>
        <w:tc>
          <w:tcPr>
            <w:tcW w:w="480" w:type="dxa"/>
            <w:vAlign w:val="bottom"/>
            <w:tcBorders>
              <w:left w:val="single" w:sz="8" w:color="auto"/>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54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48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6.3</w:t>
            </w:r>
          </w:p>
        </w:tc>
        <w:tc>
          <w:tcPr>
            <w:tcW w:w="280" w:type="dxa"/>
            <w:vAlign w:val="bottom"/>
            <w:tcBorders>
              <w:right w:val="single" w:sz="8" w:color="auto"/>
            </w:tcBorders>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5"/>
                <w:szCs w:val="15"/>
                <w:color w:val="auto"/>
                <w:w w:val="99"/>
              </w:rPr>
              <w:t>[***].</w:t>
            </w:r>
          </w:p>
        </w:tc>
        <w:tc>
          <w:tcPr>
            <w:tcW w:w="25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Borders>
              <w:left w:val="single" w:sz="8" w:color="auto"/>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6.4</w:t>
            </w:r>
          </w:p>
        </w:tc>
        <w:tc>
          <w:tcPr>
            <w:tcW w:w="280" w:type="dxa"/>
            <w:vAlign w:val="bottom"/>
            <w:tcBorders>
              <w:right w:val="single" w:sz="8" w:color="auto"/>
            </w:tcBorders>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5"/>
                <w:szCs w:val="15"/>
                <w:color w:val="auto"/>
                <w:w w:val="99"/>
              </w:rPr>
              <w:t>[***].</w:t>
            </w:r>
          </w:p>
        </w:tc>
        <w:tc>
          <w:tcPr>
            <w:tcW w:w="25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Borders>
              <w:left w:val="single" w:sz="8" w:color="auto"/>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0" w:type="dxa"/>
            <w:vAlign w:val="bottom"/>
            <w:tcBorders>
              <w:left w:val="single" w:sz="8" w:color="auto"/>
            </w:tcBorders>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5"/>
                <w:szCs w:val="15"/>
                <w:color w:val="auto"/>
              </w:rPr>
              <w:t>a.</w:t>
            </w:r>
          </w:p>
        </w:tc>
        <w:tc>
          <w:tcPr>
            <w:tcW w:w="2540" w:type="dxa"/>
            <w:vAlign w:val="bottom"/>
          </w:tcPr>
          <w:p>
            <w:pPr>
              <w:jc w:val="right"/>
              <w:ind w:right="2105"/>
              <w:spacing w:after="0"/>
              <w:rPr>
                <w:sz w:val="20"/>
                <w:szCs w:val="20"/>
                <w:color w:val="auto"/>
              </w:rPr>
            </w:pPr>
            <w:r>
              <w:rPr>
                <w:rFonts w:ascii="Arial" w:cs="Arial" w:eastAsia="Arial" w:hAnsi="Arial"/>
                <w:sz w:val="15"/>
                <w:szCs w:val="15"/>
                <w:color w:val="auto"/>
              </w:rPr>
              <w:t>[***].</w:t>
            </w: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7"/>
        </w:trPr>
        <w:tc>
          <w:tcPr>
            <w:tcW w:w="480" w:type="dxa"/>
            <w:vAlign w:val="bottom"/>
            <w:tcBorders>
              <w:left w:val="single" w:sz="8" w:color="auto"/>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54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48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6.5</w:t>
            </w:r>
          </w:p>
        </w:tc>
        <w:tc>
          <w:tcPr>
            <w:tcW w:w="280" w:type="dxa"/>
            <w:vAlign w:val="bottom"/>
            <w:tcBorders>
              <w:right w:val="single" w:sz="8" w:color="auto"/>
            </w:tcBorders>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5"/>
                <w:szCs w:val="15"/>
                <w:color w:val="auto"/>
                <w:w w:val="99"/>
              </w:rPr>
              <w:t>[***].</w:t>
            </w:r>
          </w:p>
        </w:tc>
        <w:tc>
          <w:tcPr>
            <w:tcW w:w="25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Borders>
              <w:left w:val="single" w:sz="8" w:color="auto"/>
            </w:tcBorders>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480" w:type="dxa"/>
            <w:vAlign w:val="bottom"/>
          </w:tcPr>
          <w:p>
            <w:pPr>
              <w:spacing w:after="0"/>
              <w:rPr>
                <w:sz w:val="20"/>
                <w:szCs w:val="20"/>
                <w:color w:val="auto"/>
              </w:rPr>
            </w:pPr>
            <w:r>
              <w:rPr>
                <w:rFonts w:ascii="Arial" w:cs="Arial" w:eastAsia="Arial" w:hAnsi="Arial"/>
                <w:sz w:val="15"/>
                <w:szCs w:val="15"/>
                <w:color w:val="auto"/>
              </w:rPr>
              <w:t>7.</w:t>
            </w:r>
          </w:p>
        </w:tc>
        <w:tc>
          <w:tcPr>
            <w:tcW w:w="3220" w:type="dxa"/>
            <w:vAlign w:val="bottom"/>
            <w:gridSpan w:val="3"/>
            <w:vMerge w:val="restart"/>
          </w:tcPr>
          <w:p>
            <w:pPr>
              <w:ind w:left="60"/>
              <w:spacing w:after="0"/>
              <w:rPr>
                <w:sz w:val="20"/>
                <w:szCs w:val="20"/>
                <w:color w:val="auto"/>
              </w:rPr>
            </w:pPr>
            <w:r>
              <w:rPr>
                <w:rFonts w:ascii="Arial" w:cs="Arial" w:eastAsia="Arial" w:hAnsi="Arial"/>
                <w:sz w:val="15"/>
                <w:szCs w:val="15"/>
                <w:b w:val="1"/>
                <w:bCs w:val="1"/>
                <w:color w:val="auto"/>
              </w:rPr>
              <w:t>Backup System Test (only 952/3)</w:t>
            </w:r>
          </w:p>
        </w:tc>
        <w:tc>
          <w:tcPr>
            <w:tcW w:w="19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80" w:type="dxa"/>
            <w:vAlign w:val="bottom"/>
          </w:tcPr>
          <w:p>
            <w:pPr>
              <w:spacing w:after="0"/>
              <w:rPr>
                <w:sz w:val="9"/>
                <w:szCs w:val="9"/>
                <w:color w:val="auto"/>
              </w:rPr>
            </w:pPr>
          </w:p>
        </w:tc>
        <w:tc>
          <w:tcPr>
            <w:tcW w:w="3220" w:type="dxa"/>
            <w:vAlign w:val="bottom"/>
            <w:gridSpan w:val="3"/>
            <w:vMerge w:val="continue"/>
          </w:tcPr>
          <w:p>
            <w:pPr>
              <w:spacing w:after="0"/>
              <w:rPr>
                <w:sz w:val="9"/>
                <w:szCs w:val="9"/>
                <w:color w:val="auto"/>
              </w:rPr>
            </w:pPr>
          </w:p>
        </w:tc>
        <w:tc>
          <w:tcPr>
            <w:tcW w:w="1980" w:type="dxa"/>
            <w:vAlign w:val="bottom"/>
          </w:tcPr>
          <w:p>
            <w:pPr>
              <w:spacing w:after="0"/>
              <w:rPr>
                <w:sz w:val="9"/>
                <w:szCs w:val="9"/>
                <w:color w:val="auto"/>
              </w:rPr>
            </w:pPr>
          </w:p>
        </w:tc>
        <w:tc>
          <w:tcPr>
            <w:tcW w:w="28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940" w:type="dxa"/>
            <w:vAlign w:val="bottom"/>
            <w:tcBorders>
              <w:bottom w:val="single" w:sz="8" w:color="auto"/>
            </w:tcBorders>
            <w:gridSpan w:val="2"/>
          </w:tcPr>
          <w:p>
            <w:pPr>
              <w:spacing w:after="0"/>
              <w:rPr>
                <w:sz w:val="11"/>
                <w:szCs w:val="11"/>
                <w:color w:val="auto"/>
              </w:rPr>
            </w:pPr>
          </w:p>
        </w:tc>
        <w:tc>
          <w:tcPr>
            <w:tcW w:w="1980" w:type="dxa"/>
            <w:vAlign w:val="bottom"/>
            <w:tcBorders>
              <w:bottom w:val="single" w:sz="8" w:color="auto"/>
            </w:tcBorders>
          </w:tcPr>
          <w:p>
            <w:pPr>
              <w:spacing w:after="0"/>
              <w:rPr>
                <w:sz w:val="11"/>
                <w:szCs w:val="11"/>
                <w:color w:val="auto"/>
              </w:rPr>
            </w:pPr>
          </w:p>
        </w:tc>
        <w:tc>
          <w:tcPr>
            <w:tcW w:w="282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480" w:type="dxa"/>
            <w:vAlign w:val="bottom"/>
            <w:tcBorders>
              <w:left w:val="single" w:sz="8" w:color="auto"/>
              <w:bottom w:val="single" w:sz="8" w:color="D9D9D9"/>
            </w:tcBorders>
            <w:shd w:val="clear" w:color="auto" w:fill="D9D9D9"/>
          </w:tcPr>
          <w:p>
            <w:pPr>
              <w:ind w:left="60"/>
              <w:spacing w:after="0"/>
              <w:rPr>
                <w:sz w:val="20"/>
                <w:szCs w:val="20"/>
                <w:color w:val="auto"/>
              </w:rPr>
            </w:pPr>
            <w:r>
              <w:rPr>
                <w:rFonts w:ascii="Arial" w:cs="Arial" w:eastAsia="Arial" w:hAnsi="Arial"/>
                <w:sz w:val="15"/>
                <w:szCs w:val="15"/>
                <w:b w:val="1"/>
                <w:bCs w:val="1"/>
                <w:color w:val="auto"/>
              </w:rPr>
              <w:t>No.</w:t>
            </w:r>
          </w:p>
        </w:tc>
        <w:tc>
          <w:tcPr>
            <w:tcW w:w="280" w:type="dxa"/>
            <w:vAlign w:val="bottom"/>
            <w:tcBorders>
              <w:bottom w:val="single" w:sz="8" w:color="D9D9D9"/>
              <w:right w:val="single" w:sz="8" w:color="auto"/>
            </w:tcBorders>
            <w:shd w:val="clear" w:color="auto" w:fill="D9D9D9"/>
          </w:tcPr>
          <w:p>
            <w:pPr>
              <w:spacing w:after="0"/>
              <w:rPr>
                <w:sz w:val="24"/>
                <w:szCs w:val="24"/>
                <w:color w:val="auto"/>
              </w:rPr>
            </w:pPr>
          </w:p>
        </w:tc>
        <w:tc>
          <w:tcPr>
            <w:tcW w:w="2940" w:type="dxa"/>
            <w:vAlign w:val="bottom"/>
            <w:tcBorders>
              <w:bottom w:val="single" w:sz="8" w:color="D9D9D9"/>
              <w:right w:val="single" w:sz="8" w:color="D9D9D9"/>
            </w:tcBorders>
            <w:gridSpan w:val="2"/>
            <w:shd w:val="clear" w:color="auto" w:fill="D9D9D9"/>
          </w:tcPr>
          <w:p>
            <w:pPr>
              <w:ind w:left="40"/>
              <w:spacing w:after="0"/>
              <w:rPr>
                <w:sz w:val="20"/>
                <w:szCs w:val="20"/>
                <w:color w:val="auto"/>
              </w:rPr>
            </w:pPr>
            <w:r>
              <w:rPr>
                <w:rFonts w:ascii="Arial" w:cs="Arial" w:eastAsia="Arial" w:hAnsi="Arial"/>
                <w:sz w:val="15"/>
                <w:szCs w:val="15"/>
                <w:b w:val="1"/>
                <w:bCs w:val="1"/>
                <w:color w:val="auto"/>
              </w:rPr>
              <w:t>Procedure</w:t>
            </w:r>
          </w:p>
        </w:tc>
        <w:tc>
          <w:tcPr>
            <w:tcW w:w="1980" w:type="dxa"/>
            <w:vAlign w:val="bottom"/>
            <w:tcBorders>
              <w:bottom w:val="single" w:sz="8" w:color="D9D9D9"/>
              <w:right w:val="single" w:sz="8" w:color="D9D9D9"/>
            </w:tcBorders>
            <w:shd w:val="clear" w:color="auto" w:fill="D9D9D9"/>
          </w:tcPr>
          <w:p>
            <w:pPr>
              <w:spacing w:after="0"/>
              <w:rPr>
                <w:sz w:val="24"/>
                <w:szCs w:val="24"/>
                <w:color w:val="auto"/>
              </w:rPr>
            </w:pPr>
          </w:p>
        </w:tc>
        <w:tc>
          <w:tcPr>
            <w:tcW w:w="2820" w:type="dxa"/>
            <w:vAlign w:val="bottom"/>
            <w:tcBorders>
              <w:bottom w:val="single" w:sz="8" w:color="D9D9D9"/>
              <w:right w:val="single" w:sz="8" w:color="D9D9D9"/>
            </w:tcBorders>
            <w:shd w:val="clear" w:color="auto" w:fill="D9D9D9"/>
          </w:tcPr>
          <w:p>
            <w:pPr>
              <w:spacing w:after="0"/>
              <w:rPr>
                <w:sz w:val="24"/>
                <w:szCs w:val="24"/>
                <w:color w:val="auto"/>
              </w:rPr>
            </w:pPr>
          </w:p>
        </w:tc>
        <w:tc>
          <w:tcPr>
            <w:tcW w:w="1600" w:type="dxa"/>
            <w:vAlign w:val="bottom"/>
            <w:tcBorders>
              <w:bottom w:val="single" w:sz="8" w:color="D9D9D9"/>
              <w:right w:val="single" w:sz="8" w:color="auto"/>
            </w:tcBorders>
            <w:shd w:val="clear" w:color="auto" w:fill="D9D9D9"/>
          </w:tcPr>
          <w:p>
            <w:pPr>
              <w:spacing w:after="0"/>
              <w:rPr>
                <w:sz w:val="24"/>
                <w:szCs w:val="24"/>
                <w:color w:val="auto"/>
              </w:rPr>
            </w:pPr>
          </w:p>
        </w:tc>
        <w:tc>
          <w:tcPr>
            <w:tcW w:w="1240" w:type="dxa"/>
            <w:vAlign w:val="bottom"/>
            <w:tcBorders>
              <w:bottom w:val="single" w:sz="8" w:color="D9D9D9"/>
              <w:right w:val="single" w:sz="8" w:color="auto"/>
            </w:tcBorders>
            <w:shd w:val="clear" w:color="auto" w:fill="D9D9D9"/>
          </w:tcPr>
          <w:p>
            <w:pPr>
              <w:ind w:left="40"/>
              <w:spacing w:after="0"/>
              <w:rPr>
                <w:sz w:val="20"/>
                <w:szCs w:val="20"/>
                <w:color w:val="auto"/>
              </w:rPr>
            </w:pPr>
            <w:r>
              <w:rPr>
                <w:rFonts w:ascii="Arial" w:cs="Arial" w:eastAsia="Arial" w:hAnsi="Arial"/>
                <w:sz w:val="16"/>
                <w:szCs w:val="16"/>
                <w:b w:val="1"/>
                <w:bCs w:val="1"/>
                <w:color w:val="auto"/>
              </w:rPr>
              <w:t>RT</w:t>
            </w:r>
          </w:p>
        </w:tc>
        <w:tc>
          <w:tcPr>
            <w:tcW w:w="0" w:type="dxa"/>
            <w:vAlign w:val="bottom"/>
          </w:tcPr>
          <w:p>
            <w:pPr>
              <w:spacing w:after="0"/>
              <w:rPr>
                <w:sz w:val="1"/>
                <w:szCs w:val="1"/>
                <w:color w:val="auto"/>
              </w:rPr>
            </w:pPr>
          </w:p>
        </w:tc>
      </w:tr>
      <w:tr>
        <w:trPr>
          <w:trHeight w:val="215"/>
        </w:trPr>
        <w:tc>
          <w:tcPr>
            <w:tcW w:w="480" w:type="dxa"/>
            <w:vAlign w:val="bottom"/>
            <w:tcBorders>
              <w:top w:val="single" w:sz="8" w:color="auto"/>
              <w:left w:val="single" w:sz="8" w:color="auto"/>
            </w:tcBorders>
          </w:tcPr>
          <w:p>
            <w:pPr>
              <w:ind w:left="20"/>
              <w:spacing w:after="0"/>
              <w:rPr>
                <w:sz w:val="20"/>
                <w:szCs w:val="20"/>
                <w:color w:val="auto"/>
              </w:rPr>
            </w:pPr>
            <w:r>
              <w:rPr>
                <w:rFonts w:ascii="Arial" w:cs="Arial" w:eastAsia="Arial" w:hAnsi="Arial"/>
                <w:sz w:val="15"/>
                <w:szCs w:val="15"/>
                <w:color w:val="auto"/>
              </w:rPr>
              <w:t>7.1</w:t>
            </w:r>
          </w:p>
        </w:tc>
        <w:tc>
          <w:tcPr>
            <w:tcW w:w="280" w:type="dxa"/>
            <w:vAlign w:val="bottom"/>
            <w:tcBorders>
              <w:top w:val="single" w:sz="8" w:color="auto"/>
              <w:right w:val="single" w:sz="8" w:color="auto"/>
            </w:tcBorders>
          </w:tcPr>
          <w:p>
            <w:pPr>
              <w:spacing w:after="0"/>
              <w:rPr>
                <w:sz w:val="18"/>
                <w:szCs w:val="18"/>
                <w:color w:val="auto"/>
              </w:rPr>
            </w:pPr>
          </w:p>
        </w:tc>
        <w:tc>
          <w:tcPr>
            <w:tcW w:w="400" w:type="dxa"/>
            <w:vAlign w:val="bottom"/>
            <w:tcBorders>
              <w:top w:val="single" w:sz="8" w:color="auto"/>
            </w:tcBorders>
          </w:tcPr>
          <w:p>
            <w:pPr>
              <w:ind w:left="80"/>
              <w:spacing w:after="0"/>
              <w:rPr>
                <w:sz w:val="20"/>
                <w:szCs w:val="20"/>
                <w:color w:val="auto"/>
              </w:rPr>
            </w:pPr>
            <w:r>
              <w:rPr>
                <w:rFonts w:ascii="Arial" w:cs="Arial" w:eastAsia="Arial" w:hAnsi="Arial"/>
                <w:sz w:val="15"/>
                <w:szCs w:val="15"/>
                <w:color w:val="auto"/>
                <w:w w:val="99"/>
              </w:rPr>
              <w:t>[***].</w:t>
            </w:r>
          </w:p>
        </w:tc>
        <w:tc>
          <w:tcPr>
            <w:tcW w:w="254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tcPr>
          <w:p>
            <w:pPr>
              <w:spacing w:after="0"/>
              <w:rPr>
                <w:sz w:val="18"/>
                <w:szCs w:val="18"/>
                <w:color w:val="auto"/>
              </w:rPr>
            </w:pPr>
          </w:p>
        </w:tc>
        <w:tc>
          <w:tcPr>
            <w:tcW w:w="2820" w:type="dxa"/>
            <w:vAlign w:val="bottom"/>
            <w:tcBorders>
              <w:top w:val="single" w:sz="8" w:color="auto"/>
            </w:tcBorders>
          </w:tcPr>
          <w:p>
            <w:pPr>
              <w:spacing w:after="0"/>
              <w:rPr>
                <w:sz w:val="18"/>
                <w:szCs w:val="18"/>
                <w:color w:val="auto"/>
              </w:rPr>
            </w:pPr>
          </w:p>
        </w:tc>
        <w:tc>
          <w:tcPr>
            <w:tcW w:w="1600" w:type="dxa"/>
            <w:vAlign w:val="bottom"/>
            <w:tcBorders>
              <w:top w:val="single" w:sz="8" w:color="auto"/>
              <w:right w:val="single" w:sz="8" w:color="auto"/>
            </w:tcBorders>
          </w:tcPr>
          <w:p>
            <w:pPr>
              <w:spacing w:after="0"/>
              <w:rPr>
                <w:sz w:val="18"/>
                <w:szCs w:val="18"/>
                <w:color w:val="auto"/>
              </w:rPr>
            </w:pPr>
          </w:p>
        </w:tc>
        <w:tc>
          <w:tcPr>
            <w:tcW w:w="124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Borders>
              <w:left w:val="single" w:sz="8" w:color="auto"/>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7.2</w:t>
            </w:r>
          </w:p>
        </w:tc>
        <w:tc>
          <w:tcPr>
            <w:tcW w:w="280" w:type="dxa"/>
            <w:vAlign w:val="bottom"/>
            <w:tcBorders>
              <w:right w:val="single" w:sz="8" w:color="auto"/>
            </w:tcBorders>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5"/>
                <w:szCs w:val="15"/>
                <w:color w:val="auto"/>
                <w:w w:val="99"/>
              </w:rPr>
              <w:t>[***].</w:t>
            </w:r>
          </w:p>
        </w:tc>
        <w:tc>
          <w:tcPr>
            <w:tcW w:w="25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Borders>
              <w:left w:val="single" w:sz="8" w:color="auto"/>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7.3</w:t>
            </w:r>
          </w:p>
        </w:tc>
        <w:tc>
          <w:tcPr>
            <w:tcW w:w="280" w:type="dxa"/>
            <w:vAlign w:val="bottom"/>
            <w:tcBorders>
              <w:right w:val="single" w:sz="8" w:color="auto"/>
            </w:tcBorders>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5"/>
                <w:szCs w:val="15"/>
                <w:color w:val="auto"/>
                <w:w w:val="99"/>
              </w:rPr>
              <w:t>[***].</w:t>
            </w:r>
          </w:p>
        </w:tc>
        <w:tc>
          <w:tcPr>
            <w:tcW w:w="25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Borders>
              <w:left w:val="single" w:sz="8" w:color="auto"/>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80" w:top="408" w:right="27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Appendix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4845685</wp:posOffset>
            </wp:positionH>
            <wp:positionV relativeFrom="paragraph">
              <wp:posOffset>139700</wp:posOffset>
            </wp:positionV>
            <wp:extent cx="1110615" cy="6553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10615" cy="65532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1480"/>
        <w:spacing w:after="0"/>
        <w:rPr>
          <w:sz w:val="20"/>
          <w:szCs w:val="20"/>
          <w:color w:val="auto"/>
        </w:rPr>
      </w:pPr>
      <w:r>
        <w:rPr>
          <w:rFonts w:ascii="Arial" w:cs="Arial" w:eastAsia="Arial" w:hAnsi="Arial"/>
          <w:sz w:val="21"/>
          <w:szCs w:val="21"/>
          <w:color w:val="auto"/>
        </w:rPr>
        <w:t>Accepted Test Procedures (ATP)</w:t>
      </w:r>
    </w:p>
    <w:p>
      <w:pPr>
        <w:spacing w:after="0" w:line="200" w:lineRule="exact"/>
        <w:rPr>
          <w:sz w:val="20"/>
          <w:szCs w:val="20"/>
          <w:color w:val="auto"/>
        </w:rPr>
      </w:pPr>
    </w:p>
    <w:p>
      <w:pPr>
        <w:spacing w:after="0" w:line="393"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3700" w:type="dxa"/>
            <w:vAlign w:val="bottom"/>
            <w:tcBorders>
              <w:top w:val="single" w:sz="8" w:color="auto"/>
              <w:left w:val="single" w:sz="8" w:color="auto"/>
              <w:bottom w:val="single" w:sz="8" w:color="auto"/>
            </w:tcBorders>
            <w:gridSpan w:val="3"/>
          </w:tcPr>
          <w:p>
            <w:pPr>
              <w:ind w:left="20"/>
              <w:spacing w:after="0"/>
              <w:rPr>
                <w:sz w:val="20"/>
                <w:szCs w:val="20"/>
                <w:color w:val="auto"/>
              </w:rPr>
            </w:pPr>
            <w:r>
              <w:rPr>
                <w:rFonts w:ascii="Arial" w:cs="Arial" w:eastAsia="Arial" w:hAnsi="Arial"/>
                <w:sz w:val="15"/>
                <w:szCs w:val="15"/>
                <w:color w:val="auto"/>
              </w:rPr>
              <w:t>Project: Kornit 931/932/951/952/953</w:t>
            </w:r>
          </w:p>
        </w:tc>
        <w:tc>
          <w:tcPr>
            <w:tcW w:w="1980" w:type="dxa"/>
            <w:vAlign w:val="bottom"/>
            <w:tcBorders>
              <w:top w:val="single" w:sz="8" w:color="auto"/>
              <w:bottom w:val="single" w:sz="8" w:color="auto"/>
              <w:right w:val="single" w:sz="8" w:color="auto"/>
            </w:tcBorders>
          </w:tcPr>
          <w:p>
            <w:pPr>
              <w:spacing w:after="0"/>
              <w:rPr>
                <w:sz w:val="16"/>
                <w:szCs w:val="16"/>
                <w:color w:val="auto"/>
              </w:rPr>
            </w:pPr>
          </w:p>
        </w:tc>
        <w:tc>
          <w:tcPr>
            <w:tcW w:w="282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rPr>
              <w:t>Subject: ATP</w:t>
            </w:r>
          </w:p>
        </w:tc>
        <w:tc>
          <w:tcPr>
            <w:tcW w:w="160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700" w:type="dxa"/>
            <w:vAlign w:val="bottom"/>
            <w:tcBorders>
              <w:left w:val="single" w:sz="8" w:color="auto"/>
              <w:bottom w:val="single" w:sz="8" w:color="auto"/>
              <w:right w:val="single" w:sz="8" w:color="auto"/>
            </w:tcBorders>
            <w:gridSpan w:val="3"/>
          </w:tcPr>
          <w:p>
            <w:pPr>
              <w:ind w:left="20"/>
              <w:spacing w:after="0" w:line="171" w:lineRule="exact"/>
              <w:rPr>
                <w:sz w:val="20"/>
                <w:szCs w:val="20"/>
                <w:color w:val="auto"/>
              </w:rPr>
            </w:pPr>
            <w:r>
              <w:rPr>
                <w:rFonts w:ascii="Arial" w:cs="Arial" w:eastAsia="Arial" w:hAnsi="Arial"/>
                <w:sz w:val="15"/>
                <w:szCs w:val="15"/>
                <w:color w:val="auto"/>
              </w:rPr>
              <w:t>Order Number: 60-PATP-0001</w:t>
            </w:r>
          </w:p>
        </w:tc>
        <w:tc>
          <w:tcPr>
            <w:tcW w:w="1980" w:type="dxa"/>
            <w:vAlign w:val="bottom"/>
            <w:tcBorders>
              <w:bottom w:val="single" w:sz="8" w:color="auto"/>
              <w:right w:val="single" w:sz="8" w:color="auto"/>
            </w:tcBorders>
          </w:tcPr>
          <w:p>
            <w:pPr>
              <w:spacing w:after="0" w:line="171" w:lineRule="exact"/>
              <w:rPr>
                <w:sz w:val="20"/>
                <w:szCs w:val="20"/>
                <w:color w:val="auto"/>
              </w:rPr>
            </w:pPr>
            <w:r>
              <w:rPr>
                <w:rFonts w:ascii="Arial" w:cs="Arial" w:eastAsia="Arial" w:hAnsi="Arial"/>
                <w:sz w:val="15"/>
                <w:szCs w:val="15"/>
                <w:color w:val="auto"/>
              </w:rPr>
              <w:t>Date: 07/16/2013</w:t>
            </w:r>
          </w:p>
        </w:tc>
        <w:tc>
          <w:tcPr>
            <w:tcW w:w="2820" w:type="dxa"/>
            <w:vAlign w:val="bottom"/>
            <w:tcBorders>
              <w:bottom w:val="single" w:sz="8" w:color="auto"/>
              <w:right w:val="single" w:sz="8" w:color="auto"/>
            </w:tcBorders>
          </w:tcPr>
          <w:p>
            <w:pPr>
              <w:spacing w:after="0" w:line="171" w:lineRule="exact"/>
              <w:rPr>
                <w:sz w:val="20"/>
                <w:szCs w:val="20"/>
                <w:color w:val="auto"/>
              </w:rPr>
            </w:pPr>
            <w:r>
              <w:rPr>
                <w:rFonts w:ascii="Arial" w:cs="Arial" w:eastAsia="Arial" w:hAnsi="Arial"/>
                <w:sz w:val="15"/>
                <w:szCs w:val="15"/>
                <w:color w:val="auto"/>
              </w:rPr>
              <w:t>Revision: 2</w:t>
            </w:r>
          </w:p>
        </w:tc>
        <w:tc>
          <w:tcPr>
            <w:tcW w:w="2840" w:type="dxa"/>
            <w:vAlign w:val="bottom"/>
            <w:tcBorders>
              <w:bottom w:val="single" w:sz="8" w:color="auto"/>
              <w:right w:val="single" w:sz="8" w:color="auto"/>
            </w:tcBorders>
            <w:gridSpan w:val="2"/>
          </w:tcPr>
          <w:p>
            <w:pPr>
              <w:spacing w:after="0" w:line="171" w:lineRule="exact"/>
              <w:rPr>
                <w:sz w:val="20"/>
                <w:szCs w:val="20"/>
                <w:color w:val="auto"/>
              </w:rPr>
            </w:pPr>
            <w:r>
              <w:rPr>
                <w:rFonts w:ascii="Arial" w:cs="Arial" w:eastAsia="Arial" w:hAnsi="Arial"/>
                <w:sz w:val="15"/>
                <w:szCs w:val="15"/>
                <w:color w:val="auto"/>
              </w:rPr>
              <w:t>Page 6 of 6</w:t>
            </w:r>
          </w:p>
        </w:tc>
        <w:tc>
          <w:tcPr>
            <w:tcW w:w="0" w:type="dxa"/>
            <w:vAlign w:val="bottom"/>
          </w:tcPr>
          <w:p>
            <w:pPr>
              <w:spacing w:after="0"/>
              <w:rPr>
                <w:sz w:val="1"/>
                <w:szCs w:val="1"/>
                <w:color w:val="auto"/>
              </w:rPr>
            </w:pPr>
          </w:p>
        </w:tc>
      </w:tr>
      <w:tr>
        <w:trPr>
          <w:trHeight w:val="160"/>
        </w:trPr>
        <w:tc>
          <w:tcPr>
            <w:tcW w:w="500" w:type="dxa"/>
            <w:vAlign w:val="bottom"/>
            <w:tcBorders>
              <w:left w:val="single" w:sz="8" w:color="auto"/>
            </w:tcBorders>
          </w:tcPr>
          <w:p>
            <w:pPr>
              <w:ind w:left="20"/>
              <w:spacing w:after="0" w:line="160" w:lineRule="exact"/>
              <w:rPr>
                <w:sz w:val="20"/>
                <w:szCs w:val="20"/>
                <w:color w:val="auto"/>
              </w:rPr>
            </w:pPr>
            <w:r>
              <w:rPr>
                <w:rFonts w:ascii="Arial" w:cs="Arial" w:eastAsia="Arial" w:hAnsi="Arial"/>
                <w:sz w:val="15"/>
                <w:szCs w:val="15"/>
                <w:color w:val="auto"/>
              </w:rPr>
              <w:t>Editor:</w:t>
            </w:r>
          </w:p>
        </w:tc>
        <w:tc>
          <w:tcPr>
            <w:tcW w:w="260" w:type="dxa"/>
            <w:vAlign w:val="bottom"/>
          </w:tcPr>
          <w:p>
            <w:pPr>
              <w:spacing w:after="0"/>
              <w:rPr>
                <w:sz w:val="13"/>
                <w:szCs w:val="13"/>
                <w:color w:val="auto"/>
              </w:rPr>
            </w:pPr>
          </w:p>
        </w:tc>
        <w:tc>
          <w:tcPr>
            <w:tcW w:w="2940" w:type="dxa"/>
            <w:vAlign w:val="bottom"/>
            <w:tcBorders>
              <w:right w:val="single" w:sz="8" w:color="auto"/>
            </w:tcBorders>
          </w:tcPr>
          <w:p>
            <w:pPr>
              <w:spacing w:after="0"/>
              <w:rPr>
                <w:sz w:val="13"/>
                <w:szCs w:val="13"/>
                <w:color w:val="auto"/>
              </w:rPr>
            </w:pPr>
          </w:p>
        </w:tc>
        <w:tc>
          <w:tcPr>
            <w:tcW w:w="1980" w:type="dxa"/>
            <w:vAlign w:val="bottom"/>
            <w:tcBorders>
              <w:right w:val="single" w:sz="8" w:color="auto"/>
            </w:tcBorders>
          </w:tcPr>
          <w:p>
            <w:pPr>
              <w:spacing w:after="0" w:line="160" w:lineRule="exact"/>
              <w:rPr>
                <w:sz w:val="20"/>
                <w:szCs w:val="20"/>
                <w:color w:val="auto"/>
              </w:rPr>
            </w:pPr>
            <w:r>
              <w:rPr>
                <w:rFonts w:ascii="Arial" w:cs="Arial" w:eastAsia="Arial" w:hAnsi="Arial"/>
                <w:sz w:val="15"/>
                <w:szCs w:val="15"/>
                <w:color w:val="auto"/>
              </w:rPr>
              <w:t>Confirmed by:</w:t>
            </w:r>
          </w:p>
        </w:tc>
        <w:tc>
          <w:tcPr>
            <w:tcW w:w="2820" w:type="dxa"/>
            <w:vAlign w:val="bottom"/>
            <w:vMerge w:val="restart"/>
          </w:tcPr>
          <w:p>
            <w:pPr>
              <w:spacing w:after="0"/>
              <w:rPr>
                <w:sz w:val="20"/>
                <w:szCs w:val="20"/>
                <w:color w:val="auto"/>
              </w:rPr>
            </w:pPr>
            <w:r>
              <w:rPr>
                <w:rFonts w:ascii="Arial" w:cs="Arial" w:eastAsia="Arial" w:hAnsi="Arial"/>
                <w:sz w:val="15"/>
                <w:szCs w:val="15"/>
                <w:color w:val="auto"/>
              </w:rPr>
              <w:t>Signature:</w:t>
            </w:r>
          </w:p>
        </w:tc>
        <w:tc>
          <w:tcPr>
            <w:tcW w:w="1600" w:type="dxa"/>
            <w:vAlign w:val="bottom"/>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3700" w:type="dxa"/>
            <w:vAlign w:val="bottom"/>
            <w:tcBorders>
              <w:left w:val="single" w:sz="8" w:color="auto"/>
              <w:right w:val="single" w:sz="8" w:color="auto"/>
            </w:tcBorders>
            <w:gridSpan w:val="3"/>
            <w:vMerge w:val="restart"/>
          </w:tcPr>
          <w:p>
            <w:pPr>
              <w:ind w:left="20"/>
              <w:spacing w:after="0"/>
              <w:rPr>
                <w:sz w:val="20"/>
                <w:szCs w:val="20"/>
                <w:color w:val="auto"/>
              </w:rPr>
            </w:pPr>
            <w:r>
              <w:rPr>
                <w:rFonts w:ascii="Arial" w:cs="Arial" w:eastAsia="Arial" w:hAnsi="Arial"/>
                <w:sz w:val="15"/>
                <w:szCs w:val="15"/>
                <w:color w:val="auto"/>
              </w:rPr>
              <w:t>Lev Superfin</w:t>
            </w:r>
          </w:p>
        </w:tc>
        <w:tc>
          <w:tcPr>
            <w:tcW w:w="1980" w:type="dxa"/>
            <w:vAlign w:val="bottom"/>
            <w:tcBorders>
              <w:right w:val="single" w:sz="8" w:color="auto"/>
            </w:tcBorders>
            <w:vMerge w:val="restart"/>
          </w:tcPr>
          <w:p>
            <w:pPr>
              <w:spacing w:after="0"/>
              <w:rPr>
                <w:sz w:val="20"/>
                <w:szCs w:val="20"/>
                <w:color w:val="auto"/>
              </w:rPr>
            </w:pPr>
            <w:r>
              <w:rPr>
                <w:rFonts w:ascii="Arial" w:cs="Arial" w:eastAsia="Arial" w:hAnsi="Arial"/>
                <w:sz w:val="15"/>
                <w:szCs w:val="15"/>
                <w:color w:val="auto"/>
              </w:rPr>
              <w:t>Rea Rogel</w:t>
            </w:r>
          </w:p>
        </w:tc>
        <w:tc>
          <w:tcPr>
            <w:tcW w:w="2820" w:type="dxa"/>
            <w:vAlign w:val="bottom"/>
            <w:vMerge w:val="continue"/>
          </w:tcPr>
          <w:p>
            <w:pPr>
              <w:spacing w:after="0"/>
              <w:rPr>
                <w:sz w:val="8"/>
                <w:szCs w:val="8"/>
                <w:color w:val="auto"/>
              </w:rPr>
            </w:pPr>
          </w:p>
        </w:tc>
        <w:tc>
          <w:tcPr>
            <w:tcW w:w="1600" w:type="dxa"/>
            <w:vAlign w:val="bottom"/>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3700" w:type="dxa"/>
            <w:vAlign w:val="bottom"/>
            <w:tcBorders>
              <w:left w:val="single" w:sz="8" w:color="auto"/>
              <w:bottom w:val="single" w:sz="8" w:color="auto"/>
              <w:right w:val="single" w:sz="8" w:color="auto"/>
            </w:tcBorders>
            <w:gridSpan w:val="3"/>
            <w:vMerge w:val="continue"/>
          </w:tcPr>
          <w:p>
            <w:pPr>
              <w:spacing w:after="0"/>
              <w:rPr>
                <w:sz w:val="7"/>
                <w:szCs w:val="7"/>
                <w:color w:val="auto"/>
              </w:rPr>
            </w:pPr>
          </w:p>
        </w:tc>
        <w:tc>
          <w:tcPr>
            <w:tcW w:w="1980" w:type="dxa"/>
            <w:vAlign w:val="bottom"/>
            <w:tcBorders>
              <w:bottom w:val="single" w:sz="8" w:color="auto"/>
              <w:right w:val="single" w:sz="8" w:color="auto"/>
            </w:tcBorders>
            <w:vMerge w:val="continue"/>
          </w:tcPr>
          <w:p>
            <w:pPr>
              <w:spacing w:after="0"/>
              <w:rPr>
                <w:sz w:val="7"/>
                <w:szCs w:val="7"/>
                <w:color w:val="auto"/>
              </w:rPr>
            </w:pPr>
          </w:p>
        </w:tc>
        <w:tc>
          <w:tcPr>
            <w:tcW w:w="282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31"/>
        </w:trPr>
        <w:tc>
          <w:tcPr>
            <w:tcW w:w="500" w:type="dxa"/>
            <w:vAlign w:val="bottom"/>
          </w:tcPr>
          <w:p>
            <w:pPr>
              <w:spacing w:after="0"/>
              <w:rPr>
                <w:sz w:val="20"/>
                <w:szCs w:val="20"/>
                <w:color w:val="auto"/>
              </w:rPr>
            </w:pPr>
            <w:r>
              <w:rPr>
                <w:rFonts w:ascii="Arial" w:cs="Arial" w:eastAsia="Arial" w:hAnsi="Arial"/>
                <w:sz w:val="15"/>
                <w:szCs w:val="15"/>
                <w:color w:val="auto"/>
              </w:rPr>
              <w:t>8.</w:t>
            </w:r>
          </w:p>
        </w:tc>
        <w:tc>
          <w:tcPr>
            <w:tcW w:w="3200" w:type="dxa"/>
            <w:vAlign w:val="bottom"/>
            <w:gridSpan w:val="2"/>
            <w:vMerge w:val="restart"/>
          </w:tcPr>
          <w:p>
            <w:pPr>
              <w:jc w:val="center"/>
              <w:ind w:right="2165"/>
              <w:spacing w:after="0"/>
              <w:rPr>
                <w:sz w:val="20"/>
                <w:szCs w:val="20"/>
                <w:color w:val="auto"/>
              </w:rPr>
            </w:pPr>
            <w:r>
              <w:rPr>
                <w:rFonts w:ascii="Arial" w:cs="Arial" w:eastAsia="Arial" w:hAnsi="Arial"/>
                <w:sz w:val="15"/>
                <w:szCs w:val="15"/>
                <w:b w:val="1"/>
                <w:bCs w:val="1"/>
                <w:color w:val="auto"/>
                <w:w w:val="99"/>
              </w:rPr>
              <w:t>Final Stages</w:t>
            </w:r>
          </w:p>
        </w:tc>
        <w:tc>
          <w:tcPr>
            <w:tcW w:w="19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00" w:type="dxa"/>
            <w:vAlign w:val="bottom"/>
          </w:tcPr>
          <w:p>
            <w:pPr>
              <w:spacing w:after="0"/>
              <w:rPr>
                <w:sz w:val="9"/>
                <w:szCs w:val="9"/>
                <w:color w:val="auto"/>
              </w:rPr>
            </w:pPr>
          </w:p>
        </w:tc>
        <w:tc>
          <w:tcPr>
            <w:tcW w:w="3200" w:type="dxa"/>
            <w:vAlign w:val="bottom"/>
            <w:gridSpan w:val="2"/>
            <w:vMerge w:val="continue"/>
          </w:tcPr>
          <w:p>
            <w:pPr>
              <w:spacing w:after="0"/>
              <w:rPr>
                <w:sz w:val="9"/>
                <w:szCs w:val="9"/>
                <w:color w:val="auto"/>
              </w:rPr>
            </w:pPr>
          </w:p>
        </w:tc>
        <w:tc>
          <w:tcPr>
            <w:tcW w:w="1980" w:type="dxa"/>
            <w:vAlign w:val="bottom"/>
          </w:tcPr>
          <w:p>
            <w:pPr>
              <w:spacing w:after="0"/>
              <w:rPr>
                <w:sz w:val="9"/>
                <w:szCs w:val="9"/>
                <w:color w:val="auto"/>
              </w:rPr>
            </w:pPr>
          </w:p>
        </w:tc>
        <w:tc>
          <w:tcPr>
            <w:tcW w:w="28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940" w:type="dxa"/>
            <w:vAlign w:val="bottom"/>
            <w:tcBorders>
              <w:bottom w:val="single" w:sz="8" w:color="auto"/>
            </w:tcBorders>
          </w:tcPr>
          <w:p>
            <w:pPr>
              <w:spacing w:after="0"/>
              <w:rPr>
                <w:sz w:val="11"/>
                <w:szCs w:val="11"/>
                <w:color w:val="auto"/>
              </w:rPr>
            </w:pPr>
          </w:p>
        </w:tc>
        <w:tc>
          <w:tcPr>
            <w:tcW w:w="1980" w:type="dxa"/>
            <w:vAlign w:val="bottom"/>
            <w:tcBorders>
              <w:bottom w:val="single" w:sz="8" w:color="auto"/>
            </w:tcBorders>
          </w:tcPr>
          <w:p>
            <w:pPr>
              <w:spacing w:after="0"/>
              <w:rPr>
                <w:sz w:val="11"/>
                <w:szCs w:val="11"/>
                <w:color w:val="auto"/>
              </w:rPr>
            </w:pPr>
          </w:p>
        </w:tc>
        <w:tc>
          <w:tcPr>
            <w:tcW w:w="282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500" w:type="dxa"/>
            <w:vAlign w:val="bottom"/>
            <w:tcBorders>
              <w:left w:val="single" w:sz="8" w:color="auto"/>
              <w:bottom w:val="single" w:sz="8" w:color="D9D9D9"/>
            </w:tcBorders>
            <w:shd w:val="clear" w:color="auto" w:fill="D9D9D9"/>
          </w:tcPr>
          <w:p>
            <w:pPr>
              <w:ind w:left="60"/>
              <w:spacing w:after="0"/>
              <w:rPr>
                <w:sz w:val="20"/>
                <w:szCs w:val="20"/>
                <w:color w:val="auto"/>
              </w:rPr>
            </w:pPr>
            <w:r>
              <w:rPr>
                <w:rFonts w:ascii="Arial" w:cs="Arial" w:eastAsia="Arial" w:hAnsi="Arial"/>
                <w:sz w:val="15"/>
                <w:szCs w:val="15"/>
                <w:b w:val="1"/>
                <w:bCs w:val="1"/>
                <w:color w:val="auto"/>
              </w:rPr>
              <w:t>No.</w:t>
            </w:r>
          </w:p>
        </w:tc>
        <w:tc>
          <w:tcPr>
            <w:tcW w:w="260" w:type="dxa"/>
            <w:vAlign w:val="bottom"/>
            <w:tcBorders>
              <w:bottom w:val="single" w:sz="8" w:color="D9D9D9"/>
              <w:right w:val="single" w:sz="8" w:color="auto"/>
            </w:tcBorders>
            <w:shd w:val="clear" w:color="auto" w:fill="D9D9D9"/>
          </w:tcPr>
          <w:p>
            <w:pPr>
              <w:spacing w:after="0"/>
              <w:rPr>
                <w:sz w:val="24"/>
                <w:szCs w:val="24"/>
                <w:color w:val="auto"/>
              </w:rPr>
            </w:pPr>
          </w:p>
        </w:tc>
        <w:tc>
          <w:tcPr>
            <w:tcW w:w="2940" w:type="dxa"/>
            <w:vAlign w:val="bottom"/>
            <w:tcBorders>
              <w:bottom w:val="single" w:sz="8" w:color="D9D9D9"/>
              <w:right w:val="single" w:sz="8" w:color="D9D9D9"/>
            </w:tcBorders>
            <w:shd w:val="clear" w:color="auto" w:fill="D9D9D9"/>
          </w:tcPr>
          <w:p>
            <w:pPr>
              <w:ind w:left="40"/>
              <w:spacing w:after="0"/>
              <w:rPr>
                <w:sz w:val="20"/>
                <w:szCs w:val="20"/>
                <w:color w:val="auto"/>
              </w:rPr>
            </w:pPr>
            <w:r>
              <w:rPr>
                <w:rFonts w:ascii="Arial" w:cs="Arial" w:eastAsia="Arial" w:hAnsi="Arial"/>
                <w:sz w:val="15"/>
                <w:szCs w:val="15"/>
                <w:b w:val="1"/>
                <w:bCs w:val="1"/>
                <w:color w:val="auto"/>
              </w:rPr>
              <w:t>Procedure</w:t>
            </w:r>
          </w:p>
        </w:tc>
        <w:tc>
          <w:tcPr>
            <w:tcW w:w="1980" w:type="dxa"/>
            <w:vAlign w:val="bottom"/>
            <w:tcBorders>
              <w:bottom w:val="single" w:sz="8" w:color="D9D9D9"/>
              <w:right w:val="single" w:sz="8" w:color="D9D9D9"/>
            </w:tcBorders>
            <w:shd w:val="clear" w:color="auto" w:fill="D9D9D9"/>
          </w:tcPr>
          <w:p>
            <w:pPr>
              <w:spacing w:after="0"/>
              <w:rPr>
                <w:sz w:val="24"/>
                <w:szCs w:val="24"/>
                <w:color w:val="auto"/>
              </w:rPr>
            </w:pPr>
          </w:p>
        </w:tc>
        <w:tc>
          <w:tcPr>
            <w:tcW w:w="2820" w:type="dxa"/>
            <w:vAlign w:val="bottom"/>
            <w:tcBorders>
              <w:bottom w:val="single" w:sz="8" w:color="D9D9D9"/>
              <w:right w:val="single" w:sz="8" w:color="D9D9D9"/>
            </w:tcBorders>
            <w:shd w:val="clear" w:color="auto" w:fill="D9D9D9"/>
          </w:tcPr>
          <w:p>
            <w:pPr>
              <w:spacing w:after="0"/>
              <w:rPr>
                <w:sz w:val="24"/>
                <w:szCs w:val="24"/>
                <w:color w:val="auto"/>
              </w:rPr>
            </w:pPr>
          </w:p>
        </w:tc>
        <w:tc>
          <w:tcPr>
            <w:tcW w:w="1600" w:type="dxa"/>
            <w:vAlign w:val="bottom"/>
            <w:tcBorders>
              <w:bottom w:val="single" w:sz="8" w:color="D9D9D9"/>
              <w:right w:val="single" w:sz="8" w:color="auto"/>
            </w:tcBorders>
            <w:shd w:val="clear" w:color="auto" w:fill="D9D9D9"/>
          </w:tcPr>
          <w:p>
            <w:pPr>
              <w:spacing w:after="0"/>
              <w:rPr>
                <w:sz w:val="24"/>
                <w:szCs w:val="24"/>
                <w:color w:val="auto"/>
              </w:rPr>
            </w:pPr>
          </w:p>
        </w:tc>
        <w:tc>
          <w:tcPr>
            <w:tcW w:w="1240" w:type="dxa"/>
            <w:vAlign w:val="bottom"/>
            <w:tcBorders>
              <w:bottom w:val="single" w:sz="8" w:color="D9D9D9"/>
              <w:right w:val="single" w:sz="8" w:color="auto"/>
            </w:tcBorders>
            <w:shd w:val="clear" w:color="auto" w:fill="D9D9D9"/>
          </w:tcPr>
          <w:p>
            <w:pPr>
              <w:ind w:left="40"/>
              <w:spacing w:after="0"/>
              <w:rPr>
                <w:sz w:val="20"/>
                <w:szCs w:val="20"/>
                <w:color w:val="auto"/>
              </w:rPr>
            </w:pPr>
            <w:r>
              <w:rPr>
                <w:rFonts w:ascii="Arial" w:cs="Arial" w:eastAsia="Arial" w:hAnsi="Arial"/>
                <w:sz w:val="16"/>
                <w:szCs w:val="16"/>
                <w:b w:val="1"/>
                <w:bCs w:val="1"/>
                <w:color w:val="auto"/>
              </w:rPr>
              <w:t>RT</w:t>
            </w:r>
          </w:p>
        </w:tc>
        <w:tc>
          <w:tcPr>
            <w:tcW w:w="0" w:type="dxa"/>
            <w:vAlign w:val="bottom"/>
          </w:tcPr>
          <w:p>
            <w:pPr>
              <w:spacing w:after="0"/>
              <w:rPr>
                <w:sz w:val="1"/>
                <w:szCs w:val="1"/>
                <w:color w:val="auto"/>
              </w:rPr>
            </w:pPr>
          </w:p>
        </w:tc>
      </w:tr>
      <w:tr>
        <w:trPr>
          <w:trHeight w:val="215"/>
        </w:trPr>
        <w:tc>
          <w:tcPr>
            <w:tcW w:w="500" w:type="dxa"/>
            <w:vAlign w:val="bottom"/>
            <w:tcBorders>
              <w:top w:val="single" w:sz="8" w:color="auto"/>
              <w:left w:val="single" w:sz="8" w:color="auto"/>
            </w:tcBorders>
          </w:tcPr>
          <w:p>
            <w:pPr>
              <w:ind w:left="20"/>
              <w:spacing w:after="0"/>
              <w:rPr>
                <w:sz w:val="20"/>
                <w:szCs w:val="20"/>
                <w:color w:val="auto"/>
              </w:rPr>
            </w:pPr>
            <w:r>
              <w:rPr>
                <w:rFonts w:ascii="Arial" w:cs="Arial" w:eastAsia="Arial" w:hAnsi="Arial"/>
                <w:sz w:val="15"/>
                <w:szCs w:val="15"/>
                <w:color w:val="auto"/>
              </w:rPr>
              <w:t>8.1</w:t>
            </w:r>
          </w:p>
        </w:tc>
        <w:tc>
          <w:tcPr>
            <w:tcW w:w="260" w:type="dxa"/>
            <w:vAlign w:val="bottom"/>
            <w:tcBorders>
              <w:top w:val="single" w:sz="8" w:color="auto"/>
              <w:right w:val="single" w:sz="8" w:color="auto"/>
            </w:tcBorders>
          </w:tcPr>
          <w:p>
            <w:pPr>
              <w:spacing w:after="0"/>
              <w:rPr>
                <w:sz w:val="18"/>
                <w:szCs w:val="18"/>
                <w:color w:val="auto"/>
              </w:rPr>
            </w:pPr>
          </w:p>
        </w:tc>
        <w:tc>
          <w:tcPr>
            <w:tcW w:w="2940" w:type="dxa"/>
            <w:vAlign w:val="bottom"/>
            <w:tcBorders>
              <w:top w:val="single" w:sz="8" w:color="auto"/>
            </w:tcBorders>
          </w:tcPr>
          <w:p>
            <w:pPr>
              <w:jc w:val="center"/>
              <w:ind w:right="2425"/>
              <w:spacing w:after="0"/>
              <w:rPr>
                <w:sz w:val="20"/>
                <w:szCs w:val="20"/>
                <w:color w:val="auto"/>
              </w:rPr>
            </w:pPr>
            <w:r>
              <w:rPr>
                <w:rFonts w:ascii="Arial" w:cs="Arial" w:eastAsia="Arial" w:hAnsi="Arial"/>
                <w:sz w:val="15"/>
                <w:szCs w:val="15"/>
                <w:color w:val="auto"/>
                <w:w w:val="93"/>
              </w:rPr>
              <w:t>[***].</w:t>
            </w:r>
          </w:p>
        </w:tc>
        <w:tc>
          <w:tcPr>
            <w:tcW w:w="1980" w:type="dxa"/>
            <w:vAlign w:val="bottom"/>
            <w:tcBorders>
              <w:top w:val="single" w:sz="8" w:color="auto"/>
            </w:tcBorders>
          </w:tcPr>
          <w:p>
            <w:pPr>
              <w:spacing w:after="0"/>
              <w:rPr>
                <w:sz w:val="18"/>
                <w:szCs w:val="18"/>
                <w:color w:val="auto"/>
              </w:rPr>
            </w:pPr>
          </w:p>
        </w:tc>
        <w:tc>
          <w:tcPr>
            <w:tcW w:w="2820" w:type="dxa"/>
            <w:vAlign w:val="bottom"/>
            <w:tcBorders>
              <w:top w:val="single" w:sz="8" w:color="auto"/>
            </w:tcBorders>
          </w:tcPr>
          <w:p>
            <w:pPr>
              <w:spacing w:after="0"/>
              <w:rPr>
                <w:sz w:val="18"/>
                <w:szCs w:val="18"/>
                <w:color w:val="auto"/>
              </w:rPr>
            </w:pPr>
          </w:p>
        </w:tc>
        <w:tc>
          <w:tcPr>
            <w:tcW w:w="1600" w:type="dxa"/>
            <w:vAlign w:val="bottom"/>
            <w:tcBorders>
              <w:top w:val="single" w:sz="8" w:color="auto"/>
              <w:right w:val="single" w:sz="8" w:color="auto"/>
            </w:tcBorders>
          </w:tcPr>
          <w:p>
            <w:pPr>
              <w:spacing w:after="0"/>
              <w:rPr>
                <w:sz w:val="18"/>
                <w:szCs w:val="18"/>
                <w:color w:val="auto"/>
              </w:rPr>
            </w:pPr>
          </w:p>
        </w:tc>
        <w:tc>
          <w:tcPr>
            <w:tcW w:w="124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0" w:type="dxa"/>
            <w:vAlign w:val="bottom"/>
            <w:tcBorders>
              <w:left w:val="single" w:sz="8" w:color="auto"/>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29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8.2</w:t>
            </w:r>
          </w:p>
        </w:tc>
        <w:tc>
          <w:tcPr>
            <w:tcW w:w="260" w:type="dxa"/>
            <w:vAlign w:val="bottom"/>
            <w:tcBorders>
              <w:right w:val="single" w:sz="8" w:color="auto"/>
            </w:tcBorders>
          </w:tcPr>
          <w:p>
            <w:pPr>
              <w:spacing w:after="0"/>
              <w:rPr>
                <w:sz w:val="18"/>
                <w:szCs w:val="18"/>
                <w:color w:val="auto"/>
              </w:rPr>
            </w:pPr>
          </w:p>
        </w:tc>
        <w:tc>
          <w:tcPr>
            <w:tcW w:w="2940" w:type="dxa"/>
            <w:vAlign w:val="bottom"/>
          </w:tcPr>
          <w:p>
            <w:pPr>
              <w:jc w:val="center"/>
              <w:ind w:right="2425"/>
              <w:spacing w:after="0"/>
              <w:rPr>
                <w:sz w:val="20"/>
                <w:szCs w:val="20"/>
                <w:color w:val="auto"/>
              </w:rPr>
            </w:pPr>
            <w:r>
              <w:rPr>
                <w:rFonts w:ascii="Arial" w:cs="Arial" w:eastAsia="Arial" w:hAnsi="Arial"/>
                <w:sz w:val="15"/>
                <w:szCs w:val="15"/>
                <w:color w:val="auto"/>
                <w:w w:val="93"/>
              </w:rPr>
              <w:t>[***].</w:t>
            </w: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0" w:type="dxa"/>
            <w:vAlign w:val="bottom"/>
            <w:tcBorders>
              <w:left w:val="single" w:sz="8" w:color="auto"/>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29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8.3</w:t>
            </w:r>
          </w:p>
        </w:tc>
        <w:tc>
          <w:tcPr>
            <w:tcW w:w="260" w:type="dxa"/>
            <w:vAlign w:val="bottom"/>
            <w:tcBorders>
              <w:right w:val="single" w:sz="8" w:color="auto"/>
            </w:tcBorders>
          </w:tcPr>
          <w:p>
            <w:pPr>
              <w:spacing w:after="0"/>
              <w:rPr>
                <w:sz w:val="18"/>
                <w:szCs w:val="18"/>
                <w:color w:val="auto"/>
              </w:rPr>
            </w:pPr>
          </w:p>
        </w:tc>
        <w:tc>
          <w:tcPr>
            <w:tcW w:w="2940" w:type="dxa"/>
            <w:vAlign w:val="bottom"/>
          </w:tcPr>
          <w:p>
            <w:pPr>
              <w:jc w:val="center"/>
              <w:ind w:right="2425"/>
              <w:spacing w:after="0"/>
              <w:rPr>
                <w:sz w:val="20"/>
                <w:szCs w:val="20"/>
                <w:color w:val="auto"/>
              </w:rPr>
            </w:pPr>
            <w:r>
              <w:rPr>
                <w:rFonts w:ascii="Arial" w:cs="Arial" w:eastAsia="Arial" w:hAnsi="Arial"/>
                <w:sz w:val="15"/>
                <w:szCs w:val="15"/>
                <w:color w:val="auto"/>
                <w:w w:val="93"/>
              </w:rPr>
              <w:t>[***].</w:t>
            </w: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0" w:type="dxa"/>
            <w:vAlign w:val="bottom"/>
            <w:tcBorders>
              <w:left w:val="single" w:sz="8" w:color="auto"/>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29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8.4</w:t>
            </w:r>
          </w:p>
        </w:tc>
        <w:tc>
          <w:tcPr>
            <w:tcW w:w="260" w:type="dxa"/>
            <w:vAlign w:val="bottom"/>
            <w:tcBorders>
              <w:right w:val="single" w:sz="8" w:color="auto"/>
            </w:tcBorders>
          </w:tcPr>
          <w:p>
            <w:pPr>
              <w:spacing w:after="0"/>
              <w:rPr>
                <w:sz w:val="18"/>
                <w:szCs w:val="18"/>
                <w:color w:val="auto"/>
              </w:rPr>
            </w:pPr>
          </w:p>
        </w:tc>
        <w:tc>
          <w:tcPr>
            <w:tcW w:w="2940" w:type="dxa"/>
            <w:vAlign w:val="bottom"/>
          </w:tcPr>
          <w:p>
            <w:pPr>
              <w:jc w:val="center"/>
              <w:ind w:right="2425"/>
              <w:spacing w:after="0"/>
              <w:rPr>
                <w:sz w:val="20"/>
                <w:szCs w:val="20"/>
                <w:color w:val="auto"/>
              </w:rPr>
            </w:pPr>
            <w:r>
              <w:rPr>
                <w:rFonts w:ascii="Arial" w:cs="Arial" w:eastAsia="Arial" w:hAnsi="Arial"/>
                <w:sz w:val="15"/>
                <w:szCs w:val="15"/>
                <w:color w:val="auto"/>
                <w:w w:val="93"/>
              </w:rPr>
              <w:t>[***].</w:t>
            </w: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0" w:type="dxa"/>
            <w:vAlign w:val="bottom"/>
            <w:tcBorders>
              <w:left w:val="single" w:sz="8" w:color="auto"/>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29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8.5</w:t>
            </w:r>
          </w:p>
        </w:tc>
        <w:tc>
          <w:tcPr>
            <w:tcW w:w="260" w:type="dxa"/>
            <w:vAlign w:val="bottom"/>
            <w:tcBorders>
              <w:right w:val="single" w:sz="8" w:color="auto"/>
            </w:tcBorders>
          </w:tcPr>
          <w:p>
            <w:pPr>
              <w:spacing w:after="0"/>
              <w:rPr>
                <w:sz w:val="18"/>
                <w:szCs w:val="18"/>
                <w:color w:val="auto"/>
              </w:rPr>
            </w:pPr>
          </w:p>
        </w:tc>
        <w:tc>
          <w:tcPr>
            <w:tcW w:w="2940" w:type="dxa"/>
            <w:vAlign w:val="bottom"/>
          </w:tcPr>
          <w:p>
            <w:pPr>
              <w:jc w:val="center"/>
              <w:ind w:right="2425"/>
              <w:spacing w:after="0"/>
              <w:rPr>
                <w:sz w:val="20"/>
                <w:szCs w:val="20"/>
                <w:color w:val="auto"/>
              </w:rPr>
            </w:pPr>
            <w:r>
              <w:rPr>
                <w:rFonts w:ascii="Arial" w:cs="Arial" w:eastAsia="Arial" w:hAnsi="Arial"/>
                <w:sz w:val="15"/>
                <w:szCs w:val="15"/>
                <w:color w:val="auto"/>
                <w:w w:val="93"/>
              </w:rPr>
              <w:t>[***].</w:t>
            </w: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0" w:type="dxa"/>
            <w:vAlign w:val="bottom"/>
            <w:tcBorders>
              <w:left w:val="single" w:sz="8" w:color="auto"/>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29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340"/>
      </w:cols>
      <w:pgMar w:left="280" w:top="408"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1)"/>
      <w:numFmt w:val="decimal"/>
      <w:start w:val="1"/>
    </w:lvl>
  </w:abstractNum>
  <w:abstractNum w:abstractNumId="1">
    <w:nsid w:val="419AC241"/>
    <w:multiLevelType w:val="hybridMultilevel"/>
    <w:lvl w:ilvl="0">
      <w:lvlJc w:val="left"/>
      <w:lvlText w:val="(%1)"/>
      <w:numFmt w:val="lowerLetter"/>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
      <w:numFmt w:val="bullet"/>
      <w:start w:val="1"/>
    </w:lvl>
  </w:abstractNum>
  <w:abstractNum w:abstractNumId="5">
    <w:nsid w:val="3804823E"/>
    <w:multiLevelType w:val="hybridMultilevel"/>
    <w:lvl w:ilvl="0">
      <w:lvlJc w:val="left"/>
      <w:lvlText w:val="%1."/>
      <w:numFmt w:val="decimal"/>
      <w:start w:val="1"/>
    </w:lvl>
  </w:abstractNum>
  <w:abstractNum w:abstractNumId="6">
    <w:nsid w:val="77465F01"/>
    <w:multiLevelType w:val="hybridMultilevel"/>
    <w:lvl w:ilvl="0">
      <w:lvlJc w:val="left"/>
      <w:lvlText w:val="***"/>
      <w:numFmt w:val="bullet"/>
      <w:start w:val="1"/>
    </w:lvl>
  </w:abstractNum>
  <w:abstractNum w:abstractNumId="7">
    <w:nsid w:val="7724C67E"/>
    <w:multiLevelType w:val="hybridMultilevel"/>
    <w:lvl w:ilvl="0">
      <w:lvlJc w:val="left"/>
      <w:lvlText w:val="***"/>
      <w:numFmt w:val="bullet"/>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1."/>
      <w:numFmt w:val="decimal"/>
      <w:start w:val="3"/>
    </w:lvl>
  </w:abstractNum>
  <w:abstractNum w:abstractNumId="10">
    <w:nsid w:val="5E884ADC"/>
    <w:multiLevelType w:val="hybridMultilevel"/>
    <w:lvl w:ilvl="0">
      <w:lvlJc w:val="left"/>
      <w:lvlText w:val="***"/>
      <w:numFmt w:val="bullet"/>
      <w:start w:val="1"/>
    </w:lvl>
  </w:abstractNum>
  <w:abstractNum w:abstractNumId="11">
    <w:nsid w:val="51EAD36B"/>
    <w:multiLevelType w:val="hybridMultilevel"/>
    <w:lvl w:ilvl="0">
      <w:lvlJc w:val="left"/>
      <w:lvlText w:val="%1."/>
      <w:numFmt w:val="decimal"/>
      <w:start w:val="4"/>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1."/>
      <w:numFmt w:val="decimal"/>
      <w:start w:val="5"/>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1."/>
      <w:numFmt w:val="decimal"/>
      <w:start w:val="7"/>
    </w:lvl>
  </w:abstractNum>
  <w:abstractNum w:abstractNumId="17">
    <w:nsid w:val="6A2342EC"/>
    <w:multiLevelType w:val="hybridMultilevel"/>
    <w:lvl w:ilvl="0">
      <w:lvlJc w:val="left"/>
      <w:lvlText w:val="***"/>
      <w:numFmt w:val="bullet"/>
      <w:start w:val="1"/>
    </w:lvl>
  </w:abstractNum>
  <w:abstractNum w:abstractNumId="18">
    <w:nsid w:val="2A487CB0"/>
    <w:multiLevelType w:val="hybridMultilevel"/>
    <w:lvl w:ilvl="0">
      <w:lvlJc w:val="left"/>
      <w:lvlText w:val="%1."/>
      <w:numFmt w:val="decimal"/>
      <w:start w:val="9"/>
    </w:lvl>
  </w:abstractNum>
  <w:abstractNum w:abstractNumId="19">
    <w:nsid w:val="1D4ED43B"/>
    <w:multiLevelType w:val="hybridMultilevel"/>
    <w:lvl w:ilvl="0">
      <w:lvlJc w:val="left"/>
      <w:lvlText w:val="***"/>
      <w:numFmt w:val="bullet"/>
      <w:start w:val="1"/>
    </w:lvl>
  </w:abstractNum>
  <w:abstractNum w:abstractNumId="20">
    <w:nsid w:val="725A06FB"/>
    <w:multiLevelType w:val="hybridMultilevel"/>
    <w:lvl w:ilvl="0">
      <w:lvlJc w:val="left"/>
      <w:lvlText w:val="%1."/>
      <w:numFmt w:val="decimal"/>
      <w:start w:val="11"/>
    </w:lvl>
  </w:abstractNum>
  <w:abstractNum w:abstractNumId="21">
    <w:nsid w:val="2CD89A32"/>
    <w:multiLevelType w:val="hybridMultilevel"/>
    <w:lvl w:ilvl="0">
      <w:lvlJc w:val="left"/>
      <w:lvlText w:val="*"/>
      <w:numFmt w:val="bullet"/>
      <w:start w:val="1"/>
    </w:lvl>
  </w:abstractNum>
  <w:abstractNum w:abstractNumId="22">
    <w:nsid w:val="57E4CCAF"/>
    <w:multiLevelType w:val="hybridMultilevel"/>
    <w:lvl w:ilvl="0">
      <w:lvlJc w:val="left"/>
      <w:lvlText w:val="***"/>
      <w:numFmt w:val="bullet"/>
      <w:start w:val="1"/>
    </w:lvl>
  </w:abstractNum>
  <w:abstractNum w:abstractNumId="23">
    <w:nsid w:val="7A6D8D3C"/>
    <w:multiLevelType w:val="hybridMultilevel"/>
    <w:lvl w:ilvl="0">
      <w:lvlJc w:val="left"/>
      <w:lvlText w:val="%1."/>
      <w:numFmt w:val="decimal"/>
      <w:start w:val="12"/>
    </w:lvl>
  </w:abstractNum>
  <w:abstractNum w:abstractNumId="24">
    <w:nsid w:val="4B588F54"/>
    <w:multiLevelType w:val="hybridMultilevel"/>
    <w:lvl w:ilvl="0">
      <w:lvlJc w:val="left"/>
      <w:lvlText w:val="***"/>
      <w:numFmt w:val="bullet"/>
      <w:start w:val="1"/>
    </w:lvl>
  </w:abstractNum>
  <w:abstractNum w:abstractNumId="25">
    <w:nsid w:val="542289EC"/>
    <w:multiLevelType w:val="hybridMultilevel"/>
    <w:lvl w:ilvl="0">
      <w:lvlJc w:val="left"/>
      <w:lvlText w:val="%1."/>
      <w:numFmt w:val="decimal"/>
      <w:start w:val="13"/>
    </w:lvl>
  </w:abstractNum>
  <w:abstractNum w:abstractNumId="26">
    <w:nsid w:val="6DE91B18"/>
    <w:multiLevelType w:val="hybridMultilevel"/>
    <w:lvl w:ilvl="0">
      <w:lvlJc w:val="left"/>
      <w:lvlText w:val="***"/>
      <w:numFmt w:val="bullet"/>
      <w:start w:val="1"/>
    </w:lvl>
  </w:abstractNum>
  <w:abstractNum w:abstractNumId="27">
    <w:nsid w:val="38437FDB"/>
    <w:multiLevelType w:val="hybridMultilevel"/>
    <w:lvl w:ilvl="0">
      <w:lvlJc w:val="left"/>
      <w:lvlText w:val="%1."/>
      <w:numFmt w:val="decimal"/>
      <w:start w:val="14"/>
    </w:lvl>
  </w:abstractNum>
  <w:abstractNum w:abstractNumId="28">
    <w:nsid w:val="7644A45C"/>
    <w:multiLevelType w:val="hybridMultilevel"/>
    <w:lvl w:ilvl="0">
      <w:lvlJc w:val="left"/>
      <w:lvlText w:val="***"/>
      <w:numFmt w:val="bullet"/>
      <w:start w:val="1"/>
    </w:lvl>
  </w:abstractNum>
  <w:abstractNum w:abstractNumId="29">
    <w:nsid w:val="32FFF902"/>
    <w:multiLevelType w:val="hybridMultilevel"/>
    <w:lvl w:ilvl="0">
      <w:lvlJc w:val="left"/>
      <w:lvlText w:val="%1."/>
      <w:numFmt w:val="decimal"/>
      <w:start w:val="15"/>
    </w:lvl>
  </w:abstractNum>
  <w:abstractNum w:abstractNumId="30">
    <w:nsid w:val="684A481A"/>
    <w:multiLevelType w:val="hybridMultilevel"/>
    <w:lvl w:ilvl="0">
      <w:lvlJc w:val="left"/>
      <w:lvlText w:val="***"/>
      <w:numFmt w:val="bullet"/>
      <w:start w:val="1"/>
    </w:lvl>
  </w:abstractNum>
  <w:abstractNum w:abstractNumId="31">
    <w:nsid w:val="579478FE"/>
    <w:multiLevelType w:val="hybridMultilevel"/>
    <w:lvl w:ilvl="0">
      <w:lvlJc w:val="left"/>
      <w:lvlText w:val="***"/>
      <w:numFmt w:val="bullet"/>
      <w:start w:val="1"/>
    </w:lvl>
  </w:abstractNum>
  <w:abstractNum w:abstractNumId="32">
    <w:nsid w:val="749ABB43"/>
    <w:multiLevelType w:val="hybridMultilevel"/>
    <w:lvl w:ilvl="0">
      <w:lvlJc w:val="left"/>
      <w:lvlText w:val="%1."/>
      <w:numFmt w:val="decimal"/>
      <w:start w:val="17"/>
    </w:lvl>
  </w:abstractNum>
  <w:abstractNum w:abstractNumId="33">
    <w:nsid w:val="3DC240FB"/>
    <w:multiLevelType w:val="hybridMultilevel"/>
    <w:lvl w:ilvl="0">
      <w:lvlJc w:val="left"/>
      <w:lvlText w:val="***"/>
      <w:numFmt w:val="bullet"/>
      <w:start w:val="1"/>
    </w:lvl>
  </w:abstractNum>
  <w:abstractNum w:abstractNumId="34">
    <w:nsid w:val="1BA026FA"/>
    <w:multiLevelType w:val="hybridMultilevel"/>
    <w:lvl w:ilvl="0">
      <w:lvlJc w:val="left"/>
      <w:lvlText w:val="****"/>
      <w:numFmt w:val="bullet"/>
      <w:start w:val="1"/>
    </w:lvl>
  </w:abstractNum>
  <w:abstractNum w:abstractNumId="35">
    <w:nsid w:val="79A1DEAA"/>
    <w:multiLevelType w:val="hybridMultilevel"/>
    <w:lvl w:ilvl="0">
      <w:lvlJc w:val="left"/>
      <w:lvlText w:val="***"/>
      <w:numFmt w:val="bullet"/>
      <w:start w:val="1"/>
    </w:lvl>
  </w:abstractNum>
  <w:abstractNum w:abstractNumId="36">
    <w:nsid w:val="75C6C33A"/>
    <w:multiLevelType w:val="hybridMultilevel"/>
    <w:lvl w:ilvl="0">
      <w:lvlJc w:val="left"/>
      <w:lvlText w:val="**"/>
      <w:numFmt w:val="bullet"/>
      <w:start w:val="1"/>
    </w:lvl>
  </w:abstractNum>
  <w:abstractNum w:abstractNumId="37">
    <w:nsid w:val="12E685FB"/>
    <w:multiLevelType w:val="hybridMultilevel"/>
    <w:lvl w:ilvl="0">
      <w:lvlJc w:val="left"/>
      <w:lvlText w:val="***"/>
      <w:numFmt w:val="bullet"/>
      <w:start w:val="1"/>
    </w:lvl>
  </w:abstractNum>
  <w:abstractNum w:abstractNumId="38">
    <w:nsid w:val="70C6A529"/>
    <w:multiLevelType w:val="hybridMultilevel"/>
    <w:lvl w:ilvl="0">
      <w:lvlJc w:val="left"/>
      <w:lvlText w:val="*"/>
      <w:numFmt w:val="bullet"/>
      <w:start w:val="1"/>
    </w:lvl>
  </w:abstractNum>
  <w:abstractNum w:abstractNumId="39">
    <w:nsid w:val="520EEDD1"/>
    <w:multiLevelType w:val="hybridMultilevel"/>
    <w:lvl w:ilvl="0">
      <w:lvlJc w:val="left"/>
      <w:lvlText w:val="***"/>
      <w:numFmt w:val="bullet"/>
      <w:start w:val="1"/>
    </w:lvl>
  </w:abstractNum>
  <w:abstractNum w:abstractNumId="40">
    <w:nsid w:val="374A3FE6"/>
    <w:multiLevelType w:val="hybridMultilevel"/>
    <w:lvl w:ilvl="0">
      <w:lvlJc w:val="left"/>
      <w:lvlText w:val="%1."/>
      <w:numFmt w:val="decimal"/>
      <w:start w:val="20"/>
    </w:lvl>
  </w:abstractNum>
  <w:abstractNum w:abstractNumId="41">
    <w:nsid w:val="4F4EF005"/>
    <w:multiLevelType w:val="hybridMultilevel"/>
    <w:lvl w:ilvl="0">
      <w:lvlJc w:val="left"/>
      <w:lvlText w:val="***"/>
      <w:numFmt w:val="bullet"/>
      <w:start w:val="1"/>
    </w:lvl>
  </w:abstractNum>
  <w:abstractNum w:abstractNumId="42">
    <w:nsid w:val="23F9C13C"/>
    <w:multiLevelType w:val="hybridMultilevel"/>
    <w:lvl w:ilvl="0">
      <w:lvlJc w:val="left"/>
      <w:lvlText w:val="%1."/>
      <w:numFmt w:val="decimal"/>
      <w:start w:val="21"/>
    </w:lvl>
  </w:abstractNum>
  <w:abstractNum w:abstractNumId="43">
    <w:nsid w:val="649BB77C"/>
    <w:multiLevelType w:val="hybridMultilevel"/>
    <w:lvl w:ilvl="0">
      <w:lvlJc w:val="left"/>
      <w:lvlText w:val="***"/>
      <w:numFmt w:val="bullet"/>
      <w:start w:val="1"/>
    </w:lvl>
  </w:abstractNum>
  <w:abstractNum w:abstractNumId="44">
    <w:nsid w:val="275AC794"/>
    <w:multiLevelType w:val="hybridMultilevel"/>
    <w:lvl w:ilvl="0">
      <w:lvlJc w:val="left"/>
      <w:lvlText w:val="%1."/>
      <w:numFmt w:val="decimal"/>
      <w:start w:val="22"/>
    </w:lvl>
  </w:abstractNum>
  <w:abstractNum w:abstractNumId="45">
    <w:nsid w:val="39386575"/>
    <w:multiLevelType w:val="hybridMultilevel"/>
    <w:lvl w:ilvl="0">
      <w:lvlJc w:val="left"/>
      <w:lvlText w:val="***"/>
      <w:numFmt w:val="bullet"/>
      <w:start w:val="1"/>
    </w:lvl>
  </w:abstractNum>
  <w:abstractNum w:abstractNumId="46">
    <w:nsid w:val="1CF10FD8"/>
    <w:multiLevelType w:val="hybridMultilevel"/>
    <w:lvl w:ilvl="0">
      <w:lvlJc w:val="left"/>
      <w:lvlText w:val="%1."/>
      <w:numFmt w:val="decimal"/>
      <w:start w:val="23"/>
    </w:lvl>
  </w:abstractNum>
  <w:abstractNum w:abstractNumId="47">
    <w:nsid w:val="180115BE"/>
    <w:multiLevelType w:val="hybridMultilevel"/>
    <w:lvl w:ilvl="0">
      <w:lvlJc w:val="left"/>
      <w:lvlText w:val="***"/>
      <w:numFmt w:val="bullet"/>
      <w:start w:val="1"/>
    </w:lvl>
  </w:abstractNum>
  <w:abstractNum w:abstractNumId="48">
    <w:nsid w:val="235BA861"/>
    <w:multiLevelType w:val="hybridMultilevel"/>
    <w:lvl w:ilvl="0">
      <w:lvlJc w:val="left"/>
      <w:lvlText w:val="%1."/>
      <w:numFmt w:val="decimal"/>
      <w:start w:val="24"/>
    </w:lvl>
  </w:abstractNum>
  <w:abstractNum w:abstractNumId="49">
    <w:nsid w:val="47398C89"/>
    <w:multiLevelType w:val="hybridMultilevel"/>
    <w:lvl w:ilvl="0">
      <w:lvlJc w:val="left"/>
      <w:lvlText w:val="***"/>
      <w:numFmt w:val="bullet"/>
      <w:start w:val="1"/>
    </w:lvl>
  </w:abstractNum>
  <w:abstractNum w:abstractNumId="50">
    <w:nsid w:val="354FE9F9"/>
    <w:multiLevelType w:val="hybridMultilevel"/>
    <w:lvl w:ilvl="0">
      <w:lvlJc w:val="left"/>
      <w:lvlText w:val="%1."/>
      <w:numFmt w:val="decimal"/>
      <w:start w:val="26"/>
    </w:lvl>
    <w:lvl w:ilvl="1">
      <w:lvlJc w:val="left"/>
      <w:lvlText w:val="%2."/>
      <w:numFmt w:val="upperLetter"/>
      <w:start w:val="1"/>
    </w:lvl>
  </w:abstractNum>
  <w:abstractNum w:abstractNumId="51">
    <w:nsid w:val="15B5AF5C"/>
    <w:multiLevelType w:val="hybridMultilevel"/>
    <w:lvl w:ilvl="0">
      <w:lvlJc w:val="left"/>
      <w:lvlText w:val="***"/>
      <w:numFmt w:val="bullet"/>
      <w:start w:val="1"/>
    </w:lvl>
  </w:abstractNum>
  <w:abstractNum w:abstractNumId="52">
    <w:nsid w:val="741226BB"/>
    <w:multiLevelType w:val="hybridMultilevel"/>
    <w:lvl w:ilvl="0">
      <w:lvlJc w:val="left"/>
      <w:lvlText w:val="***"/>
      <w:numFmt w:val="bullet"/>
      <w:start w:val="1"/>
    </w:lvl>
  </w:abstractNum>
  <w:abstractNum w:abstractNumId="53">
    <w:nsid w:val="D34B6A8"/>
    <w:multiLevelType w:val="hybridMultilevel"/>
    <w:lvl w:ilvl="0">
      <w:lvlJc w:val="left"/>
      <w:lvlText w:val="%1."/>
      <w:numFmt w:val="decimal"/>
      <w:start w:val="27"/>
    </w:lvl>
  </w:abstractNum>
  <w:abstractNum w:abstractNumId="54">
    <w:nsid w:val="10233C99"/>
    <w:multiLevelType w:val="hybridMultilevel"/>
    <w:lvl w:ilvl="0">
      <w:lvlJc w:val="left"/>
      <w:lvlText w:val="***"/>
      <w:numFmt w:val="bullet"/>
      <w:start w:val="1"/>
    </w:lvl>
  </w:abstractNum>
  <w:abstractNum w:abstractNumId="55">
    <w:nsid w:val="3F6AB60F"/>
    <w:multiLevelType w:val="hybridMultilevel"/>
    <w:lvl w:ilvl="0">
      <w:lvlJc w:val="left"/>
      <w:lvlText w:val="***"/>
      <w:numFmt w:val="bullet"/>
      <w:start w:val="1"/>
    </w:lvl>
  </w:abstractNum>
  <w:abstractNum w:abstractNumId="56">
    <w:nsid w:val="61574095"/>
    <w:multiLevelType w:val="hybridMultilevel"/>
    <w:lvl w:ilvl="0">
      <w:lvlJc w:val="left"/>
      <w:lvlText w:val="%1."/>
      <w:numFmt w:val="decimal"/>
      <w:start w:val="1"/>
    </w:lvl>
  </w:abstractNum>
  <w:abstractNum w:abstractNumId="57">
    <w:nsid w:val="7E0C57B1"/>
    <w:multiLevelType w:val="hybridMultilevel"/>
    <w:lvl w:ilvl="0">
      <w:lvlJc w:val="left"/>
      <w:lvlText w:val="%1."/>
      <w:numFmt w:val="decimal"/>
      <w:start w:val="2"/>
    </w:lvl>
  </w:abstractNum>
  <w:abstractNum w:abstractNumId="58">
    <w:nsid w:val="77AE35EB"/>
    <w:multiLevelType w:val="hybridMultilevel"/>
    <w:lvl w:ilvl="0">
      <w:lvlJc w:val="left"/>
      <w:lvlText w:val="%1."/>
      <w:numFmt w:val="decimal"/>
      <w:start w:val="3"/>
    </w:lvl>
  </w:abstractNum>
  <w:abstractNum w:abstractNumId="59">
    <w:nsid w:val="579BE4F1"/>
    <w:multiLevelType w:val="hybridMultilevel"/>
    <w:lvl w:ilvl="0">
      <w:lvlJc w:val="left"/>
      <w:lvlText w:val="%1."/>
      <w:numFmt w:val="decimal"/>
      <w:start w:val="5"/>
    </w:lvl>
  </w:abstractNum>
  <w:abstractNum w:abstractNumId="60">
    <w:nsid w:val="310C50B3"/>
    <w:multiLevelType w:val="hybridMultilevel"/>
    <w:lvl w:ilvl="0">
      <w:lvlJc w:val="left"/>
      <w:lvlText w:val="(%1)"/>
      <w:numFmt w:val="lowerRoman"/>
      <w:start w:val="1"/>
    </w:lvl>
  </w:abstractNum>
  <w:abstractNum w:abstractNumId="61">
    <w:nsid w:val="5FF87E05"/>
    <w:multiLevelType w:val="hybridMultilevel"/>
    <w:lvl w:ilvl="0">
      <w:lvlJc w:val="left"/>
      <w:lvlText w:val="%1."/>
      <w:numFmt w:val="decimal"/>
      <w:start w:val="6"/>
    </w:lvl>
  </w:abstractNum>
  <w:abstractNum w:abstractNumId="62">
    <w:nsid w:val="2F305DEF"/>
    <w:multiLevelType w:val="hybridMultilevel"/>
    <w:lvl w:ilvl="0">
      <w:lvlJc w:val="left"/>
      <w:lvlText w:val="%1."/>
      <w:numFmt w:val="decimal"/>
      <w:start w:val="1"/>
    </w:lvl>
  </w:abstractNum>
  <w:abstractNum w:abstractNumId="63">
    <w:nsid w:val="25A70BF7"/>
    <w:multiLevelType w:val="hybridMultilevel"/>
    <w:lvl w:ilvl="0">
      <w:lvlJc w:val="left"/>
      <w:lvlText w:val="%1."/>
      <w:numFmt w:val="decimal"/>
      <w:start w:val="3"/>
    </w:lvl>
  </w:abstractNum>
  <w:abstractNum w:abstractNumId="64">
    <w:nsid w:val="1DBABF00"/>
    <w:multiLevelType w:val="hybridMultilevel"/>
    <w:lvl w:ilvl="0">
      <w:lvlJc w:val="left"/>
      <w:lvlText w:val="%1."/>
      <w:numFmt w:val="decimal"/>
      <w:start w:val="6"/>
    </w:lvl>
    <w:lvl w:ilvl="1">
      <w:lvlJc w:val="left"/>
      <w:lvlText w:val="%2."/>
      <w:numFmt w:val="upperLetter"/>
      <w:start w:val="1"/>
    </w:lvl>
  </w:abstractNum>
  <w:abstractNum w:abstractNumId="65">
    <w:nsid w:val="4AD084E9"/>
    <w:multiLevelType w:val="hybridMultilevel"/>
    <w:lvl w:ilvl="0">
      <w:lvlJc w:val="left"/>
      <w:lvlText w:val="%1."/>
      <w:numFmt w:val="upperLetter"/>
      <w:start w:val="6"/>
    </w:lvl>
  </w:abstractNum>
  <w:abstractNum w:abstractNumId="66">
    <w:nsid w:val="1F48EAA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2019-12-09T04:45:29Z</dcterms:created>
  <dcterms:modified xsi:type="dcterms:W3CDTF">2019-12-09T04:45:29Z</dcterms:modified>
</cp:coreProperties>
</file>