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6" w:lineRule="exact"/>
        <w:rPr>
          <w:sz w:val="24"/>
          <w:szCs w:val="24"/>
          <w:color w:val="auto"/>
        </w:rPr>
      </w:pPr>
    </w:p>
    <w:p>
      <w:pPr>
        <w:jc w:val="center"/>
        <w:ind w:right="-106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FORM 6-K</w:t>
      </w:r>
    </w:p>
    <w:p>
      <w:pPr>
        <w:spacing w:after="0" w:line="198"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6"/>
          <w:szCs w:val="16"/>
          <w:b w:val="1"/>
          <w:bCs w:val="1"/>
          <w:color w:val="auto"/>
        </w:rPr>
        <w:t>REPORT OF FOREIGN PRIVATE ISSUER</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PURSUANT TO RULE 13a-16 OR 15d-16 OF</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THE SECURITIES EXCHANGE ACT OF 1934</w:t>
      </w:r>
    </w:p>
    <w:p>
      <w:pPr>
        <w:spacing w:after="0" w:line="18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 xml:space="preserve">For the month of </w:t>
      </w:r>
      <w:r>
        <w:rPr>
          <w:rFonts w:ascii="Times New Roman" w:cs="Times New Roman" w:eastAsia="Times New Roman" w:hAnsi="Times New Roman"/>
          <w:sz w:val="16"/>
          <w:szCs w:val="16"/>
          <w:b w:val="1"/>
          <w:bCs w:val="1"/>
          <w:color w:val="auto"/>
        </w:rPr>
        <w:t>August 2025</w:t>
      </w:r>
    </w:p>
    <w:p>
      <w:pPr>
        <w:spacing w:after="0" w:line="19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 xml:space="preserve">Commission File Number </w:t>
      </w:r>
      <w:r>
        <w:rPr>
          <w:rFonts w:ascii="Times New Roman" w:cs="Times New Roman" w:eastAsia="Times New Roman" w:hAnsi="Times New Roman"/>
          <w:sz w:val="16"/>
          <w:szCs w:val="16"/>
          <w:b w:val="1"/>
          <w:bCs w:val="1"/>
          <w:color w:val="auto"/>
        </w:rPr>
        <w:t>001-36903</w:t>
      </w:r>
    </w:p>
    <w:p>
      <w:pPr>
        <w:spacing w:after="0" w:line="174"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9"/>
          <w:szCs w:val="29"/>
          <w:b w:val="1"/>
          <w:bCs w:val="1"/>
          <w:color w:val="auto"/>
        </w:rPr>
        <w:t>KORNIT DIGITAL LTD.</w:t>
      </w:r>
    </w:p>
    <w:p>
      <w:pPr>
        <w:spacing w:after="0" w:line="3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color w:val="auto"/>
        </w:rPr>
        <w:t>(Translation of Registrant’s name into English)</w:t>
      </w:r>
    </w:p>
    <w:p>
      <w:pPr>
        <w:spacing w:after="0" w:line="178"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12 Ha’Amal Street</w:t>
      </w:r>
    </w:p>
    <w:p>
      <w:pPr>
        <w:spacing w:after="0" w:line="2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Park Afek</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6"/>
          <w:szCs w:val="16"/>
          <w:b w:val="1"/>
          <w:bCs w:val="1"/>
          <w:color w:val="auto"/>
        </w:rPr>
        <w:t>Rosh Ha’Ayin 4824096 Israel</w:t>
      </w:r>
    </w:p>
    <w:p>
      <w:pPr>
        <w:spacing w:after="0" w:line="18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6"/>
          <w:szCs w:val="16"/>
          <w:color w:val="auto"/>
        </w:rPr>
        <w:t>(Address of Principal Executive Office)</w:t>
      </w:r>
    </w:p>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Indicate by check mark whether the registrant files or will file annual reports under cover of Form 20-F or Form 40-F.</w:t>
      </w:r>
    </w:p>
    <w:p>
      <w:pPr>
        <w:spacing w:after="0" w:line="174" w:lineRule="exact"/>
        <w:rPr>
          <w:sz w:val="24"/>
          <w:szCs w:val="24"/>
          <w:color w:val="auto"/>
        </w:rPr>
      </w:pPr>
    </w:p>
    <w:p>
      <w:pPr>
        <w:ind w:left="4740"/>
        <w:spacing w:after="0" w:line="184" w:lineRule="exact"/>
        <w:rPr>
          <w:sz w:val="20"/>
          <w:szCs w:val="20"/>
          <w:color w:val="auto"/>
        </w:rPr>
      </w:pPr>
      <w:r>
        <w:rPr>
          <w:rFonts w:ascii="Times New Roman" w:cs="Times New Roman" w:eastAsia="Times New Roman" w:hAnsi="Times New Roman"/>
          <w:sz w:val="16"/>
          <w:szCs w:val="16"/>
          <w:color w:val="auto"/>
        </w:rPr>
        <w:t xml:space="preserve">Form 20-F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159385</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182245</wp:posOffset>
            </wp:positionV>
            <wp:extent cx="7148195" cy="15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576580</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491"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6"/>
          <w:szCs w:val="16"/>
          <w:b w:val="1"/>
          <w:bCs w:val="1"/>
          <w:color w:val="auto"/>
        </w:rPr>
        <w:t>CONTENTS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Results of Operations and Financial Condition- Quarter Ended June 30, 2025</w:t>
      </w:r>
    </w:p>
    <w:p>
      <w:pPr>
        <w:spacing w:after="0" w:line="200" w:lineRule="exact"/>
        <w:rPr>
          <w:sz w:val="20"/>
          <w:szCs w:val="20"/>
          <w:color w:val="auto"/>
        </w:rPr>
      </w:pPr>
    </w:p>
    <w:p>
      <w:pPr>
        <w:jc w:val="both"/>
        <w:ind w:right="20" w:firstLine="565"/>
        <w:spacing w:after="0" w:line="283" w:lineRule="auto"/>
        <w:rPr>
          <w:sz w:val="20"/>
          <w:szCs w:val="20"/>
          <w:color w:val="auto"/>
        </w:rPr>
      </w:pPr>
      <w:r>
        <w:rPr>
          <w:rFonts w:ascii="Times New Roman" w:cs="Times New Roman" w:eastAsia="Times New Roman" w:hAnsi="Times New Roman"/>
          <w:sz w:val="16"/>
          <w:szCs w:val="16"/>
          <w:color w:val="auto"/>
        </w:rPr>
        <w:t>On August 6, 2025, Kornit Digital Ltd. (“</w:t>
      </w:r>
      <w:r>
        <w:rPr>
          <w:rFonts w:ascii="Times New Roman" w:cs="Times New Roman" w:eastAsia="Times New Roman" w:hAnsi="Times New Roman"/>
          <w:sz w:val="16"/>
          <w:szCs w:val="16"/>
          <w:b w:val="1"/>
          <w:bCs w:val="1"/>
          <w:color w:val="auto"/>
        </w:rPr>
        <w:t>Kornit</w:t>
      </w:r>
      <w:r>
        <w:rPr>
          <w:rFonts w:ascii="Times New Roman" w:cs="Times New Roman" w:eastAsia="Times New Roman" w:hAnsi="Times New Roman"/>
          <w:sz w:val="16"/>
          <w:szCs w:val="16"/>
          <w:color w:val="auto"/>
        </w:rPr>
        <w:t xml:space="preserve">”) issued a press release entitled “Kornit Digital Reports Second Quarter 2025 Results,” in which Kornit reported its results of operations for the second quarter ended June 30, 2025. A copy of that press release is furnished as </w:t>
      </w:r>
      <w:r>
        <w:rPr>
          <w:rFonts w:ascii="Times New Roman" w:cs="Times New Roman" w:eastAsia="Times New Roman" w:hAnsi="Times New Roman"/>
          <w:sz w:val="16"/>
          <w:szCs w:val="16"/>
          <w:u w:val="single" w:color="auto"/>
          <w:color w:val="auto"/>
        </w:rPr>
        <w:t>Exhibit 99.1</w:t>
      </w:r>
      <w:r>
        <w:rPr>
          <w:rFonts w:ascii="Times New Roman" w:cs="Times New Roman" w:eastAsia="Times New Roman" w:hAnsi="Times New Roman"/>
          <w:sz w:val="16"/>
          <w:szCs w:val="16"/>
          <w:color w:val="auto"/>
        </w:rPr>
        <w:t xml:space="preserve"> hereto.</w:t>
      </w:r>
    </w:p>
    <w:p>
      <w:pPr>
        <w:spacing w:after="0" w:line="142" w:lineRule="exact"/>
        <w:rPr>
          <w:sz w:val="20"/>
          <w:szCs w:val="20"/>
          <w:color w:val="auto"/>
        </w:rPr>
      </w:pPr>
    </w:p>
    <w:p>
      <w:pPr>
        <w:jc w:val="both"/>
        <w:ind w:right="20" w:firstLine="565"/>
        <w:spacing w:after="0" w:line="265" w:lineRule="auto"/>
        <w:rPr>
          <w:sz w:val="20"/>
          <w:szCs w:val="20"/>
          <w:color w:val="auto"/>
        </w:rPr>
      </w:pPr>
      <w:r>
        <w:rPr>
          <w:rFonts w:ascii="Times New Roman" w:cs="Times New Roman" w:eastAsia="Times New Roman" w:hAnsi="Times New Roman"/>
          <w:sz w:val="16"/>
          <w:szCs w:val="16"/>
          <w:color w:val="auto"/>
        </w:rPr>
        <w:t xml:space="preserve">Kornit is holding a conference call on August 6, 2025 to discuss its results for the quarter ended June 30, 2025, and, in connection with that call, will make available to its investors a slide presentation to provide additional information regarding its business and its financial results. That slide presentation is attached as </w:t>
      </w:r>
      <w:r>
        <w:rPr>
          <w:rFonts w:ascii="Times New Roman" w:cs="Times New Roman" w:eastAsia="Times New Roman" w:hAnsi="Times New Roman"/>
          <w:sz w:val="16"/>
          <w:szCs w:val="16"/>
          <w:u w:val="single" w:color="auto"/>
          <w:color w:val="auto"/>
        </w:rPr>
        <w:t>Exhibit 99.2</w:t>
      </w:r>
      <w:r>
        <w:rPr>
          <w:rFonts w:ascii="Times New Roman" w:cs="Times New Roman" w:eastAsia="Times New Roman" w:hAnsi="Times New Roman"/>
          <w:sz w:val="16"/>
          <w:szCs w:val="16"/>
          <w:color w:val="auto"/>
        </w:rPr>
        <w:t xml:space="preserve"> to this Report of Foreign Private Issuer on Form 6-K (this “</w:t>
      </w:r>
      <w:r>
        <w:rPr>
          <w:rFonts w:ascii="Times New Roman" w:cs="Times New Roman" w:eastAsia="Times New Roman" w:hAnsi="Times New Roman"/>
          <w:sz w:val="16"/>
          <w:szCs w:val="16"/>
          <w:b w:val="1"/>
          <w:bCs w:val="1"/>
          <w:color w:val="auto"/>
        </w:rPr>
        <w:t>Form 6-K</w:t>
      </w:r>
      <w:r>
        <w:rPr>
          <w:rFonts w:ascii="Times New Roman" w:cs="Times New Roman" w:eastAsia="Times New Roman" w:hAnsi="Times New Roman"/>
          <w:sz w:val="16"/>
          <w:szCs w:val="16"/>
          <w:color w:val="auto"/>
        </w:rPr>
        <w:t>”) and is incorporated herein by reference.</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Exhibits</w:t>
            </w:r>
          </w:p>
        </w:tc>
        <w:tc>
          <w:tcPr>
            <w:tcW w:w="120" w:type="dxa"/>
            <w:vAlign w:val="bottom"/>
          </w:tcPr>
          <w:p>
            <w:pPr>
              <w:spacing w:after="0"/>
              <w:rPr>
                <w:sz w:val="18"/>
                <w:szCs w:val="18"/>
                <w:color w:val="auto"/>
              </w:rPr>
            </w:pPr>
          </w:p>
        </w:tc>
        <w:tc>
          <w:tcPr>
            <w:tcW w:w="60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364"/>
        </w:trPr>
        <w:tc>
          <w:tcPr>
            <w:tcW w:w="10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2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4"/>
        </w:trPr>
        <w:tc>
          <w:tcPr>
            <w:tcW w:w="1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No.</w:t>
            </w:r>
          </w:p>
        </w:tc>
        <w:tc>
          <w:tcPr>
            <w:tcW w:w="120" w:type="dxa"/>
            <w:vAlign w:val="bottom"/>
            <w:tcBorders>
              <w:bottom w:val="single" w:sz="8" w:color="CCEEFF"/>
            </w:tcBorders>
          </w:tcPr>
          <w:p>
            <w:pPr>
              <w:spacing w:after="0"/>
              <w:rPr>
                <w:sz w:val="18"/>
                <w:szCs w:val="18"/>
                <w:color w:val="auto"/>
              </w:rPr>
            </w:pPr>
          </w:p>
        </w:tc>
        <w:tc>
          <w:tcPr>
            <w:tcW w:w="10120" w:type="dxa"/>
            <w:vAlign w:val="bottom"/>
            <w:tcBorders>
              <w:bottom w:val="single" w:sz="8" w:color="auto"/>
            </w:tcBorders>
            <w:gridSpan w:val="3"/>
          </w:tcPr>
          <w:p>
            <w:pPr>
              <w:ind w:left="466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71"/>
        </w:trPr>
        <w:tc>
          <w:tcPr>
            <w:tcW w:w="10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99.1</w:t>
            </w:r>
          </w:p>
        </w:tc>
        <w:tc>
          <w:tcPr>
            <w:tcW w:w="120" w:type="dxa"/>
            <w:vAlign w:val="bottom"/>
            <w:shd w:val="clear" w:color="auto" w:fill="CCEEFF"/>
          </w:tcPr>
          <w:p>
            <w:pPr>
              <w:spacing w:after="0"/>
              <w:rPr>
                <w:sz w:val="14"/>
                <w:szCs w:val="14"/>
                <w:color w:val="auto"/>
              </w:rPr>
            </w:pPr>
          </w:p>
        </w:tc>
        <w:tc>
          <w:tcPr>
            <w:tcW w:w="10120" w:type="dxa"/>
            <w:vAlign w:val="bottom"/>
            <w:gridSpan w:val="3"/>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0000EE"/>
              </w:rPr>
              <w:t>Press release, dated May 14, 2025, titled “Kornit Digital Reports Second Quarter 2025 Results”</w:t>
            </w:r>
          </w:p>
        </w:tc>
      </w:tr>
      <w:tr>
        <w:trPr>
          <w:trHeight w:val="191"/>
        </w:trPr>
        <w:tc>
          <w:tcPr>
            <w:tcW w:w="1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6080" w:type="dxa"/>
            <w:vAlign w:val="bottom"/>
            <w:tcBorders>
              <w:top w:val="single" w:sz="8" w:color="0000EE"/>
            </w:tcBorders>
          </w:tcPr>
          <w:p>
            <w:pPr>
              <w:spacing w:after="0"/>
              <w:rPr>
                <w:sz w:val="16"/>
                <w:szCs w:val="16"/>
                <w:color w:val="auto"/>
              </w:rPr>
            </w:pPr>
          </w:p>
        </w:tc>
        <w:tc>
          <w:tcPr>
            <w:tcW w:w="250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r>
      <w:tr>
        <w:trPr>
          <w:trHeight w:val="155"/>
        </w:trPr>
        <w:tc>
          <w:tcPr>
            <w:tcW w:w="1020" w:type="dxa"/>
            <w:vAlign w:val="bottom"/>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99.2</w:t>
            </w:r>
          </w:p>
        </w:tc>
        <w:tc>
          <w:tcPr>
            <w:tcW w:w="10240" w:type="dxa"/>
            <w:vAlign w:val="bottom"/>
            <w:gridSpan w:val="4"/>
            <w:shd w:val="clear" w:color="auto" w:fill="CCEEFF"/>
          </w:tcPr>
          <w:p>
            <w:pPr>
              <w:ind w:left="120"/>
              <w:spacing w:after="0" w:line="155" w:lineRule="exact"/>
              <w:rPr>
                <w:sz w:val="20"/>
                <w:szCs w:val="20"/>
                <w:color w:val="auto"/>
              </w:rPr>
            </w:pPr>
            <w:r>
              <w:rPr>
                <w:rFonts w:ascii="Times New Roman" w:cs="Times New Roman" w:eastAsia="Times New Roman" w:hAnsi="Times New Roman"/>
                <w:sz w:val="16"/>
                <w:szCs w:val="16"/>
                <w:color w:val="0000EE"/>
              </w:rPr>
              <w:t>Slide presentation for conference call of Kornit held on August 6, 2025 discussing financial results for the quarter ended June 30, 2025</w:t>
            </w:r>
          </w:p>
        </w:tc>
      </w:tr>
      <w:tr>
        <w:trPr>
          <w:trHeight w:val="36"/>
        </w:trPr>
        <w:tc>
          <w:tcPr>
            <w:tcW w:w="102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6080" w:type="dxa"/>
            <w:vAlign w:val="bottom"/>
            <w:shd w:val="clear" w:color="auto" w:fill="0000EE"/>
          </w:tcPr>
          <w:p>
            <w:pPr>
              <w:spacing w:after="0"/>
              <w:rPr>
                <w:sz w:val="3"/>
                <w:szCs w:val="3"/>
                <w:color w:val="auto"/>
              </w:rPr>
            </w:pPr>
          </w:p>
        </w:tc>
        <w:tc>
          <w:tcPr>
            <w:tcW w:w="2500" w:type="dxa"/>
            <w:vAlign w:val="bottom"/>
            <w:shd w:val="clear" w:color="auto" w:fill="0000EE"/>
          </w:tcPr>
          <w:p>
            <w:pPr>
              <w:spacing w:after="0"/>
              <w:rPr>
                <w:sz w:val="3"/>
                <w:szCs w:val="3"/>
                <w:color w:val="auto"/>
              </w:rPr>
            </w:pPr>
          </w:p>
        </w:tc>
        <w:tc>
          <w:tcPr>
            <w:tcW w:w="1540" w:type="dxa"/>
            <w:vAlign w:val="bottom"/>
            <w:shd w:val="clear" w:color="auto" w:fill="CCEEFF"/>
          </w:tcPr>
          <w:p>
            <w:pPr>
              <w:spacing w:after="0"/>
              <w:rPr>
                <w:sz w:val="3"/>
                <w:szCs w:val="3"/>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Incorporation by Reference</w:t>
      </w:r>
    </w:p>
    <w:p>
      <w:pPr>
        <w:spacing w:after="0" w:line="202" w:lineRule="exact"/>
        <w:rPr>
          <w:sz w:val="20"/>
          <w:szCs w:val="20"/>
          <w:color w:val="auto"/>
        </w:rPr>
      </w:pPr>
    </w:p>
    <w:p>
      <w:pPr>
        <w:jc w:val="both"/>
        <w:ind w:firstLine="565"/>
        <w:spacing w:after="0" w:line="265"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The U.S. GAAP financial information contained in the (i) consolidated balance sheets, (ii) consolidated statements of operations and (iii) consolidated statements of cash flows included in the press release attached as Exhibit 99.1 to this Report of Foreign Private Issuer on Form 6-K is hereby incorporated by reference into Kornit’s Registration Statements on Form S-8 (File No.’s </w:t>
      </w:r>
      <w:hyperlink r:id="rId13">
        <w:r>
          <w:rPr>
            <w:rFonts w:ascii="Times New Roman" w:cs="Times New Roman" w:eastAsia="Times New Roman" w:hAnsi="Times New Roman"/>
            <w:sz w:val="16"/>
            <w:szCs w:val="16"/>
            <w:u w:val="single" w:color="auto"/>
            <w:color w:val="0000EE"/>
          </w:rPr>
          <w:t>333-203970</w:t>
        </w:r>
      </w:hyperlink>
      <w:r>
        <w:rPr>
          <w:rFonts w:ascii="Times New Roman" w:cs="Times New Roman" w:eastAsia="Times New Roman" w:hAnsi="Times New Roman"/>
          <w:sz w:val="16"/>
          <w:szCs w:val="16"/>
          <w:color w:val="auto"/>
        </w:rPr>
        <w:t xml:space="preserve">, </w:t>
      </w:r>
      <w:hyperlink r:id="rId14">
        <w:r>
          <w:rPr>
            <w:rFonts w:ascii="Times New Roman" w:cs="Times New Roman" w:eastAsia="Times New Roman" w:hAnsi="Times New Roman"/>
            <w:sz w:val="16"/>
            <w:szCs w:val="16"/>
            <w:u w:val="single" w:color="auto"/>
            <w:color w:val="0000EE"/>
          </w:rPr>
          <w:t>333-214015</w:t>
        </w:r>
      </w:hyperlink>
      <w:r>
        <w:rPr>
          <w:rFonts w:ascii="Times New Roman" w:cs="Times New Roman" w:eastAsia="Times New Roman" w:hAnsi="Times New Roman"/>
          <w:sz w:val="16"/>
          <w:szCs w:val="16"/>
          <w:color w:val="auto"/>
        </w:rPr>
        <w:t xml:space="preserve">, </w:t>
      </w:r>
      <w:hyperlink r:id="rId15">
        <w:r>
          <w:rPr>
            <w:rFonts w:ascii="Times New Roman" w:cs="Times New Roman" w:eastAsia="Times New Roman" w:hAnsi="Times New Roman"/>
            <w:sz w:val="16"/>
            <w:szCs w:val="16"/>
            <w:u w:val="single" w:color="auto"/>
            <w:color w:val="0000EE"/>
          </w:rPr>
          <w:t>333-217039</w:t>
        </w:r>
      </w:hyperlink>
      <w:r>
        <w:rPr>
          <w:rFonts w:ascii="Times New Roman" w:cs="Times New Roman" w:eastAsia="Times New Roman" w:hAnsi="Times New Roman"/>
          <w:sz w:val="16"/>
          <w:szCs w:val="16"/>
          <w:color w:val="auto"/>
        </w:rPr>
        <w:t xml:space="preserve">, </w:t>
      </w:r>
      <w:hyperlink r:id="rId16">
        <w:r>
          <w:rPr>
            <w:rFonts w:ascii="Times New Roman" w:cs="Times New Roman" w:eastAsia="Times New Roman" w:hAnsi="Times New Roman"/>
            <w:sz w:val="16"/>
            <w:szCs w:val="16"/>
            <w:u w:val="single" w:color="auto"/>
            <w:color w:val="0000EE"/>
          </w:rPr>
          <w:t>333-223794</w:t>
        </w:r>
      </w:hyperlink>
      <w:r>
        <w:rPr>
          <w:rFonts w:ascii="Times New Roman" w:cs="Times New Roman" w:eastAsia="Times New Roman" w:hAnsi="Times New Roman"/>
          <w:sz w:val="16"/>
          <w:szCs w:val="16"/>
          <w:color w:val="auto"/>
        </w:rPr>
        <w:t xml:space="preserve">, </w:t>
      </w:r>
      <w:hyperlink r:id="rId17">
        <w:r>
          <w:rPr>
            <w:rFonts w:ascii="Times New Roman" w:cs="Times New Roman" w:eastAsia="Times New Roman" w:hAnsi="Times New Roman"/>
            <w:sz w:val="16"/>
            <w:szCs w:val="16"/>
            <w:u w:val="single" w:color="auto"/>
            <w:color w:val="0000EE"/>
          </w:rPr>
          <w:t>333-230567</w:t>
        </w:r>
      </w:hyperlink>
      <w:r>
        <w:rPr>
          <w:rFonts w:ascii="Times New Roman" w:cs="Times New Roman" w:eastAsia="Times New Roman" w:hAnsi="Times New Roman"/>
          <w:sz w:val="16"/>
          <w:szCs w:val="16"/>
          <w:color w:val="auto"/>
        </w:rPr>
        <w:t xml:space="preserve">, </w:t>
      </w:r>
      <w:hyperlink r:id="rId18">
        <w:r>
          <w:rPr>
            <w:rFonts w:ascii="Times New Roman" w:cs="Times New Roman" w:eastAsia="Times New Roman" w:hAnsi="Times New Roman"/>
            <w:sz w:val="16"/>
            <w:szCs w:val="16"/>
            <w:u w:val="single" w:color="auto"/>
            <w:color w:val="0000EE"/>
          </w:rPr>
          <w:t>333-237346</w:t>
        </w:r>
      </w:hyperlink>
      <w:r>
        <w:rPr>
          <w:rFonts w:ascii="Times New Roman" w:cs="Times New Roman" w:eastAsia="Times New Roman" w:hAnsi="Times New Roman"/>
          <w:sz w:val="16"/>
          <w:szCs w:val="16"/>
          <w:color w:val="auto"/>
        </w:rPr>
        <w:t>,</w:t>
      </w:r>
      <w:hyperlink r:id="rId19">
        <w:r>
          <w:rPr>
            <w:rFonts w:ascii="Times New Roman" w:cs="Times New Roman" w:eastAsia="Times New Roman" w:hAnsi="Times New Roman"/>
            <w:sz w:val="16"/>
            <w:szCs w:val="16"/>
            <w:u w:val="single" w:color="auto"/>
            <w:color w:val="0000EE"/>
          </w:rPr>
          <w:t>333-254749</w:t>
        </w:r>
      </w:hyperlink>
      <w:r>
        <w:rPr>
          <w:rFonts w:ascii="Times New Roman" w:cs="Times New Roman" w:eastAsia="Times New Roman" w:hAnsi="Times New Roman"/>
          <w:sz w:val="16"/>
          <w:szCs w:val="16"/>
          <w:u w:val="single" w:color="auto"/>
          <w:color w:val="auto"/>
        </w:rPr>
        <w:t>,</w:t>
      </w:r>
      <w:r>
        <w:rPr>
          <w:rFonts w:ascii="Times New Roman" w:cs="Times New Roman" w:eastAsia="Times New Roman" w:hAnsi="Times New Roman"/>
          <w:sz w:val="16"/>
          <w:szCs w:val="16"/>
          <w:color w:val="auto"/>
        </w:rPr>
        <w:t xml:space="preserve"> </w:t>
      </w:r>
      <w:hyperlink r:id="rId20">
        <w:r>
          <w:rPr>
            <w:rFonts w:ascii="Times New Roman" w:cs="Times New Roman" w:eastAsia="Times New Roman" w:hAnsi="Times New Roman"/>
            <w:sz w:val="16"/>
            <w:szCs w:val="16"/>
            <w:u w:val="single" w:color="auto"/>
            <w:color w:val="0000EE"/>
          </w:rPr>
          <w:t>333-263975</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and </w:t>
      </w:r>
      <w:hyperlink r:id="rId21">
        <w:r>
          <w:rPr>
            <w:rFonts w:ascii="Times New Roman" w:cs="Times New Roman" w:eastAsia="Times New Roman" w:hAnsi="Times New Roman"/>
            <w:sz w:val="16"/>
            <w:szCs w:val="16"/>
            <w:u w:val="single" w:color="auto"/>
            <w:color w:val="0000EE"/>
          </w:rPr>
          <w:t>333-286158</w:t>
        </w:r>
      </w:hyperlink>
      <w:r>
        <w:rPr>
          <w:rFonts w:ascii="Times New Roman" w:cs="Times New Roman" w:eastAsia="Times New Roman" w:hAnsi="Times New Roman"/>
          <w:sz w:val="16"/>
          <w:szCs w:val="16"/>
          <w:color w:val="auto"/>
        </w:rPr>
        <w:t>).</w:t>
      </w:r>
    </w:p>
    <w:p>
      <w:pPr>
        <w:spacing w:after="0" w:line="347" w:lineRule="exact"/>
        <w:rPr>
          <w:rFonts w:ascii="Times New Roman" w:cs="Times New Roman" w:eastAsia="Times New Roman" w:hAnsi="Times New Roman"/>
          <w:sz w:val="16"/>
          <w:szCs w:val="16"/>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200" w:lineRule="exact"/>
        <w:rPr>
          <w:sz w:val="20"/>
          <w:szCs w:val="20"/>
          <w:color w:val="auto"/>
        </w:rPr>
      </w:pPr>
    </w:p>
    <w:p>
      <w:pPr>
        <w:ind w:right="20" w:firstLine="565"/>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480" w:type="dxa"/>
            <w:vAlign w:val="bottom"/>
          </w:tcPr>
          <w:p>
            <w:pPr>
              <w:spacing w:after="0"/>
              <w:rPr>
                <w:sz w:val="18"/>
                <w:szCs w:val="18"/>
                <w:color w:val="auto"/>
              </w:rPr>
            </w:pPr>
          </w:p>
        </w:tc>
        <w:tc>
          <w:tcPr>
            <w:tcW w:w="7780" w:type="dxa"/>
            <w:vAlign w:val="bottom"/>
            <w:gridSpan w:val="2"/>
          </w:tcPr>
          <w:p>
            <w:pPr>
              <w:ind w:left="3280"/>
              <w:spacing w:after="0"/>
              <w:rPr>
                <w:sz w:val="20"/>
                <w:szCs w:val="20"/>
                <w:color w:val="auto"/>
              </w:rPr>
            </w:pPr>
            <w:r>
              <w:rPr>
                <w:rFonts w:ascii="Times New Roman" w:cs="Times New Roman" w:eastAsia="Times New Roman" w:hAnsi="Times New Roman"/>
                <w:sz w:val="16"/>
                <w:szCs w:val="16"/>
                <w:color w:val="auto"/>
              </w:rPr>
              <w:t>KORNIT DIGITAL LTD.</w:t>
            </w:r>
          </w:p>
        </w:tc>
        <w:tc>
          <w:tcPr>
            <w:tcW w:w="0" w:type="dxa"/>
            <w:vAlign w:val="bottom"/>
          </w:tcPr>
          <w:p>
            <w:pPr>
              <w:spacing w:after="0"/>
              <w:rPr>
                <w:sz w:val="1"/>
                <w:szCs w:val="1"/>
                <w:color w:val="auto"/>
              </w:rPr>
            </w:pPr>
          </w:p>
        </w:tc>
      </w:tr>
      <w:tr>
        <w:trPr>
          <w:trHeight w:val="382"/>
        </w:trPr>
        <w:tc>
          <w:tcPr>
            <w:tcW w:w="3480" w:type="dxa"/>
            <w:vAlign w:val="bottom"/>
          </w:tcPr>
          <w:p>
            <w:pPr>
              <w:spacing w:after="0"/>
              <w:rPr>
                <w:sz w:val="20"/>
                <w:szCs w:val="20"/>
                <w:color w:val="auto"/>
              </w:rPr>
            </w:pPr>
            <w:r>
              <w:rPr>
                <w:rFonts w:ascii="Times New Roman" w:cs="Times New Roman" w:eastAsia="Times New Roman" w:hAnsi="Times New Roman"/>
                <w:sz w:val="16"/>
                <w:szCs w:val="16"/>
                <w:color w:val="auto"/>
              </w:rPr>
              <w:t>Date: August 6, 2025</w:t>
            </w:r>
          </w:p>
        </w:tc>
        <w:tc>
          <w:tcPr>
            <w:tcW w:w="3840" w:type="dxa"/>
            <w:vAlign w:val="bottom"/>
          </w:tcPr>
          <w:p>
            <w:pPr>
              <w:ind w:left="3280"/>
              <w:spacing w:after="0"/>
              <w:rPr>
                <w:sz w:val="20"/>
                <w:szCs w:val="20"/>
                <w:color w:val="auto"/>
              </w:rPr>
            </w:pPr>
            <w:r>
              <w:rPr>
                <w:rFonts w:ascii="Times New Roman" w:cs="Times New Roman" w:eastAsia="Times New Roman" w:hAnsi="Times New Roman"/>
                <w:sz w:val="16"/>
                <w:szCs w:val="16"/>
                <w:color w:val="auto"/>
              </w:rPr>
              <w:t>By:</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/s/ Lauri Hanover</w:t>
            </w:r>
          </w:p>
        </w:tc>
        <w:tc>
          <w:tcPr>
            <w:tcW w:w="0" w:type="dxa"/>
            <w:vAlign w:val="bottom"/>
          </w:tcPr>
          <w:p>
            <w:pPr>
              <w:spacing w:after="0"/>
              <w:rPr>
                <w:sz w:val="1"/>
                <w:szCs w:val="1"/>
                <w:color w:val="auto"/>
              </w:rPr>
            </w:pPr>
          </w:p>
        </w:tc>
      </w:tr>
      <w:tr>
        <w:trPr>
          <w:trHeight w:val="28"/>
        </w:trPr>
        <w:tc>
          <w:tcPr>
            <w:tcW w:w="3480" w:type="dxa"/>
            <w:vAlign w:val="bottom"/>
          </w:tcPr>
          <w:p>
            <w:pPr>
              <w:spacing w:after="0"/>
              <w:rPr>
                <w:sz w:val="2"/>
                <w:szCs w:val="2"/>
                <w:color w:val="auto"/>
              </w:rPr>
            </w:pPr>
          </w:p>
        </w:tc>
        <w:tc>
          <w:tcPr>
            <w:tcW w:w="3840" w:type="dxa"/>
            <w:vAlign w:val="bottom"/>
            <w:vMerge w:val="restart"/>
          </w:tcPr>
          <w:p>
            <w:pPr>
              <w:ind w:left="3280"/>
              <w:spacing w:after="0"/>
              <w:rPr>
                <w:sz w:val="20"/>
                <w:szCs w:val="20"/>
                <w:color w:val="auto"/>
              </w:rPr>
            </w:pPr>
            <w:r>
              <w:rPr>
                <w:rFonts w:ascii="Times New Roman" w:cs="Times New Roman" w:eastAsia="Times New Roman" w:hAnsi="Times New Roman"/>
                <w:sz w:val="16"/>
                <w:szCs w:val="16"/>
                <w:color w:val="auto"/>
              </w:rPr>
              <w:t>Name:</w:t>
            </w:r>
          </w:p>
        </w:tc>
        <w:tc>
          <w:tcPr>
            <w:tcW w:w="3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5"/>
        </w:trPr>
        <w:tc>
          <w:tcPr>
            <w:tcW w:w="3480" w:type="dxa"/>
            <w:vAlign w:val="bottom"/>
          </w:tcPr>
          <w:p>
            <w:pPr>
              <w:spacing w:after="0"/>
              <w:rPr>
                <w:sz w:val="15"/>
                <w:szCs w:val="15"/>
                <w:color w:val="auto"/>
              </w:rPr>
            </w:pPr>
          </w:p>
        </w:tc>
        <w:tc>
          <w:tcPr>
            <w:tcW w:w="3840" w:type="dxa"/>
            <w:vAlign w:val="bottom"/>
            <w:vMerge w:val="continue"/>
          </w:tcPr>
          <w:p>
            <w:pPr>
              <w:spacing w:after="0"/>
              <w:rPr>
                <w:sz w:val="15"/>
                <w:szCs w:val="15"/>
                <w:color w:val="auto"/>
              </w:rPr>
            </w:pPr>
          </w:p>
        </w:tc>
        <w:tc>
          <w:tcPr>
            <w:tcW w:w="3940" w:type="dxa"/>
            <w:vAlign w:val="bottom"/>
          </w:tcPr>
          <w:p>
            <w:pPr>
              <w:spacing w:after="0" w:line="175" w:lineRule="exact"/>
              <w:rPr>
                <w:sz w:val="20"/>
                <w:szCs w:val="20"/>
                <w:color w:val="auto"/>
              </w:rPr>
            </w:pPr>
            <w:r>
              <w:rPr>
                <w:rFonts w:ascii="Times New Roman" w:cs="Times New Roman" w:eastAsia="Times New Roman" w:hAnsi="Times New Roman"/>
                <w:sz w:val="16"/>
                <w:szCs w:val="16"/>
                <w:color w:val="auto"/>
              </w:rPr>
              <w:t>Lauri Hanover</w:t>
            </w:r>
          </w:p>
        </w:tc>
        <w:tc>
          <w:tcPr>
            <w:tcW w:w="0" w:type="dxa"/>
            <w:vAlign w:val="bottom"/>
          </w:tcPr>
          <w:p>
            <w:pPr>
              <w:spacing w:after="0"/>
              <w:rPr>
                <w:sz w:val="1"/>
                <w:szCs w:val="1"/>
                <w:color w:val="auto"/>
              </w:rPr>
            </w:pPr>
          </w:p>
        </w:tc>
      </w:tr>
      <w:tr>
        <w:trPr>
          <w:trHeight w:val="208"/>
        </w:trPr>
        <w:tc>
          <w:tcPr>
            <w:tcW w:w="3480" w:type="dxa"/>
            <w:vAlign w:val="bottom"/>
          </w:tcPr>
          <w:p>
            <w:pPr>
              <w:spacing w:after="0"/>
              <w:rPr>
                <w:sz w:val="18"/>
                <w:szCs w:val="18"/>
                <w:color w:val="auto"/>
              </w:rPr>
            </w:pPr>
          </w:p>
        </w:tc>
        <w:tc>
          <w:tcPr>
            <w:tcW w:w="3840" w:type="dxa"/>
            <w:vAlign w:val="bottom"/>
          </w:tcPr>
          <w:p>
            <w:pPr>
              <w:ind w:left="3280"/>
              <w:spacing w:after="0"/>
              <w:rPr>
                <w:sz w:val="20"/>
                <w:szCs w:val="20"/>
                <w:color w:val="auto"/>
              </w:rPr>
            </w:pPr>
            <w:r>
              <w:rPr>
                <w:rFonts w:ascii="Times New Roman" w:cs="Times New Roman" w:eastAsia="Times New Roman" w:hAnsi="Times New Roman"/>
                <w:sz w:val="16"/>
                <w:szCs w:val="16"/>
                <w:color w:val="auto"/>
              </w:rPr>
              <w:t>Title:</w:t>
            </w:r>
          </w:p>
        </w:tc>
        <w:tc>
          <w:tcPr>
            <w:tcW w:w="3940" w:type="dxa"/>
            <w:vAlign w:val="bottom"/>
          </w:tcPr>
          <w:p>
            <w:pPr>
              <w:spacing w:after="0"/>
              <w:rPr>
                <w:sz w:val="20"/>
                <w:szCs w:val="20"/>
                <w:color w:val="auto"/>
              </w:rPr>
            </w:pPr>
            <w:r>
              <w:rPr>
                <w:rFonts w:ascii="Times New Roman" w:cs="Times New Roman" w:eastAsia="Times New Roman" w:hAnsi="Times New Roman"/>
                <w:sz w:val="16"/>
                <w:szCs w:val="16"/>
                <w:color w:val="auto"/>
              </w:rPr>
              <w:t>Chief Financial Officer</w:t>
            </w:r>
          </w:p>
        </w:tc>
        <w:tc>
          <w:tcPr>
            <w:tcW w:w="0" w:type="dxa"/>
            <w:vAlign w:val="bottom"/>
          </w:tcPr>
          <w:p>
            <w:pPr>
              <w:spacing w:after="0"/>
              <w:rPr>
                <w:sz w:val="1"/>
                <w:szCs w:val="1"/>
                <w:color w:val="auto"/>
              </w:rPr>
            </w:pPr>
          </w:p>
        </w:tc>
      </w:tr>
      <w:tr>
        <w:trPr>
          <w:trHeight w:val="577"/>
        </w:trPr>
        <w:tc>
          <w:tcPr>
            <w:tcW w:w="348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6"/>
                <w:szCs w:val="16"/>
                <w:color w:val="auto"/>
              </w:rPr>
              <w:t>2</w:t>
            </w:r>
          </w:p>
        </w:tc>
        <w:tc>
          <w:tcPr>
            <w:tcW w:w="3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4" w:right="3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9"/>
          <w:szCs w:val="19"/>
          <w:b w:val="1"/>
          <w:bCs w:val="1"/>
          <w:color w:val="auto"/>
        </w:rPr>
        <w:t>Exhibit 99.1</w:t>
      </w:r>
    </w:p>
    <w:p>
      <w:pPr>
        <w:spacing w:after="0" w:line="2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Investor Contact:</w:t>
      </w:r>
    </w:p>
    <w:p>
      <w:pPr>
        <w:spacing w:after="0" w:line="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Jared Maymon</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Global Head of Investor Relations &amp; Strategic Finance</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Jared.Maymon@Kornit.com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1092835" cy="6146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092835" cy="614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color w:val="auto"/>
        </w:rPr>
        <w:t>Kornit Digital Reports Second Quarter 2025 Results</w:t>
      </w:r>
    </w:p>
    <w:p>
      <w:pPr>
        <w:spacing w:after="0" w:line="200" w:lineRule="exact"/>
        <w:rPr>
          <w:sz w:val="20"/>
          <w:szCs w:val="20"/>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Second quarter revenues of $49.8 million, in line with previous guidance</w:t>
      </w:r>
    </w:p>
    <w:p>
      <w:pPr>
        <w:spacing w:after="0" w:line="222"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Second quarter GAAP net loss of $7.5 million; non-GAAP net income of $1.2 million</w:t>
      </w:r>
    </w:p>
    <w:p>
      <w:pPr>
        <w:spacing w:after="0" w:line="222"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Continued to generate cash from operations</w:t>
      </w:r>
    </w:p>
    <w:p>
      <w:pPr>
        <w:spacing w:after="0" w:line="222" w:lineRule="exact"/>
        <w:rPr>
          <w:rFonts w:ascii="Times New Roman" w:cs="Times New Roman" w:eastAsia="Times New Roman" w:hAnsi="Times New Roman"/>
          <w:sz w:val="16"/>
          <w:szCs w:val="16"/>
          <w:color w:val="auto"/>
        </w:rPr>
      </w:pPr>
    </w:p>
    <w:p>
      <w:pPr>
        <w:ind w:left="284" w:hanging="284"/>
        <w:spacing w:after="0"/>
        <w:tabs>
          <w:tab w:leader="none" w:pos="284"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Reported annual recurring revenue from AIC contracts of $18.9 million, reflecting continued adoption of this new model, particularly from screen-printing customers.</w:t>
      </w:r>
    </w:p>
    <w:p>
      <w:pPr>
        <w:spacing w:after="0" w:line="196" w:lineRule="exact"/>
        <w:rPr>
          <w:sz w:val="20"/>
          <w:szCs w:val="20"/>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Rosh-Ha`Ayin, Israel – August 6, 2025 </w:t>
      </w:r>
      <w:r>
        <w:rPr>
          <w:rFonts w:ascii="Times New Roman" w:cs="Times New Roman" w:eastAsia="Times New Roman" w:hAnsi="Times New Roman"/>
          <w:sz w:val="16"/>
          <w:szCs w:val="16"/>
          <w:color w:val="auto"/>
        </w:rPr>
        <w:t>– Kornit Digital Ltd. (“Kornit” or the “Company”) (Nasdaq: KRNT), a global leader in sustainable, on-demand, digital fashion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textile production technologies, today reported results for the second quarter ended June 30, 2025.</w:t>
      </w:r>
    </w:p>
    <w:p>
      <w:pPr>
        <w:spacing w:after="0" w:line="142" w:lineRule="exact"/>
        <w:rPr>
          <w:sz w:val="20"/>
          <w:szCs w:val="20"/>
          <w:color w:val="auto"/>
        </w:rPr>
      </w:pPr>
    </w:p>
    <w:p>
      <w:pPr>
        <w:jc w:val="both"/>
        <w:ind w:left="4" w:right="20"/>
        <w:spacing w:after="0" w:line="259" w:lineRule="auto"/>
        <w:rPr>
          <w:sz w:val="20"/>
          <w:szCs w:val="20"/>
          <w:color w:val="auto"/>
        </w:rPr>
      </w:pPr>
      <w:r>
        <w:rPr>
          <w:rFonts w:ascii="Times New Roman" w:cs="Times New Roman" w:eastAsia="Times New Roman" w:hAnsi="Times New Roman"/>
          <w:sz w:val="16"/>
          <w:szCs w:val="16"/>
          <w:color w:val="auto"/>
        </w:rPr>
        <w:t>“We delivered second quarter results within our guidance range in a challenging market environment, reflecting ongoing progress in transforming our business toward recurring revenue and long-term growth. While consumables revenue came in softer due to inventory adjustments among certain customers, system sales and AIC adoption maintained momentum. We saw particularly positive traction from screen-printing customers embracing digital for the first time, for a variety of run lengths, as well as capacity expansions from customized design customers,” said Ronen Samuel, Kornit’s Chief Executive Officer.</w:t>
      </w:r>
    </w:p>
    <w:p>
      <w:pPr>
        <w:spacing w:after="0" w:line="162" w:lineRule="exact"/>
        <w:rPr>
          <w:sz w:val="20"/>
          <w:szCs w:val="20"/>
          <w:color w:val="auto"/>
        </w:rPr>
      </w:pPr>
    </w:p>
    <w:p>
      <w:pPr>
        <w:jc w:val="both"/>
        <w:ind w:left="4" w:right="20"/>
        <w:spacing w:after="0" w:line="265" w:lineRule="auto"/>
        <w:rPr>
          <w:sz w:val="20"/>
          <w:szCs w:val="20"/>
          <w:color w:val="auto"/>
        </w:rPr>
      </w:pPr>
      <w:r>
        <w:rPr>
          <w:rFonts w:ascii="Times New Roman" w:cs="Times New Roman" w:eastAsia="Times New Roman" w:hAnsi="Times New Roman"/>
          <w:sz w:val="16"/>
          <w:szCs w:val="16"/>
          <w:color w:val="auto"/>
        </w:rPr>
        <w:t>Mr. Samuel continued, “Despite a more modest outlook for the second half, we remain focused on the execution of our strategy. Our priorities are clear: scaling adoption of the Apollo and AIC, growing the number of screen-printing customers we serve, and maintaining both adjusted EBITDA profitability and operating cash flow generation. With disciplined execution and continued focus, we remain confident these efforts will lay the foundation for a more resilient, scalable, and profitable business.”</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Second Quarter 2025 Results of Operations</w:t>
      </w:r>
    </w:p>
    <w:p>
      <w:pPr>
        <w:spacing w:after="0" w:line="200" w:lineRule="exact"/>
        <w:rPr>
          <w:sz w:val="20"/>
          <w:szCs w:val="20"/>
          <w:color w:val="auto"/>
        </w:rPr>
      </w:pPr>
    </w:p>
    <w:p>
      <w:pPr>
        <w:ind w:left="284" w:hanging="284"/>
        <w:spacing w:after="0"/>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revenue for the second quarter of 2025 was $49.8 million compared with $48.6 million in the prior year period.</w:t>
      </w:r>
    </w:p>
    <w:p>
      <w:pPr>
        <w:spacing w:after="0" w:line="198"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gross profit margin for the second quarter of 2025 was 41.7% compared with 45.8% in the prior year period. On a non-GAAP basis, gross profit margin was 46.3% compared with 48.6% in the prior year period.</w:t>
      </w:r>
    </w:p>
    <w:p>
      <w:pPr>
        <w:spacing w:after="0" w:line="144"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operating expenses for the second quarter of 2025 were $31.6 million compared with $33.0 million in the prior year period. On a non-GAAP basis, operating expenses decreased by 4.4% to $26.7 million compared with the prior year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223520</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12" w:right="319" w:bottom="1440" w:gutter="0" w:footer="0" w:header="0"/>
        </w:sectPr>
      </w:pPr>
    </w:p>
    <w:bookmarkStart w:id="4" w:name="page5"/>
    <w:bookmarkEnd w:id="4"/>
    <w:p>
      <w:pPr>
        <w:ind w:left="284" w:hanging="284"/>
        <w:spacing w:after="0" w:line="280" w:lineRule="auto"/>
        <w:tabs>
          <w:tab w:leader="none" w:pos="2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GAAP net loss for the second quarter of 2025 was $7.5 million, or ($0.17) per basic share, compared with net loss of $4.9 million, or ($0.10) per basic share, for the second quarter of 2024.</w:t>
      </w:r>
    </w:p>
    <w:p>
      <w:pPr>
        <w:spacing w:after="0" w:line="144"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net income for the second quarter of 2025 was $1.2 million, or $0.03 per share, compared with non-GAAP net income of $1.1 million, or $0.02 per share, for the second quarter of 2024.</w:t>
      </w:r>
    </w:p>
    <w:p>
      <w:pPr>
        <w:spacing w:after="0" w:line="144" w:lineRule="exact"/>
        <w:rPr>
          <w:rFonts w:ascii="Times New Roman" w:cs="Times New Roman" w:eastAsia="Times New Roman" w:hAnsi="Times New Roman"/>
          <w:sz w:val="16"/>
          <w:szCs w:val="16"/>
          <w:color w:val="auto"/>
        </w:rPr>
      </w:pPr>
    </w:p>
    <w:p>
      <w:pPr>
        <w:ind w:left="284" w:right="20" w:hanging="284"/>
        <w:spacing w:after="0" w:line="280" w:lineRule="auto"/>
        <w:tabs>
          <w:tab w:leader="none" w:pos="284"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loss for the second quarter of 2025 was $1.2 million compared with adjusted EBITDA loss of $1.6 million for the second quarter of 2024. Adjusted EBITDA margin for the second quarter of 2025 was negative 2.3% compared with negative 3.4% for the second quarter of 2024.</w:t>
      </w:r>
    </w:p>
    <w:p>
      <w:pPr>
        <w:spacing w:after="0" w:line="14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Third Quarter 2025 Guidance</w:t>
      </w:r>
    </w:p>
    <w:p>
      <w:pPr>
        <w:spacing w:after="0" w:line="20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color w:val="auto"/>
        </w:rPr>
        <w:t>For the Third quarter of 2025, the Company expects revenues to be in the range of $49 million to $55 million and adjusted EBITDA margin between negative 3% and 3%.</w:t>
      </w:r>
    </w:p>
    <w:p>
      <w:pPr>
        <w:spacing w:after="0" w:line="19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Second Quarter Earnings Conference Call Information</w:t>
      </w:r>
    </w:p>
    <w:p>
      <w:pPr>
        <w:spacing w:after="0" w:line="200" w:lineRule="exact"/>
        <w:rPr>
          <w:sz w:val="20"/>
          <w:szCs w:val="20"/>
          <w:color w:val="auto"/>
        </w:rPr>
      </w:pPr>
    </w:p>
    <w:p>
      <w:pPr>
        <w:jc w:val="both"/>
        <w:ind w:left="4" w:right="20"/>
        <w:spacing w:after="0" w:line="280" w:lineRule="auto"/>
        <w:rPr>
          <w:sz w:val="20"/>
          <w:szCs w:val="20"/>
          <w:color w:val="auto"/>
        </w:rPr>
      </w:pPr>
      <w:r>
        <w:rPr>
          <w:rFonts w:ascii="Times New Roman" w:cs="Times New Roman" w:eastAsia="Times New Roman" w:hAnsi="Times New Roman"/>
          <w:sz w:val="16"/>
          <w:szCs w:val="16"/>
          <w:color w:val="auto"/>
        </w:rPr>
        <w:t>The Company will host a conference call today at 8:30 a.m. ET, or 3:30 p.m. Israel time, to discuss the results, followed by a question-and-answer session with the investor community.</w:t>
      </w:r>
    </w:p>
    <w:p>
      <w:pPr>
        <w:spacing w:after="0" w:line="142" w:lineRule="exact"/>
        <w:rPr>
          <w:sz w:val="20"/>
          <w:szCs w:val="20"/>
          <w:color w:val="auto"/>
        </w:rPr>
      </w:pPr>
    </w:p>
    <w:p>
      <w:pPr>
        <w:jc w:val="both"/>
        <w:ind w:left="4" w:right="20"/>
        <w:spacing w:after="0" w:line="283" w:lineRule="auto"/>
        <w:rPr>
          <w:sz w:val="20"/>
          <w:szCs w:val="20"/>
          <w:color w:val="auto"/>
        </w:rPr>
      </w:pPr>
      <w:r>
        <w:rPr>
          <w:rFonts w:ascii="Times New Roman" w:cs="Times New Roman" w:eastAsia="Times New Roman" w:hAnsi="Times New Roman"/>
          <w:sz w:val="16"/>
          <w:szCs w:val="16"/>
          <w:b w:val="1"/>
          <w:bCs w:val="1"/>
          <w:color w:val="auto"/>
        </w:rPr>
        <w:t xml:space="preserve">A live webcast of the call </w:t>
      </w:r>
      <w:r>
        <w:rPr>
          <w:rFonts w:ascii="Times New Roman" w:cs="Times New Roman" w:eastAsia="Times New Roman" w:hAnsi="Times New Roman"/>
          <w:sz w:val="16"/>
          <w:szCs w:val="16"/>
          <w:color w:val="auto"/>
        </w:rPr>
        <w:t>can be accessed at ir.kornit.com. To access the call, participants may dial toll-free at 1-800-579-2543 or 1-785-424-1789. The Israel Toll free number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is 180-925-6145. The conference ID required to join the call is KORNIT.</w:t>
      </w:r>
    </w:p>
    <w:p>
      <w:pPr>
        <w:spacing w:after="0" w:line="140"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6"/>
          <w:szCs w:val="16"/>
          <w:b w:val="1"/>
          <w:bCs w:val="1"/>
          <w:color w:val="auto"/>
        </w:rPr>
        <w:t xml:space="preserve">To listen to a replay </w:t>
      </w:r>
      <w:r>
        <w:rPr>
          <w:rFonts w:ascii="Times New Roman" w:cs="Times New Roman" w:eastAsia="Times New Roman" w:hAnsi="Times New Roman"/>
          <w:sz w:val="16"/>
          <w:szCs w:val="16"/>
          <w:color w:val="auto"/>
        </w:rPr>
        <w:t>of the conference call, dial toll-free 1-844-512-2921 or 1-412-317-6671 and enter access ID 11159631. The telephonic replay will be available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approximately three hours after the completion of the live call until 11:59 pm ET on August 20, 2025. The call will also be available for replay via the webcast link on Kornit’s Investor Relations website.</w:t>
      </w:r>
    </w:p>
    <w:p>
      <w:pPr>
        <w:spacing w:after="0" w:line="15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6"/>
          <w:szCs w:val="16"/>
          <w:b w:val="1"/>
          <w:bCs w:val="1"/>
          <w:color w:val="auto"/>
        </w:rPr>
        <w:t>About Kornit Digital</w:t>
      </w:r>
    </w:p>
    <w:p>
      <w:pPr>
        <w:spacing w:after="0" w:line="200" w:lineRule="exact"/>
        <w:rPr>
          <w:sz w:val="20"/>
          <w:szCs w:val="20"/>
          <w:color w:val="auto"/>
        </w:rPr>
      </w:pPr>
    </w:p>
    <w:p>
      <w:pPr>
        <w:jc w:val="both"/>
        <w:ind w:left="4" w:right="20"/>
        <w:spacing w:after="0" w:line="259" w:lineRule="auto"/>
        <w:rPr>
          <w:sz w:val="20"/>
          <w:szCs w:val="20"/>
          <w:color w:val="auto"/>
        </w:rPr>
      </w:pPr>
      <w:r>
        <w:rPr>
          <w:rFonts w:ascii="Times New Roman" w:cs="Times New Roman" w:eastAsia="Times New Roman" w:hAnsi="Times New Roman"/>
          <w:sz w:val="16"/>
          <w:szCs w:val="16"/>
          <w:color w:val="auto"/>
        </w:rPr>
        <w:t>Kornit Digital (NASDAQ: KRNT) is a worldwide market leader in sustainable, on-demand, digital fashion, and textile production technologies. The company offers end-to-end solutions including digital printing systems, inks, consumables, software, and fulfillment services through its global fulfillment network. Headquartered in Israel with offices in the USA, Europe, and Asia Pacific, Kornit Digital serves customers in more than 100 countries and states worldwide. To learn more about how Kornit Digital is boldly transforming the world of fashion and textiles, visit www.kornit.com.</w:t>
      </w:r>
    </w:p>
    <w:p>
      <w:pPr>
        <w:spacing w:after="0" w:line="35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16"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b w:val="1"/>
          <w:bCs w:val="1"/>
          <w:color w:val="auto"/>
        </w:rPr>
        <w:t>Forward Looking Statements</w:t>
      </w:r>
    </w:p>
    <w:p>
      <w:pPr>
        <w:spacing w:after="0" w:line="20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duration and severity of adverse macro-economic headwinds that were caused by inflationary pressures and higher interest rates, which have impacted, and may continue to impact, in an adverse manner, the Company’s operations, financial position and cash flows, in part due to the adverse impact on the Company’s customers and suppliers; the Company’s degree of success in developing, introducing and selling new or improved products and product enhancements including specifically the Company’s Poly Pro and Presto products, and the Company’s Apollo direct-to-garment platform; the extent of the Company’s ability to consummate sales to large accounts with multi-system delivery plans; the degree of the Company’s ability to fill orders for its systems and consumables; the extent of the Company’s ability to increase sales of its systems, ink and consumables; the extent of the Company’s ability to leverage its global infrastructure build-out; the development of the market for digital textile printing; the availability of alternative ink; competition; sales concentration; changes to the Company’s relationships with suppliers; the extent of the Company’s success in marketing; and those additional factors referred to under “Risk Factors” in Item 3.D of the Company’s Annual Report on Form 20-F for the year ended December 31, 2024, filed with the SEC on March 28, 2025. Any forward-looking statements in this press release are made as of the date hereof, whether as a result of new information, future events or otherwise, except as required by law.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Discussion Disclosure</w:t>
      </w:r>
    </w:p>
    <w:p>
      <w:pPr>
        <w:spacing w:after="0" w:line="200"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6"/>
          <w:szCs w:val="16"/>
          <w:color w:val="auto"/>
        </w:rPr>
        <w:t>The Company presents certain non-GAAP financial measures, in this press release and in the accompanying conference call to discuss the Company’s quarterly results. These non-GAAP financial measures reflect adjustments to corresponding GAAP financial measures in order to exclude the impact of the following: share-based compensation expenses; amortization of intangible assets; restructuring expenses; foreign exchange differences associated with ASC 842; and non-cash deferred tax income.</w:t>
      </w:r>
    </w:p>
    <w:p>
      <w:pPr>
        <w:spacing w:after="0" w:line="155" w:lineRule="exact"/>
        <w:rPr>
          <w:sz w:val="20"/>
          <w:szCs w:val="20"/>
          <w:color w:val="auto"/>
        </w:rPr>
      </w:pPr>
    </w:p>
    <w:p>
      <w:pPr>
        <w:jc w:val="both"/>
        <w:ind w:right="20"/>
        <w:spacing w:after="0" w:line="280" w:lineRule="auto"/>
        <w:rPr>
          <w:sz w:val="20"/>
          <w:szCs w:val="20"/>
          <w:color w:val="auto"/>
        </w:rPr>
      </w:pPr>
      <w:r>
        <w:rPr>
          <w:rFonts w:ascii="Times New Roman" w:cs="Times New Roman" w:eastAsia="Times New Roman" w:hAnsi="Times New Roman"/>
          <w:sz w:val="16"/>
          <w:szCs w:val="16"/>
          <w:color w:val="auto"/>
        </w:rPr>
        <w:t>The Company defines “Adjusted EBITDA” as non-GAAP operating income (loss), which reflects the adjustments described in the preceding paragraph, as further adjusted to exclude depreciation expense.</w:t>
      </w:r>
    </w:p>
    <w:p>
      <w:pPr>
        <w:spacing w:after="0" w:line="14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6"/>
          <w:szCs w:val="16"/>
          <w:color w:val="auto"/>
        </w:rPr>
        <w:t>The purpose of the foregoing non-GAAP financial measures is to convey the Company’s performance exclusive of non-cash charges and other items that are considered by management to be outside of the Company’s core operating results. These non-GAAP measures are among the primary factors management uses in planning for and forecasting future periods. Furthermore, the non-GAAP measures are regularly used internally to understand, manage, and evaluate the Company’s business and make operating decisions, and the Company believes that they are useful to investors as a consistent and comparable measure of the ongoing performance of the Company’s business. The Company’s non-GAAP financial measures are not meant to be considered in isolation or as a substitute for comparable GAAP measures and should be read only in conjunction with the Company’s consolidated financial statements prepared in accordance with GAAP. Additionally, these non-GAAP financial measures may differ materially from the non-GAAP financial measures used by other companies.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reconciliation tables included below present a reconciliation of our non-GAAP financial measures to the most directly comparable GAAP financial measures.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4" w:right="31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CONSOLIDATED BALANCE SHEETS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(U.S. dollars in thousands)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5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80" w:type="dxa"/>
            <w:vAlign w:val="bottom"/>
          </w:tcPr>
          <w:p>
            <w:pPr>
              <w:spacing w:after="0"/>
              <w:rPr>
                <w:sz w:val="17"/>
                <w:szCs w:val="17"/>
                <w:color w:val="auto"/>
              </w:rPr>
            </w:pPr>
          </w:p>
        </w:tc>
        <w:tc>
          <w:tcPr>
            <w:tcW w:w="11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4"/>
        </w:trPr>
        <w:tc>
          <w:tcPr>
            <w:tcW w:w="45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2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(Audited)</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520" w:type="dxa"/>
            <w:vAlign w:val="bottom"/>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ASSETS</w:t>
            </w:r>
          </w:p>
        </w:tc>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4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25,418</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35,003</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Short-term bank deposit</w:t>
            </w: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306,437</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205,934</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4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99,757</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222,937</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receivables, net</w:t>
            </w: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64,457</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65,459</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4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50,023</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60,342</w:t>
            </w:r>
          </w:p>
        </w:tc>
        <w:tc>
          <w:tcPr>
            <w:tcW w:w="0" w:type="dxa"/>
            <w:vAlign w:val="bottom"/>
          </w:tcPr>
          <w:p>
            <w:pPr>
              <w:spacing w:after="0"/>
              <w:rPr>
                <w:sz w:val="1"/>
                <w:szCs w:val="1"/>
                <w:color w:val="auto"/>
              </w:rPr>
            </w:pPr>
          </w:p>
        </w:tc>
      </w:tr>
      <w:tr>
        <w:trPr>
          <w:trHeight w:val="207"/>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accounts receivable and prepaid expenses</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28,586</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25,714</w:t>
            </w:r>
          </w:p>
        </w:tc>
        <w:tc>
          <w:tcPr>
            <w:tcW w:w="0" w:type="dxa"/>
            <w:vAlign w:val="bottom"/>
          </w:tcPr>
          <w:p>
            <w:pPr>
              <w:spacing w:after="0"/>
              <w:rPr>
                <w:sz w:val="1"/>
                <w:szCs w:val="1"/>
                <w:color w:val="auto"/>
              </w:rPr>
            </w:pPr>
          </w:p>
        </w:tc>
      </w:tr>
      <w:tr>
        <w:trPr>
          <w:trHeight w:val="195"/>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current assets</w:t>
            </w:r>
          </w:p>
        </w:tc>
        <w:tc>
          <w:tcPr>
            <w:tcW w:w="4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574,678</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615,389</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ASSETS:</w:t>
            </w:r>
          </w:p>
        </w:tc>
        <w:tc>
          <w:tcPr>
            <w:tcW w:w="4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Marketable securities</w:t>
            </w: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56,991</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48,086</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Deposits and other long-term assets</w:t>
            </w:r>
          </w:p>
        </w:tc>
        <w:tc>
          <w:tcPr>
            <w:tcW w:w="4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14,089</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10,542</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Severance pay fund</w:t>
            </w: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344</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Property,plant and equipment, net</w:t>
            </w:r>
          </w:p>
        </w:tc>
        <w:tc>
          <w:tcPr>
            <w:tcW w:w="4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67,296</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59,222</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18,443</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19,054</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4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4,955</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5,721</w:t>
            </w:r>
          </w:p>
        </w:tc>
        <w:tc>
          <w:tcPr>
            <w:tcW w:w="0" w:type="dxa"/>
            <w:vAlign w:val="bottom"/>
          </w:tcPr>
          <w:p>
            <w:pPr>
              <w:spacing w:after="0"/>
              <w:rPr>
                <w:sz w:val="1"/>
                <w:szCs w:val="1"/>
                <w:color w:val="auto"/>
              </w:rPr>
            </w:pPr>
          </w:p>
        </w:tc>
      </w:tr>
      <w:tr>
        <w:trPr>
          <w:trHeight w:val="207"/>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29,164</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29,164</w:t>
            </w:r>
          </w:p>
        </w:tc>
        <w:tc>
          <w:tcPr>
            <w:tcW w:w="0" w:type="dxa"/>
            <w:vAlign w:val="bottom"/>
          </w:tcPr>
          <w:p>
            <w:pPr>
              <w:spacing w:after="0"/>
              <w:rPr>
                <w:sz w:val="1"/>
                <w:szCs w:val="1"/>
                <w:color w:val="auto"/>
              </w:rPr>
            </w:pPr>
          </w:p>
        </w:tc>
      </w:tr>
      <w:tr>
        <w:trPr>
          <w:trHeight w:val="195"/>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long-term assets</w:t>
            </w:r>
          </w:p>
        </w:tc>
        <w:tc>
          <w:tcPr>
            <w:tcW w:w="416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191,282</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spacing w:after="0"/>
              <w:rPr>
                <w:sz w:val="16"/>
                <w:szCs w:val="16"/>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172,095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4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765,960</w:t>
            </w:r>
          </w:p>
        </w:tc>
        <w:tc>
          <w:tcPr>
            <w:tcW w:w="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787,484</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4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payables</w:t>
            </w:r>
          </w:p>
        </w:tc>
        <w:tc>
          <w:tcPr>
            <w:tcW w:w="4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10,032</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9,019</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Employees and payroll accruals</w:t>
            </w: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13,386</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13,101</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revenues and advances from customers</w:t>
            </w:r>
          </w:p>
        </w:tc>
        <w:tc>
          <w:tcPr>
            <w:tcW w:w="4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1,566</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2,339</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3,670</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3,311</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payables and accrued expenses</w:t>
            </w:r>
          </w:p>
        </w:tc>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16,434</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16,561</w:t>
            </w:r>
          </w:p>
        </w:tc>
        <w:tc>
          <w:tcPr>
            <w:tcW w:w="0" w:type="dxa"/>
            <w:vAlign w:val="bottom"/>
          </w:tcPr>
          <w:p>
            <w:pPr>
              <w:spacing w:after="0"/>
              <w:rPr>
                <w:sz w:val="1"/>
                <w:szCs w:val="1"/>
                <w:color w:val="auto"/>
              </w:rPr>
            </w:pPr>
          </w:p>
        </w:tc>
      </w:tr>
      <w:tr>
        <w:trPr>
          <w:trHeight w:val="179"/>
        </w:trPr>
        <w:tc>
          <w:tcPr>
            <w:tcW w:w="4520" w:type="dxa"/>
            <w:vAlign w:val="bottom"/>
            <w:tcBorders>
              <w:top w:val="single" w:sz="8" w:color="CCEEFF"/>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Total current liabilities</w:t>
            </w:r>
          </w:p>
        </w:tc>
        <w:tc>
          <w:tcPr>
            <w:tcW w:w="416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45,088</w:t>
            </w:r>
          </w:p>
        </w:tc>
        <w:tc>
          <w:tcPr>
            <w:tcW w:w="2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44,331</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16"/>
                <w:szCs w:val="16"/>
                <w:color w:val="auto"/>
              </w:rPr>
            </w:pPr>
          </w:p>
        </w:tc>
        <w:tc>
          <w:tcPr>
            <w:tcW w:w="4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LONG-TERM LIABILITIES:</w:t>
            </w: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severance pay</w:t>
            </w:r>
          </w:p>
        </w:tc>
        <w:tc>
          <w:tcPr>
            <w:tcW w:w="4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472</w:t>
            </w:r>
          </w:p>
        </w:tc>
        <w:tc>
          <w:tcPr>
            <w:tcW w:w="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1,051</w:t>
            </w:r>
          </w:p>
        </w:tc>
        <w:tc>
          <w:tcPr>
            <w:tcW w:w="0" w:type="dxa"/>
            <w:vAlign w:val="bottom"/>
          </w:tcPr>
          <w:p>
            <w:pPr>
              <w:spacing w:after="0"/>
              <w:rPr>
                <w:sz w:val="1"/>
                <w:szCs w:val="1"/>
                <w:color w:val="auto"/>
              </w:rPr>
            </w:pPr>
          </w:p>
        </w:tc>
      </w:tr>
      <w:tr>
        <w:trPr>
          <w:trHeight w:val="191"/>
        </w:trPr>
        <w:tc>
          <w:tcPr>
            <w:tcW w:w="45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15,525</w:t>
            </w:r>
          </w:p>
        </w:tc>
        <w:tc>
          <w:tcPr>
            <w:tcW w:w="80" w:type="dxa"/>
            <w:vAlign w:val="bottom"/>
          </w:tcPr>
          <w:p>
            <w:pPr>
              <w:spacing w:after="0"/>
              <w:rPr>
                <w:sz w:val="16"/>
                <w:szCs w:val="16"/>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15,065</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4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126</w:t>
            </w:r>
          </w:p>
        </w:tc>
        <w:tc>
          <w:tcPr>
            <w:tcW w:w="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138</w:t>
            </w:r>
          </w:p>
        </w:tc>
        <w:tc>
          <w:tcPr>
            <w:tcW w:w="0" w:type="dxa"/>
            <w:vAlign w:val="bottom"/>
          </w:tcPr>
          <w:p>
            <w:pPr>
              <w:spacing w:after="0"/>
              <w:rPr>
                <w:sz w:val="1"/>
                <w:szCs w:val="1"/>
                <w:color w:val="auto"/>
              </w:rPr>
            </w:pPr>
          </w:p>
        </w:tc>
      </w:tr>
      <w:tr>
        <w:trPr>
          <w:trHeight w:val="179"/>
        </w:trPr>
        <w:tc>
          <w:tcPr>
            <w:tcW w:w="4520" w:type="dxa"/>
            <w:vAlign w:val="bottom"/>
            <w:tcBorders>
              <w:top w:val="single" w:sz="8" w:color="CCEEFF"/>
              <w:bottom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Total long-term liabilities</w:t>
            </w:r>
          </w:p>
        </w:tc>
        <w:tc>
          <w:tcPr>
            <w:tcW w:w="416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16,123</w:t>
            </w:r>
          </w:p>
        </w:tc>
        <w:tc>
          <w:tcPr>
            <w:tcW w:w="2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16,254</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16"/>
                <w:szCs w:val="16"/>
                <w:color w:val="auto"/>
              </w:rPr>
            </w:pPr>
          </w:p>
        </w:tc>
        <w:tc>
          <w:tcPr>
            <w:tcW w:w="4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SHAREHOLDERS' EQUITY</w:t>
            </w:r>
          </w:p>
        </w:tc>
        <w:tc>
          <w:tcPr>
            <w:tcW w:w="4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704,749</w:t>
            </w:r>
          </w:p>
        </w:tc>
        <w:tc>
          <w:tcPr>
            <w:tcW w:w="8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726,899</w:t>
            </w:r>
          </w:p>
        </w:tc>
        <w:tc>
          <w:tcPr>
            <w:tcW w:w="0" w:type="dxa"/>
            <w:vAlign w:val="bottom"/>
          </w:tcPr>
          <w:p>
            <w:pPr>
              <w:spacing w:after="0"/>
              <w:rPr>
                <w:sz w:val="1"/>
                <w:szCs w:val="1"/>
                <w:color w:val="auto"/>
              </w:rPr>
            </w:pPr>
          </w:p>
        </w:tc>
      </w:tr>
      <w:tr>
        <w:trPr>
          <w:trHeight w:val="191"/>
        </w:trPr>
        <w:tc>
          <w:tcPr>
            <w:tcW w:w="4520" w:type="dxa"/>
            <w:vAlign w:val="bottom"/>
            <w:tcBorders>
              <w:top w:val="single" w:sz="8" w:color="CCEEFF"/>
            </w:tcBorders>
            <w:shd w:val="clear" w:color="auto" w:fill="CCEEFF"/>
          </w:tcPr>
          <w:p>
            <w:pPr>
              <w:spacing w:after="0"/>
              <w:rPr>
                <w:sz w:val="16"/>
                <w:szCs w:val="16"/>
                <w:color w:val="auto"/>
              </w:rPr>
            </w:pPr>
          </w:p>
        </w:tc>
        <w:tc>
          <w:tcPr>
            <w:tcW w:w="416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42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765,960</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787,484</w:t>
            </w:r>
          </w:p>
        </w:tc>
        <w:tc>
          <w:tcPr>
            <w:tcW w:w="0" w:type="dxa"/>
            <w:vAlign w:val="bottom"/>
          </w:tcPr>
          <w:p>
            <w:pPr>
              <w:spacing w:after="0"/>
              <w:rPr>
                <w:sz w:val="1"/>
                <w:szCs w:val="1"/>
                <w:color w:val="auto"/>
              </w:rPr>
            </w:pPr>
          </w:p>
        </w:tc>
      </w:tr>
      <w:tr>
        <w:trPr>
          <w:trHeight w:val="20"/>
        </w:trPr>
        <w:tc>
          <w:tcPr>
            <w:tcW w:w="4520" w:type="dxa"/>
            <w:vAlign w:val="bottom"/>
          </w:tcPr>
          <w:p>
            <w:pPr>
              <w:spacing w:after="0" w:line="20" w:lineRule="exact"/>
              <w:rPr>
                <w:sz w:val="1"/>
                <w:szCs w:val="1"/>
                <w:color w:val="auto"/>
              </w:rPr>
            </w:pPr>
          </w:p>
        </w:tc>
        <w:tc>
          <w:tcPr>
            <w:tcW w:w="4160" w:type="dxa"/>
            <w:vAlign w:val="bottom"/>
            <w:vMerge w:val="restart"/>
          </w:tcPr>
          <w:p>
            <w:pPr>
              <w:jc w:val="right"/>
              <w:ind w:right="294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45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38" w:right="319" w:bottom="1440" w:gutter="0" w:footer="0" w:header="0"/>
        </w:sectPr>
      </w:pPr>
    </w:p>
    <w:bookmarkStart w:id="7" w:name="page8"/>
    <w:bookmarkEnd w:id="7"/>
    <w:p>
      <w:pPr>
        <w:ind w:left="474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6"/>
          <w:szCs w:val="16"/>
          <w:b w:val="1"/>
          <w:bCs w:val="1"/>
          <w:color w:val="auto"/>
        </w:rPr>
        <w:t>CONSOLIDATED STATEMENTS OF OPERATIONS</w:t>
      </w:r>
    </w:p>
    <w:p>
      <w:pPr>
        <w:spacing w:after="0" w:line="7"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6"/>
          <w:szCs w:val="16"/>
          <w:color w:val="auto"/>
        </w:rPr>
        <w:t>(U.S. dollars in thousands, except share and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c>
          <w:tcPr>
            <w:tcW w:w="0" w:type="dxa"/>
            <w:vAlign w:val="bottom"/>
          </w:tcPr>
          <w:p>
            <w:pPr>
              <w:spacing w:after="0"/>
              <w:rPr>
                <w:sz w:val="1"/>
                <w:szCs w:val="1"/>
                <w:color w:val="auto"/>
              </w:rPr>
            </w:pPr>
          </w:p>
        </w:tc>
      </w:tr>
      <w:tr>
        <w:trPr>
          <w:trHeight w:val="214"/>
        </w:trPr>
        <w:tc>
          <w:tcPr>
            <w:tcW w:w="5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6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46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38,413</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34,366</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72,278</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63,379</w:t>
            </w:r>
          </w:p>
        </w:tc>
        <w:tc>
          <w:tcPr>
            <w:tcW w:w="0" w:type="dxa"/>
            <w:vAlign w:val="bottom"/>
          </w:tcPr>
          <w:p>
            <w:pPr>
              <w:spacing w:after="0"/>
              <w:rPr>
                <w:sz w:val="1"/>
                <w:szCs w:val="1"/>
                <w:color w:val="auto"/>
              </w:rPr>
            </w:pPr>
          </w:p>
        </w:tc>
      </w:tr>
      <w:tr>
        <w:trPr>
          <w:trHeight w:val="207"/>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11,341</w:t>
            </w: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14,255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23,933</w:t>
            </w:r>
          </w:p>
        </w:tc>
        <w:tc>
          <w:tcPr>
            <w:tcW w:w="3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29,018</w:t>
            </w:r>
          </w:p>
        </w:tc>
        <w:tc>
          <w:tcPr>
            <w:tcW w:w="0" w:type="dxa"/>
            <w:vAlign w:val="bottom"/>
          </w:tcPr>
          <w:p>
            <w:pPr>
              <w:spacing w:after="0"/>
              <w:rPr>
                <w:sz w:val="1"/>
                <w:szCs w:val="1"/>
                <w:color w:val="auto"/>
              </w:rPr>
            </w:pPr>
          </w:p>
        </w:tc>
      </w:tr>
      <w:tr>
        <w:trPr>
          <w:trHeight w:val="191"/>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revenues</w:t>
            </w:r>
          </w:p>
        </w:tc>
        <w:tc>
          <w:tcPr>
            <w:tcW w:w="6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49,754</w:t>
            </w: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48,621</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96,211</w:t>
            </w: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92,397</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revenues</w:t>
            </w: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17,967</w:t>
            </w:r>
          </w:p>
        </w:tc>
        <w:tc>
          <w:tcPr>
            <w:tcW w:w="3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13,271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33,580</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28,962</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11,043</w:t>
            </w: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13,066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22,087</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27,012</w:t>
            </w:r>
          </w:p>
        </w:tc>
        <w:tc>
          <w:tcPr>
            <w:tcW w:w="0" w:type="dxa"/>
            <w:vAlign w:val="bottom"/>
          </w:tcPr>
          <w:p>
            <w:pPr>
              <w:spacing w:after="0"/>
              <w:rPr>
                <w:sz w:val="1"/>
                <w:szCs w:val="1"/>
                <w:color w:val="auto"/>
              </w:rPr>
            </w:pPr>
          </w:p>
        </w:tc>
      </w:tr>
      <w:tr>
        <w:trPr>
          <w:trHeight w:val="175"/>
        </w:trPr>
        <w:tc>
          <w:tcPr>
            <w:tcW w:w="534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Total cost of revenues</w:t>
            </w:r>
          </w:p>
        </w:tc>
        <w:tc>
          <w:tcPr>
            <w:tcW w:w="64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29,010</w:t>
            </w:r>
          </w:p>
        </w:tc>
        <w:tc>
          <w:tcPr>
            <w:tcW w:w="24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26,337</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55,667</w:t>
            </w:r>
          </w:p>
        </w:tc>
        <w:tc>
          <w:tcPr>
            <w:tcW w:w="22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55,974</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20,744</w:t>
            </w:r>
          </w:p>
        </w:tc>
        <w:tc>
          <w:tcPr>
            <w:tcW w:w="3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22,284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40,544</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36,423</w:t>
            </w:r>
          </w:p>
        </w:tc>
        <w:tc>
          <w:tcPr>
            <w:tcW w:w="0" w:type="dxa"/>
            <w:vAlign w:val="bottom"/>
          </w:tcPr>
          <w:p>
            <w:pPr>
              <w:spacing w:after="0"/>
              <w:rPr>
                <w:sz w:val="1"/>
                <w:szCs w:val="1"/>
                <w:color w:val="auto"/>
              </w:rPr>
            </w:pPr>
          </w:p>
        </w:tc>
      </w:tr>
      <w:tr>
        <w:trPr>
          <w:trHeight w:val="191"/>
        </w:trPr>
        <w:tc>
          <w:tcPr>
            <w:tcW w:w="5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Research and development, net</w:t>
            </w: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9,143</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10,472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18,421</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21,824</w:t>
            </w:r>
          </w:p>
        </w:tc>
        <w:tc>
          <w:tcPr>
            <w:tcW w:w="0" w:type="dxa"/>
            <w:vAlign w:val="bottom"/>
          </w:tcPr>
          <w:p>
            <w:pPr>
              <w:spacing w:after="0"/>
              <w:rPr>
                <w:sz w:val="1"/>
                <w:szCs w:val="1"/>
                <w:color w:val="auto"/>
              </w:rPr>
            </w:pPr>
          </w:p>
        </w:tc>
      </w:tr>
      <w:tr>
        <w:trPr>
          <w:trHeight w:val="191"/>
        </w:trPr>
        <w:tc>
          <w:tcPr>
            <w:tcW w:w="5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Sales and marketing</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14,993</w:t>
            </w:r>
          </w:p>
        </w:tc>
        <w:tc>
          <w:tcPr>
            <w:tcW w:w="360" w:type="dxa"/>
            <w:vAlign w:val="bottom"/>
          </w:tcPr>
          <w:p>
            <w:pPr>
              <w:spacing w:after="0"/>
              <w:rPr>
                <w:sz w:val="16"/>
                <w:szCs w:val="16"/>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14,976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29,942</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28,772</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6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7,474</w:t>
            </w: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15,118</w:t>
            </w:r>
          </w:p>
        </w:tc>
        <w:tc>
          <w:tcPr>
            <w:tcW w:w="2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14,809</w:t>
            </w:r>
          </w:p>
        </w:tc>
        <w:tc>
          <w:tcPr>
            <w:tcW w:w="0" w:type="dxa"/>
            <w:vAlign w:val="bottom"/>
          </w:tcPr>
          <w:p>
            <w:pPr>
              <w:spacing w:after="0"/>
              <w:rPr>
                <w:sz w:val="1"/>
                <w:szCs w:val="1"/>
                <w:color w:val="auto"/>
              </w:rPr>
            </w:pPr>
          </w:p>
        </w:tc>
      </w:tr>
      <w:tr>
        <w:trPr>
          <w:trHeight w:val="175"/>
        </w:trPr>
        <w:tc>
          <w:tcPr>
            <w:tcW w:w="5340" w:type="dxa"/>
            <w:vAlign w:val="bottom"/>
            <w:tcBorders>
              <w:top w:val="single" w:sz="8" w:color="CCEEFF"/>
            </w:tcBorders>
          </w:tcPr>
          <w:p>
            <w:pPr>
              <w:spacing w:after="0" w:line="175" w:lineRule="exact"/>
              <w:rPr>
                <w:sz w:val="20"/>
                <w:szCs w:val="20"/>
                <w:color w:val="auto"/>
              </w:rPr>
            </w:pPr>
            <w:r>
              <w:rPr>
                <w:rFonts w:ascii="Times New Roman" w:cs="Times New Roman" w:eastAsia="Times New Roman" w:hAnsi="Times New Roman"/>
                <w:sz w:val="16"/>
                <w:szCs w:val="16"/>
                <w:color w:val="auto"/>
              </w:rPr>
              <w:t>Total operating expenses</w:t>
            </w:r>
          </w:p>
        </w:tc>
        <w:tc>
          <w:tcPr>
            <w:tcW w:w="64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31,610</w:t>
            </w:r>
          </w:p>
        </w:tc>
        <w:tc>
          <w:tcPr>
            <w:tcW w:w="24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32,980</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63,481</w:t>
            </w:r>
          </w:p>
        </w:tc>
        <w:tc>
          <w:tcPr>
            <w:tcW w:w="220" w:type="dxa"/>
            <w:vAlign w:val="bottom"/>
            <w:tcBorders>
              <w:top w:val="single" w:sz="8" w:color="CCEEFF"/>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65,405</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Operating loss</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(10,866)</w:t>
            </w:r>
          </w:p>
        </w:tc>
        <w:tc>
          <w:tcPr>
            <w:tcW w:w="3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(10,696)</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(22,937)</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(28,982)</w:t>
            </w:r>
          </w:p>
        </w:tc>
        <w:tc>
          <w:tcPr>
            <w:tcW w:w="0" w:type="dxa"/>
            <w:vAlign w:val="bottom"/>
          </w:tcPr>
          <w:p>
            <w:pPr>
              <w:spacing w:after="0"/>
              <w:rPr>
                <w:sz w:val="1"/>
                <w:szCs w:val="1"/>
                <w:color w:val="auto"/>
              </w:rPr>
            </w:pPr>
          </w:p>
        </w:tc>
      </w:tr>
      <w:tr>
        <w:trPr>
          <w:trHeight w:val="191"/>
        </w:trPr>
        <w:tc>
          <w:tcPr>
            <w:tcW w:w="53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 net</w:t>
            </w: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3,465</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10,848</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before taxes on income</w:t>
            </w:r>
          </w:p>
        </w:tc>
        <w:tc>
          <w:tcPr>
            <w:tcW w:w="6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(7,401)</w:t>
            </w: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(4,261)</w:t>
            </w: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(12,089)</w:t>
            </w: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(17,201)</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Taxes on income</w:t>
            </w: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117</w:t>
            </w:r>
          </w:p>
        </w:tc>
        <w:tc>
          <w:tcPr>
            <w:tcW w:w="3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648</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488</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907</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Net loss</w:t>
            </w:r>
          </w:p>
        </w:tc>
        <w:tc>
          <w:tcPr>
            <w:tcW w:w="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5340" w:type="dxa"/>
            <w:vAlign w:val="bottom"/>
            <w:vMerge w:val="continue"/>
          </w:tcPr>
          <w:p>
            <w:pPr>
              <w:spacing w:after="0"/>
              <w:rPr>
                <w:sz w:val="21"/>
                <w:szCs w:val="21"/>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(7,518</w:t>
            </w:r>
          </w:p>
        </w:tc>
        <w:tc>
          <w:tcPr>
            <w:tcW w:w="240" w:type="dxa"/>
            <w:vAlign w:val="bottom"/>
            <w:vMerge w:val="continue"/>
          </w:tcPr>
          <w:p>
            <w:pPr>
              <w:spacing w:after="0"/>
              <w:rPr>
                <w:sz w:val="21"/>
                <w:szCs w:val="21"/>
                <w:color w:val="auto"/>
              </w:rPr>
            </w:pP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(4,909</w:t>
            </w:r>
          </w:p>
        </w:tc>
        <w:tc>
          <w:tcPr>
            <w:tcW w:w="140" w:type="dxa"/>
            <w:vAlign w:val="bottom"/>
            <w:vMerge w:val="continue"/>
          </w:tcPr>
          <w:p>
            <w:pPr>
              <w:spacing w:after="0"/>
              <w:rPr>
                <w:sz w:val="21"/>
                <w:szCs w:val="21"/>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(12,577</w:t>
            </w:r>
          </w:p>
        </w:tc>
        <w:tc>
          <w:tcPr>
            <w:tcW w:w="220" w:type="dxa"/>
            <w:vAlign w:val="bottom"/>
            <w:vMerge w:val="continue"/>
          </w:tcPr>
          <w:p>
            <w:pPr>
              <w:spacing w:after="0"/>
              <w:rPr>
                <w:sz w:val="21"/>
                <w:szCs w:val="21"/>
                <w:color w:val="auto"/>
              </w:rPr>
            </w:pP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(18,108</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53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Basic loss per share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(0.17)</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(0.28)</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0" w:type="dxa"/>
            <w:vAlign w:val="bottom"/>
          </w:tcPr>
          <w:p>
            <w:pPr>
              <w:spacing w:after="0"/>
              <w:rPr>
                <w:sz w:val="1"/>
                <w:szCs w:val="1"/>
                <w:color w:val="auto"/>
              </w:rPr>
            </w:pPr>
          </w:p>
        </w:tc>
      </w:tr>
      <w:tr>
        <w:trPr>
          <w:trHeight w:val="187"/>
        </w:trPr>
        <w:tc>
          <w:tcPr>
            <w:tcW w:w="53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shares used in computing basic net loss per share</w:t>
            </w: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45,164,493</w:t>
            </w:r>
          </w:p>
        </w:tc>
        <w:tc>
          <w:tcPr>
            <w:tcW w:w="360" w:type="dxa"/>
            <w:vAlign w:val="bottom"/>
          </w:tcPr>
          <w:p>
            <w:pPr>
              <w:spacing w:after="0"/>
              <w:rPr>
                <w:sz w:val="23"/>
                <w:szCs w:val="23"/>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47,535,212</w:t>
            </w: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45,482,748</w:t>
            </w:r>
          </w:p>
        </w:tc>
        <w:tc>
          <w:tcPr>
            <w:tcW w:w="340" w:type="dxa"/>
            <w:vAlign w:val="bottom"/>
          </w:tcPr>
          <w:p>
            <w:pPr>
              <w:spacing w:after="0"/>
              <w:rPr>
                <w:sz w:val="23"/>
                <w:szCs w:val="2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47,573,334</w:t>
            </w:r>
          </w:p>
        </w:tc>
        <w:tc>
          <w:tcPr>
            <w:tcW w:w="0" w:type="dxa"/>
            <w:vAlign w:val="bottom"/>
          </w:tcPr>
          <w:p>
            <w:pPr>
              <w:spacing w:after="0"/>
              <w:rPr>
                <w:sz w:val="1"/>
                <w:szCs w:val="1"/>
                <w:color w:val="auto"/>
              </w:rPr>
            </w:pPr>
          </w:p>
        </w:tc>
      </w:tr>
      <w:tr>
        <w:trPr>
          <w:trHeight w:val="187"/>
        </w:trPr>
        <w:tc>
          <w:tcPr>
            <w:tcW w:w="53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53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Diluted loss per share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(0.17)</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(0.28)</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(0.38)</w:t>
            </w:r>
          </w:p>
        </w:tc>
        <w:tc>
          <w:tcPr>
            <w:tcW w:w="0" w:type="dxa"/>
            <w:vAlign w:val="bottom"/>
          </w:tcPr>
          <w:p>
            <w:pPr>
              <w:spacing w:after="0"/>
              <w:rPr>
                <w:sz w:val="1"/>
                <w:szCs w:val="1"/>
                <w:color w:val="auto"/>
              </w:rPr>
            </w:pPr>
          </w:p>
        </w:tc>
      </w:tr>
      <w:tr>
        <w:trPr>
          <w:trHeight w:val="187"/>
        </w:trPr>
        <w:tc>
          <w:tcPr>
            <w:tcW w:w="53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34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shares used in computing diluted net loss per share</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45,164,493</w:t>
            </w:r>
          </w:p>
        </w:tc>
        <w:tc>
          <w:tcPr>
            <w:tcW w:w="36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47,535,212</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45,482,748</w:t>
            </w:r>
          </w:p>
        </w:tc>
        <w:tc>
          <w:tcPr>
            <w:tcW w:w="34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47,573,334</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640" w:type="dxa"/>
            <w:vAlign w:val="bottom"/>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5</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53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vMerge w:val="continue"/>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38" w:right="3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b w:val="1"/>
          <w:bCs w:val="1"/>
          <w:color w:val="auto"/>
        </w:rPr>
        <w:t>RECONCILIATION OF GAAP TO NON-GAAP CONSOLIDATED STATEMENTS OF OPERATIONS</w:t>
      </w:r>
    </w:p>
    <w:p>
      <w:pPr>
        <w:spacing w:after="0" w:line="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(U.S. dollars in thousands, except share and per share data)</w:t>
      </w:r>
    </w:p>
    <w:p>
      <w:pPr>
        <w:sectPr>
          <w:pgSz w:w="11900" w:h="16838" w:orient="portrait"/>
          <w:cols w:equalWidth="0" w:num="1">
            <w:col w:w="11260"/>
          </w:cols>
          <w:pgMar w:left="320" w:top="838" w:right="319" w:bottom="85" w:gutter="0" w:footer="0" w:header="0"/>
        </w:sectPr>
      </w:pPr>
    </w:p>
    <w:p>
      <w:pPr>
        <w:spacing w:after="0" w:line="184"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30" w:lineRule="exact"/>
        <w:rPr>
          <w:sz w:val="20"/>
          <w:szCs w:val="20"/>
          <w:color w:val="auto"/>
        </w:rPr>
      </w:pPr>
    </w:p>
    <w:p>
      <w:pPr>
        <w:jc w:val="center"/>
        <w:ind w:left="606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20955</wp:posOffset>
            </wp:positionV>
            <wp:extent cx="159321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34" w:lineRule="exact"/>
        <w:rPr>
          <w:sz w:val="20"/>
          <w:szCs w:val="20"/>
          <w:color w:val="auto"/>
        </w:rPr>
      </w:pPr>
    </w:p>
    <w:p>
      <w:pPr>
        <w:ind w:left="6400"/>
        <w:spacing w:after="0"/>
        <w:tabs>
          <w:tab w:leader="none" w:pos="774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20955</wp:posOffset>
            </wp:positionV>
            <wp:extent cx="159321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2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20955</wp:posOffset>
            </wp:positionV>
            <wp:extent cx="1593215" cy="152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3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20955</wp:posOffset>
            </wp:positionV>
            <wp:extent cx="1548130" cy="15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34" w:lineRule="exact"/>
        <w:rPr>
          <w:sz w:val="20"/>
          <w:szCs w:val="20"/>
          <w:color w:val="auto"/>
        </w:rPr>
      </w:pPr>
    </w:p>
    <w:p>
      <w:pPr>
        <w:spacing w:after="0"/>
        <w:tabs>
          <w:tab w:leader="none" w:pos="13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20955</wp:posOffset>
            </wp:positionV>
            <wp:extent cx="1548130" cy="152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-261620</wp:posOffset>
            </wp:positionH>
            <wp:positionV relativeFrom="paragraph">
              <wp:posOffset>20955</wp:posOffset>
            </wp:positionV>
            <wp:extent cx="1548130" cy="152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400" w:space="720"/>
            <w:col w:w="2140"/>
          </w:cols>
          <w:pgMar w:left="320" w:top="838" w:right="319" w:bottom="85" w:gutter="0" w:footer="0" w:header="0"/>
          <w:type w:val="continuous"/>
        </w:sectPr>
      </w:pP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Revenues</w:t>
            </w: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49,754</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48,621</w:t>
            </w: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96,211</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92,397</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GAAP cost of revenues</w:t>
            </w: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29,010</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26,337</w:t>
            </w:r>
          </w:p>
        </w:tc>
        <w:tc>
          <w:tcPr>
            <w:tcW w:w="1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55,667</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55,974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Cost of product recorded for share-based compensation (1)</w:t>
            </w:r>
          </w:p>
        </w:tc>
        <w:tc>
          <w:tcPr>
            <w:tcW w:w="28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(542)</w:t>
            </w:r>
          </w:p>
        </w:tc>
        <w:tc>
          <w:tcPr>
            <w:tcW w:w="28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(1,061)</w:t>
            </w:r>
          </w:p>
        </w:tc>
        <w:tc>
          <w:tcPr>
            <w:tcW w:w="2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Cost of service recorded for share-based compensation (1)</w:t>
            </w: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(404)</w:t>
            </w:r>
          </w:p>
        </w:tc>
        <w:tc>
          <w:tcPr>
            <w:tcW w:w="2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(799)</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0" w:type="dxa"/>
            <w:vAlign w:val="bottom"/>
          </w:tcPr>
          <w:p>
            <w:pPr>
              <w:spacing w:after="0"/>
              <w:rPr>
                <w:sz w:val="1"/>
                <w:szCs w:val="1"/>
                <w:color w:val="auto"/>
              </w:rPr>
            </w:pPr>
          </w:p>
        </w:tc>
      </w:tr>
      <w:tr>
        <w:trPr>
          <w:trHeight w:val="179"/>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Intangible assets amortization on cost of product (2)</w:t>
            </w:r>
          </w:p>
        </w:tc>
        <w:tc>
          <w:tcPr>
            <w:tcW w:w="28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(150)</w:t>
            </w:r>
          </w:p>
        </w:tc>
        <w:tc>
          <w:tcPr>
            <w:tcW w:w="28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(264)</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(298)</w:t>
            </w:r>
          </w:p>
        </w:tc>
        <w:tc>
          <w:tcPr>
            <w:tcW w:w="2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 amortization on cost of service (2)</w:t>
            </w: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(160)</w:t>
            </w:r>
          </w:p>
        </w:tc>
        <w:tc>
          <w:tcPr>
            <w:tcW w:w="2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(320)</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88"/>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expenses (3)</w:t>
            </w:r>
          </w:p>
        </w:tc>
        <w:tc>
          <w:tcPr>
            <w:tcW w:w="280" w:type="dxa"/>
            <w:vAlign w:val="bottom"/>
          </w:tcPr>
          <w:p>
            <w:pPr>
              <w:spacing w:after="0"/>
              <w:rPr>
                <w:sz w:val="16"/>
                <w:szCs w:val="16"/>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(1,026)</w:t>
            </w:r>
          </w:p>
        </w:tc>
        <w:tc>
          <w:tcPr>
            <w:tcW w:w="2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(1,026)</w:t>
            </w:r>
          </w:p>
        </w:tc>
        <w:tc>
          <w:tcPr>
            <w:tcW w:w="2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(914)</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Non-GAAP cost of revenues</w:t>
            </w: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26,728</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24,970</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52,163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GAAP gross profit</w:t>
            </w: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20,744</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22,284</w:t>
            </w:r>
          </w:p>
        </w:tc>
        <w:tc>
          <w:tcPr>
            <w:tcW w:w="1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40,544</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36,423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Gross profit adjustments</w:t>
            </w:r>
          </w:p>
        </w:tc>
        <w:tc>
          <w:tcPr>
            <w:tcW w:w="28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2,282</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1,367</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3,504</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3,627</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Non-GAAP gross profit</w:t>
            </w: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23,026</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23,651</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44,048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GAAP operating expenses</w:t>
            </w: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31,610</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32,980</w:t>
            </w:r>
          </w:p>
        </w:tc>
        <w:tc>
          <w:tcPr>
            <w:tcW w:w="1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63,481</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65,405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 (1)</w:t>
            </w:r>
          </w:p>
        </w:tc>
        <w:tc>
          <w:tcPr>
            <w:tcW w:w="280" w:type="dxa"/>
            <w:vAlign w:val="bottom"/>
          </w:tcPr>
          <w:p>
            <w:pPr>
              <w:spacing w:after="0"/>
              <w:rPr>
                <w:sz w:val="15"/>
                <w:szCs w:val="15"/>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(4,810)</w:t>
            </w:r>
          </w:p>
        </w:tc>
        <w:tc>
          <w:tcPr>
            <w:tcW w:w="28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(4,926)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(9,216)</w:t>
            </w:r>
          </w:p>
        </w:tc>
        <w:tc>
          <w:tcPr>
            <w:tcW w:w="260" w:type="dxa"/>
            <w:vAlign w:val="bottom"/>
          </w:tcPr>
          <w:p>
            <w:pPr>
              <w:spacing w:after="0"/>
              <w:rPr>
                <w:sz w:val="15"/>
                <w:szCs w:val="15"/>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(9,453)</w:t>
            </w: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 amortization (2)</w:t>
            </w: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(74)</w:t>
            </w:r>
          </w:p>
        </w:tc>
        <w:tc>
          <w:tcPr>
            <w:tcW w:w="2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(148)</w:t>
            </w: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0" w:type="dxa"/>
            <w:vAlign w:val="bottom"/>
          </w:tcPr>
          <w:p>
            <w:pPr>
              <w:spacing w:after="0"/>
              <w:rPr>
                <w:sz w:val="1"/>
                <w:szCs w:val="1"/>
                <w:color w:val="auto"/>
              </w:rPr>
            </w:pPr>
          </w:p>
        </w:tc>
      </w:tr>
      <w:tr>
        <w:trPr>
          <w:trHeight w:val="188"/>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expenses (3)</w:t>
            </w:r>
          </w:p>
        </w:tc>
        <w:tc>
          <w:tcPr>
            <w:tcW w:w="28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Non-GAAP operating expenses</w:t>
            </w: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26,726</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27,967</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54,117</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55,020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GAAP Financial income, net</w:t>
            </w: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3,465</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6,435</w:t>
            </w:r>
          </w:p>
        </w:tc>
        <w:tc>
          <w:tcPr>
            <w:tcW w:w="1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10,848</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11,781</w:t>
            </w:r>
          </w:p>
        </w:tc>
        <w:tc>
          <w:tcPr>
            <w:tcW w:w="0" w:type="dxa"/>
            <w:vAlign w:val="bottom"/>
          </w:tcPr>
          <w:p>
            <w:pPr>
              <w:spacing w:after="0"/>
              <w:rPr>
                <w:sz w:val="1"/>
                <w:szCs w:val="1"/>
                <w:color w:val="auto"/>
              </w:rPr>
            </w:pPr>
          </w:p>
        </w:tc>
      </w:tr>
      <w:tr>
        <w:trPr>
          <w:trHeight w:val="188"/>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Foreign exchange losses associated with ASC 842</w:t>
            </w:r>
          </w:p>
        </w:tc>
        <w:tc>
          <w:tcPr>
            <w:tcW w:w="28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1,578</w:t>
            </w:r>
          </w:p>
        </w:tc>
        <w:tc>
          <w:tcPr>
            <w:tcW w:w="2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1,535</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Non-GAAP Financial income , net</w:t>
            </w: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5,043</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6,166</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11,897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GAAP Taxes on income</w:t>
            </w: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117</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648</w:t>
            </w:r>
          </w:p>
        </w:tc>
        <w:tc>
          <w:tcPr>
            <w:tcW w:w="1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Non-cash deferred tax income</w:t>
            </w:r>
          </w:p>
        </w:tc>
        <w:tc>
          <w:tcPr>
            <w:tcW w:w="28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Non-GAAP Taxes on income</w:t>
            </w: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117</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734</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GAAP Net loss</w:t>
            </w: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(7,518)</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(4,909)</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(12,577)</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(18,108)</w:t>
            </w:r>
          </w:p>
        </w:tc>
        <w:tc>
          <w:tcPr>
            <w:tcW w:w="0" w:type="dxa"/>
            <w:vAlign w:val="bottom"/>
          </w:tcPr>
          <w:p>
            <w:pPr>
              <w:spacing w:after="0"/>
              <w:rPr>
                <w:sz w:val="1"/>
                <w:szCs w:val="1"/>
                <w:color w:val="auto"/>
              </w:rPr>
            </w:pPr>
          </w:p>
        </w:tc>
      </w:tr>
      <w:tr>
        <w:trPr>
          <w:trHeight w:val="179"/>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 (1)</w:t>
            </w:r>
          </w:p>
        </w:tc>
        <w:tc>
          <w:tcPr>
            <w:tcW w:w="28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5,756</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11,076</w:t>
            </w:r>
          </w:p>
        </w:tc>
        <w:tc>
          <w:tcPr>
            <w:tcW w:w="260" w:type="dxa"/>
            <w:vAlign w:val="bottom"/>
          </w:tcPr>
          <w:p>
            <w:pPr>
              <w:spacing w:after="0"/>
              <w:rPr>
                <w:sz w:val="15"/>
                <w:szCs w:val="15"/>
                <w:color w:val="auto"/>
              </w:rPr>
            </w:pPr>
          </w:p>
        </w:tc>
        <w:tc>
          <w:tcPr>
            <w:tcW w:w="96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11,317</w:t>
            </w: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Intangible assets amortization (2)</w:t>
            </w: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384</w:t>
            </w:r>
          </w:p>
        </w:tc>
        <w:tc>
          <w:tcPr>
            <w:tcW w:w="2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511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Restructuring expenses (3)</w:t>
            </w:r>
          </w:p>
        </w:tc>
        <w:tc>
          <w:tcPr>
            <w:tcW w:w="28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1,026</w:t>
            </w:r>
          </w:p>
        </w:tc>
        <w:tc>
          <w:tcPr>
            <w:tcW w:w="2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Foreign exchange losses associated with ASC 842</w:t>
            </w: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1,578</w:t>
            </w:r>
          </w:p>
        </w:tc>
        <w:tc>
          <w:tcPr>
            <w:tcW w:w="2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1,535</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88"/>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Non-cash deferred tax income</w:t>
            </w:r>
          </w:p>
        </w:tc>
        <w:tc>
          <w:tcPr>
            <w:tcW w:w="28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(173)</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Non-GAAP net income (loss)</w:t>
            </w: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line="20" w:lineRule="exact"/>
              <w:rPr>
                <w:sz w:val="1"/>
                <w:szCs w:val="1"/>
                <w:color w:val="auto"/>
              </w:rPr>
            </w:pPr>
          </w:p>
        </w:tc>
      </w:tr>
      <w:tr>
        <w:trPr>
          <w:trHeight w:val="207"/>
        </w:trPr>
        <w:tc>
          <w:tcPr>
            <w:tcW w:w="5980" w:type="dxa"/>
            <w:vAlign w:val="bottom"/>
            <w:vMerge w:val="continue"/>
            <w:shd w:val="clear" w:color="auto" w:fill="CCEEFF"/>
          </w:tcPr>
          <w:p>
            <w:pPr>
              <w:spacing w:after="0"/>
              <w:rPr>
                <w:sz w:val="18"/>
                <w:szCs w:val="18"/>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1,226</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1,116</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1,826</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(4,153</w:t>
            </w:r>
          </w:p>
        </w:tc>
        <w:tc>
          <w:tcPr>
            <w:tcW w:w="1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GAAP diluted loss per share</w:t>
            </w: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(0.17)</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(0.10)</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(0.28)</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Non-GAAP diluted income (loss) per share</w:t>
            </w: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0.03</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0.04</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(0.09)</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 average number of shares</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used in computing GAAP diluted net loss per share</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45,164,493</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47,535,212</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45,482,748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47,573,334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Shares used in computing Non-GAAP diluted net income (loss) per share</w:t>
            </w: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45,508,379</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49,898,775</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45,931,988</w:t>
            </w: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47,573,334</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 Share-based compensation</w:t>
            </w: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Cost of product revenues</w:t>
            </w: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542</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w:t>
            </w:r>
          </w:p>
        </w:tc>
        <w:tc>
          <w:tcPr>
            <w:tcW w:w="140" w:type="dxa"/>
            <w:vAlign w:val="bottom"/>
          </w:tcPr>
          <w:p>
            <w:pPr>
              <w:spacing w:after="0"/>
              <w:rPr>
                <w:sz w:val="15"/>
                <w:szCs w:val="15"/>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1,061</w:t>
            </w:r>
          </w:p>
        </w:tc>
        <w:tc>
          <w:tcPr>
            <w:tcW w:w="220" w:type="dxa"/>
            <w:vAlign w:val="bottom"/>
          </w:tcPr>
          <w:p>
            <w:pPr>
              <w:spacing w:after="0"/>
              <w:rPr>
                <w:sz w:val="15"/>
                <w:szCs w:val="15"/>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Cost of service revenues</w:t>
            </w: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404</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872</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1,213</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1,376</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2,415</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Sales and marketing</w:t>
            </w: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1,831</w:t>
            </w: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1,784</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3,368</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3,366</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1,766</w:t>
            </w: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3,433</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3,416</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5,756</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5,869</w:t>
            </w:r>
          </w:p>
        </w:tc>
        <w:tc>
          <w:tcPr>
            <w:tcW w:w="1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11,076</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11,317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(2) Intangible assets amortization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59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Cost of product revenues</w:t>
            </w: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150</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w:t>
            </w:r>
          </w:p>
        </w:tc>
        <w:tc>
          <w:tcPr>
            <w:tcW w:w="14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529</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Cost of service revenues</w:t>
            </w:r>
          </w:p>
        </w:tc>
        <w:tc>
          <w:tcPr>
            <w:tcW w:w="28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160</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Sales and marketing</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74</w:t>
            </w: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2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7"/>
        </w:trPr>
        <w:tc>
          <w:tcPr>
            <w:tcW w:w="5980" w:type="dxa"/>
            <w:vAlign w:val="bottom"/>
          </w:tcPr>
          <w:p>
            <w:pPr>
              <w:spacing w:after="0"/>
              <w:rPr>
                <w:sz w:val="21"/>
                <w:szCs w:val="21"/>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384</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511</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w:t>
            </w:r>
          </w:p>
        </w:tc>
        <w:tc>
          <w:tcPr>
            <w:tcW w:w="220" w:type="dxa"/>
            <w:vAlign w:val="bottom"/>
          </w:tcPr>
          <w:p>
            <w:pPr>
              <w:spacing w:after="0"/>
              <w:rPr>
                <w:sz w:val="21"/>
                <w:szCs w:val="21"/>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1,024</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9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tcPr>
          <w:p>
            <w:pPr>
              <w:spacing w:after="0"/>
              <w:rPr>
                <w:sz w:val="20"/>
                <w:szCs w:val="20"/>
                <w:color w:val="auto"/>
              </w:rPr>
            </w:pPr>
            <w:r>
              <w:rPr>
                <w:rFonts w:ascii="Times New Roman" w:cs="Times New Roman" w:eastAsia="Times New Roman" w:hAnsi="Times New Roman"/>
                <w:sz w:val="14"/>
                <w:szCs w:val="14"/>
                <w:color w:val="auto"/>
              </w:rPr>
              <w:t>(3) Restructuring expenses</w:t>
            </w: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Cost of product revenues</w:t>
            </w:r>
          </w:p>
        </w:tc>
        <w:tc>
          <w:tcPr>
            <w:tcW w:w="28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1,026</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Cost of service revenues</w:t>
            </w:r>
          </w:p>
        </w:tc>
        <w:tc>
          <w:tcPr>
            <w:tcW w:w="28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5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Sales and marketing</w:t>
            </w:r>
          </w:p>
        </w:tc>
        <w:tc>
          <w:tcPr>
            <w:tcW w:w="280" w:type="dxa"/>
            <w:vAlign w:val="bottom"/>
          </w:tcPr>
          <w:p>
            <w:pPr>
              <w:spacing w:after="0"/>
              <w:rPr>
                <w:sz w:val="15"/>
                <w:szCs w:val="15"/>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5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332</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59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5980" w:type="dxa"/>
            <w:vAlign w:val="bottom"/>
          </w:tcPr>
          <w:p>
            <w:pPr>
              <w:spacing w:after="0"/>
              <w:rPr>
                <w:sz w:val="18"/>
                <w:szCs w:val="18"/>
                <w:color w:val="auto"/>
              </w:rPr>
            </w:pPr>
          </w:p>
        </w:tc>
        <w:tc>
          <w:tcPr>
            <w:tcW w:w="280" w:type="dxa"/>
            <w:vAlign w:val="bottom"/>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1,026</w:t>
            </w:r>
          </w:p>
        </w:tc>
        <w:tc>
          <w:tcPr>
            <w:tcW w:w="2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1,026</w:t>
            </w:r>
          </w:p>
        </w:tc>
        <w:tc>
          <w:tcPr>
            <w:tcW w:w="220" w:type="dxa"/>
            <w:vAlign w:val="bottom"/>
          </w:tcPr>
          <w:p>
            <w:pPr>
              <w:spacing w:after="0"/>
              <w:rPr>
                <w:sz w:val="18"/>
                <w:szCs w:val="18"/>
                <w:color w:val="auto"/>
              </w:rPr>
            </w:pP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838" w:right="319" w:bottom="85" w:gutter="0" w:footer="0" w:header="0"/>
          <w:type w:val="continuous"/>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15240</wp:posOffset>
            </wp:positionV>
            <wp:extent cx="7148195" cy="152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123"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CONSOLIDATED STATEMENTS OF CASH FLOWS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(U.S. dollars in thousands)</w:t>
      </w:r>
    </w:p>
    <w:p>
      <w:pPr>
        <w:sectPr>
          <w:pgSz w:w="11900" w:h="16838" w:orient="portrait"/>
          <w:cols w:equalWidth="0" w:num="1">
            <w:col w:w="11260"/>
          </w:cols>
          <w:pgMar w:left="320" w:top="838" w:right="319" w:bottom="1440" w:gutter="0" w:footer="0" w:header="0"/>
        </w:sectPr>
      </w:pPr>
    </w:p>
    <w:p>
      <w:pPr>
        <w:spacing w:after="0" w:line="192"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16510</wp:posOffset>
            </wp:positionV>
            <wp:extent cx="1593215" cy="152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1" w:lineRule="exact"/>
        <w:rPr>
          <w:sz w:val="20"/>
          <w:szCs w:val="20"/>
          <w:color w:val="auto"/>
        </w:rPr>
      </w:pPr>
    </w:p>
    <w:p>
      <w:pPr>
        <w:jc w:val="center"/>
        <w:ind w:left="608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16510</wp:posOffset>
            </wp:positionV>
            <wp:extent cx="1593215" cy="152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23" w:lineRule="exact"/>
        <w:rPr>
          <w:sz w:val="20"/>
          <w:szCs w:val="20"/>
          <w:color w:val="auto"/>
        </w:rPr>
      </w:pPr>
    </w:p>
    <w:p>
      <w:pPr>
        <w:ind w:left="6380"/>
        <w:spacing w:after="0"/>
        <w:tabs>
          <w:tab w:leader="none" w:pos="7740" w:val="left"/>
        </w:tabs>
        <w:rPr>
          <w:sz w:val="20"/>
          <w:szCs w:val="20"/>
          <w:color w:val="auto"/>
        </w:rPr>
      </w:pPr>
      <w:r>
        <w:rPr>
          <w:rFonts w:ascii="Times New Roman" w:cs="Times New Roman" w:eastAsia="Times New Roman" w:hAnsi="Times New Roman"/>
          <w:sz w:val="16"/>
          <w:szCs w:val="16"/>
          <w:b w:val="1"/>
          <w:bCs w:val="1"/>
          <w:color w:val="auto"/>
        </w:rPr>
        <w:t>2025</w:t>
      </w:r>
      <w:r>
        <w:rPr>
          <w:sz w:val="20"/>
          <w:szCs w:val="20"/>
          <w:color w:val="auto"/>
        </w:rPr>
        <w:tab/>
      </w:r>
      <w:r>
        <w:rPr>
          <w:rFonts w:ascii="Times New Roman" w:cs="Times New Roman" w:eastAsia="Times New Roman" w:hAnsi="Times New Roman"/>
          <w:sz w:val="16"/>
          <w:szCs w:val="16"/>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3791585</wp:posOffset>
            </wp:positionH>
            <wp:positionV relativeFrom="paragraph">
              <wp:posOffset>16510</wp:posOffset>
            </wp:positionV>
            <wp:extent cx="1593215" cy="152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1593215" cy="15240"/>
                    </a:xfrm>
                    <a:prstGeom prst="rect">
                      <a:avLst/>
                    </a:prstGeom>
                    <a:noFill/>
                  </pic:spPr>
                </pic:pic>
              </a:graphicData>
            </a:graphic>
          </wp:anchor>
        </w:drawing>
      </w:r>
    </w:p>
    <w:p>
      <w:pPr>
        <w:spacing w:after="0" w:line="11"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16510</wp:posOffset>
            </wp:positionV>
            <wp:extent cx="1548130" cy="152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1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16510</wp:posOffset>
            </wp:positionV>
            <wp:extent cx="1548130"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23" w:lineRule="exact"/>
        <w:rPr>
          <w:sz w:val="20"/>
          <w:szCs w:val="20"/>
          <w:color w:val="auto"/>
        </w:rPr>
      </w:pPr>
    </w:p>
    <w:p>
      <w:pPr>
        <w:spacing w:after="0"/>
        <w:tabs>
          <w:tab w:leader="none" w:pos="1320" w:val="left"/>
        </w:tabs>
        <w:rPr>
          <w:sz w:val="20"/>
          <w:szCs w:val="20"/>
          <w:color w:val="auto"/>
        </w:rPr>
      </w:pPr>
      <w:r>
        <w:rPr>
          <w:rFonts w:ascii="Times New Roman" w:cs="Times New Roman" w:eastAsia="Times New Roman" w:hAnsi="Times New Roman"/>
          <w:sz w:val="15"/>
          <w:szCs w:val="15"/>
          <w:b w:val="1"/>
          <w:bCs w:val="1"/>
          <w:color w:val="auto"/>
        </w:rPr>
        <w:t>2025</w:t>
      </w:r>
      <w:r>
        <w:rPr>
          <w:sz w:val="20"/>
          <w:szCs w:val="20"/>
          <w:color w:val="auto"/>
        </w:rPr>
        <w:tab/>
      </w:r>
      <w:r>
        <w:rPr>
          <w:rFonts w:ascii="Times New Roman" w:cs="Times New Roman" w:eastAsia="Times New Roman" w:hAnsi="Times New Roman"/>
          <w:sz w:val="15"/>
          <w:szCs w:val="15"/>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23495</wp:posOffset>
            </wp:positionV>
            <wp:extent cx="1548130" cy="152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1548130" cy="15240"/>
                    </a:xfrm>
                    <a:prstGeom prst="rect">
                      <a:avLst/>
                    </a:prstGeom>
                    <a:noFill/>
                  </pic:spPr>
                </pic:pic>
              </a:graphicData>
            </a:graphic>
          </wp:anchor>
        </w:drawing>
      </w:r>
    </w:p>
    <w:p>
      <w:pPr>
        <w:spacing w:after="0" w:line="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6" w:lineRule="exact"/>
        <w:rPr>
          <w:sz w:val="20"/>
          <w:szCs w:val="20"/>
          <w:color w:val="auto"/>
        </w:rPr>
      </w:pPr>
    </w:p>
    <w:p>
      <w:pPr>
        <w:sectPr>
          <w:pgSz w:w="11900" w:h="16838" w:orient="portrait"/>
          <w:cols w:equalWidth="0" w:num="2">
            <w:col w:w="8380" w:space="720"/>
            <w:col w:w="2160"/>
          </w:cols>
          <w:pgMar w:left="320" w:top="838" w:right="319" w:bottom="1440" w:gutter="0" w:footer="0" w:header="0"/>
          <w:type w:val="continuous"/>
        </w:sectPr>
      </w:pPr>
    </w:p>
    <w:tbl>
      <w:tblPr>
        <w:tblLayout w:type="fixed"/>
        <w:tblInd w:w="0" w:type="dxa"/>
        <w:tblCellMar>
          <w:top w:w="0" w:type="dxa"/>
          <w:left w:w="0" w:type="dxa"/>
          <w:bottom w:w="0" w:type="dxa"/>
          <w:right w:w="0" w:type="dxa"/>
        </w:tblCellMar>
      </w:tblPr>
      <w:tr>
        <w:trPr>
          <w:trHeight w:val="159"/>
        </w:trPr>
        <w:tc>
          <w:tcPr>
            <w:tcW w:w="5980" w:type="dxa"/>
            <w:vAlign w:val="bottom"/>
            <w:gridSpan w:val="4"/>
          </w:tcPr>
          <w:p>
            <w:pPr>
              <w:spacing w:after="0" w:line="159" w:lineRule="exact"/>
              <w:rPr>
                <w:sz w:val="20"/>
                <w:szCs w:val="20"/>
                <w:color w:val="auto"/>
              </w:rPr>
            </w:pPr>
            <w:r>
              <w:rPr>
                <w:rFonts w:ascii="Times New Roman" w:cs="Times New Roman" w:eastAsia="Times New Roman" w:hAnsi="Times New Roman"/>
                <w:sz w:val="16"/>
                <w:szCs w:val="16"/>
                <w:color w:val="auto"/>
              </w:rPr>
              <w:t>Cash flows from operating activities:</w:t>
            </w:r>
          </w:p>
        </w:tc>
        <w:tc>
          <w:tcPr>
            <w:tcW w:w="36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40"/>
        </w:trPr>
        <w:tc>
          <w:tcPr>
            <w:tcW w:w="23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3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(7,518)</w:t>
            </w: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(4,909)</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(12,577)</w:t>
            </w: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(18,108)</w:t>
            </w: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operating activities:</w:t>
            </w: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2,930</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3,191</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5,776</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6,515</w:t>
            </w: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Fair value of warrants deducted from revenues</w:t>
            </w:r>
          </w:p>
        </w:tc>
        <w:tc>
          <w:tcPr>
            <w:tcW w:w="3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(313)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3,273</w:t>
            </w: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5,756</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5,869</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11,076</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11,317</w:t>
            </w:r>
          </w:p>
        </w:tc>
        <w:tc>
          <w:tcPr>
            <w:tcW w:w="120" w:type="dxa"/>
            <w:vAlign w:val="bottom"/>
            <w:shd w:val="clear" w:color="auto" w:fill="CCEEFF"/>
          </w:tcPr>
          <w:p>
            <w:pPr>
              <w:spacing w:after="0"/>
              <w:rPr>
                <w:sz w:val="16"/>
                <w:szCs w:val="16"/>
                <w:color w:val="auto"/>
              </w:rPr>
            </w:pP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Amortization of premium and accretion of discount on marketable securities, net</w:t>
            </w:r>
          </w:p>
        </w:tc>
        <w:tc>
          <w:tcPr>
            <w:tcW w:w="3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(246)</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(550)</w:t>
            </w: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9</w:t>
            </w: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Realized loss on sale and redemption of marketable securities</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(22)</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6"/>
                <w:szCs w:val="16"/>
                <w:color w:val="auto"/>
              </w:rPr>
            </w:pP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Loss from disposal of property and Equipments</w:t>
            </w:r>
          </w:p>
        </w:tc>
        <w:tc>
          <w:tcPr>
            <w:tcW w:w="3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134</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134</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r>
      <w:tr>
        <w:trPr>
          <w:trHeight w:val="171"/>
        </w:trPr>
        <w:tc>
          <w:tcPr>
            <w:tcW w:w="598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Change in operating assets and liabilities:</w:t>
            </w: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1"/>
        </w:trPr>
        <w:tc>
          <w:tcPr>
            <w:tcW w:w="2640" w:type="dxa"/>
            <w:vAlign w:val="bottom"/>
            <w:tcBorders>
              <w:top w:val="single" w:sz="8" w:color="auto"/>
            </w:tcBorders>
            <w:gridSpan w:val="3"/>
          </w:tcPr>
          <w:p>
            <w:pPr>
              <w:ind w:left="140"/>
              <w:spacing w:after="0"/>
              <w:rPr>
                <w:sz w:val="20"/>
                <w:szCs w:val="20"/>
                <w:color w:val="auto"/>
              </w:rPr>
            </w:pPr>
            <w:r>
              <w:rPr>
                <w:rFonts w:ascii="Times New Roman" w:cs="Times New Roman" w:eastAsia="Times New Roman" w:hAnsi="Times New Roman"/>
                <w:sz w:val="16"/>
                <w:szCs w:val="16"/>
                <w:color w:val="auto"/>
              </w:rPr>
              <w:t>Trade receivables, net</w:t>
            </w:r>
          </w:p>
        </w:tc>
        <w:tc>
          <w:tcPr>
            <w:tcW w:w="33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000" w:type="dxa"/>
            <w:vAlign w:val="bottom"/>
            <w:tcBorders>
              <w:top w:val="single" w:sz="8" w:color="CCEEFF"/>
            </w:tcBorders>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(3,046)</w:t>
            </w:r>
          </w:p>
        </w:tc>
        <w:tc>
          <w:tcPr>
            <w:tcW w:w="36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1,266</w:t>
            </w: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1,002</w:t>
            </w: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14,171</w:t>
            </w: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accounts receivables and prepaid expenses</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(1,507)</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970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(2,872)</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1,484</w:t>
            </w: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Inventory</w:t>
            </w:r>
          </w:p>
        </w:tc>
        <w:tc>
          <w:tcPr>
            <w:tcW w:w="3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5,280</w:t>
            </w:r>
          </w:p>
        </w:tc>
        <w:tc>
          <w:tcPr>
            <w:tcW w:w="36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(3,868)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7,600</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(3,964)</w:t>
            </w: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leases right-of-use assets and liabilities, net</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1,590</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(488)</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1,430</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w:t>
            </w: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Deposits and other long term assets</w:t>
            </w:r>
          </w:p>
        </w:tc>
        <w:tc>
          <w:tcPr>
            <w:tcW w:w="3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(3,234)</w:t>
            </w:r>
          </w:p>
        </w:tc>
        <w:tc>
          <w:tcPr>
            <w:tcW w:w="36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(511)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(3,547)</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(1,219)</w:t>
            </w: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payables</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5,403</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w:t>
            </w: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Employees and payroll accruals</w:t>
            </w:r>
          </w:p>
        </w:tc>
        <w:tc>
          <w:tcPr>
            <w:tcW w:w="3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(438)</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1,654</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522</w:t>
            </w: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revenues and advances from customers</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(227)</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(364)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(773)</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(672)</w:t>
            </w:r>
          </w:p>
        </w:tc>
      </w:tr>
      <w:tr>
        <w:trPr>
          <w:trHeight w:val="191"/>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Other payables and accrued expenses</w:t>
            </w:r>
          </w:p>
        </w:tc>
        <w:tc>
          <w:tcPr>
            <w:tcW w:w="3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(531)</w:t>
            </w:r>
          </w:p>
        </w:tc>
        <w:tc>
          <w:tcPr>
            <w:tcW w:w="3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(2,190)</w:t>
            </w:r>
          </w:p>
        </w:tc>
      </w:tr>
      <w:tr>
        <w:trPr>
          <w:trHeight w:val="191"/>
        </w:trPr>
        <w:tc>
          <w:tcPr>
            <w:tcW w:w="598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severance pay, net</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(588)</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(617)</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07"/>
        </w:trPr>
        <w:tc>
          <w:tcPr>
            <w:tcW w:w="5980" w:type="dxa"/>
            <w:vAlign w:val="bottom"/>
            <w:gridSpan w:val="4"/>
          </w:tcPr>
          <w:p>
            <w:pPr>
              <w:ind w:left="140"/>
              <w:spacing w:after="0"/>
              <w:rPr>
                <w:sz w:val="20"/>
                <w:szCs w:val="20"/>
                <w:color w:val="auto"/>
              </w:rPr>
            </w:pPr>
            <w:r>
              <w:rPr>
                <w:rFonts w:ascii="Times New Roman" w:cs="Times New Roman" w:eastAsia="Times New Roman" w:hAnsi="Times New Roman"/>
                <w:sz w:val="16"/>
                <w:szCs w:val="16"/>
                <w:color w:val="auto"/>
              </w:rPr>
              <w:t>Other long - term liabilities</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(28)</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w:t>
            </w:r>
          </w:p>
        </w:tc>
        <w:tc>
          <w:tcPr>
            <w:tcW w:w="34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195"/>
        </w:trPr>
        <w:tc>
          <w:tcPr>
            <w:tcW w:w="5980" w:type="dxa"/>
            <w:vAlign w:val="bottom"/>
            <w:tcBorders>
              <w:top w:val="single" w:sz="8" w:color="CCEEFF"/>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3,730</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6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4,484</w:t>
            </w: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spacing w:after="0"/>
              <w:rPr>
                <w:sz w:val="16"/>
                <w:szCs w:val="16"/>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9,494</w:t>
            </w:r>
          </w:p>
        </w:tc>
        <w:tc>
          <w:tcPr>
            <w:tcW w:w="22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8,508</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71"/>
        </w:trPr>
        <w:tc>
          <w:tcPr>
            <w:tcW w:w="5980" w:type="dxa"/>
            <w:vAlign w:val="bottom"/>
            <w:gridSpan w:val="4"/>
            <w:shd w:val="clear" w:color="auto" w:fill="CCEEFF"/>
          </w:tcPr>
          <w:p>
            <w:pPr>
              <w:spacing w:after="0" w:line="155" w:lineRule="exact"/>
              <w:rPr>
                <w:sz w:val="20"/>
                <w:szCs w:val="20"/>
                <w:color w:val="auto"/>
              </w:rPr>
            </w:pPr>
            <w:r>
              <w:rPr>
                <w:rFonts w:ascii="Times New Roman" w:cs="Times New Roman" w:eastAsia="Times New Roman" w:hAnsi="Times New Roman"/>
                <w:sz w:val="16"/>
                <w:szCs w:val="16"/>
                <w:color w:val="auto"/>
              </w:rPr>
              <w:t>Cash flows from investing activities:</w:t>
            </w: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1"/>
        </w:trPr>
        <w:tc>
          <w:tcPr>
            <w:tcW w:w="234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33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80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property, plant and equipment</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(5,808)</w:t>
            </w:r>
          </w:p>
        </w:tc>
        <w:tc>
          <w:tcPr>
            <w:tcW w:w="36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(1,439)</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(9,579)</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(2,723)</w:t>
            </w: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Proceeds from (investment in) short-term bank deposits, net</w:t>
            </w:r>
          </w:p>
        </w:tc>
        <w:tc>
          <w:tcPr>
            <w:tcW w:w="3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(79,503)</w:t>
            </w:r>
          </w:p>
        </w:tc>
        <w:tc>
          <w:tcPr>
            <w:tcW w:w="3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16,601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(100,503)</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(7,796)</w:t>
            </w:r>
          </w:p>
        </w:tc>
      </w:tr>
      <w:tr>
        <w:trPr>
          <w:trHeight w:val="191"/>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sales and redemption of marketable securities</w:t>
            </w:r>
          </w:p>
        </w:tc>
        <w:tc>
          <w:tcPr>
            <w:tcW w:w="3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3,260</w:t>
            </w: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6,060</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3,494</w:t>
            </w:r>
          </w:p>
        </w:tc>
      </w:tr>
      <w:tr>
        <w:trPr>
          <w:trHeight w:val="191"/>
        </w:trPr>
        <w:tc>
          <w:tcPr>
            <w:tcW w:w="598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Proceeds from maturities of marketable securities</w:t>
            </w:r>
          </w:p>
        </w:tc>
        <w:tc>
          <w:tcPr>
            <w:tcW w:w="3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77,802</w:t>
            </w:r>
          </w:p>
        </w:tc>
        <w:tc>
          <w:tcPr>
            <w:tcW w:w="3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24,581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143,122</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35,879</w:t>
            </w:r>
          </w:p>
        </w:tc>
      </w:tr>
      <w:tr>
        <w:trPr>
          <w:trHeight w:val="223"/>
        </w:trPr>
        <w:tc>
          <w:tcPr>
            <w:tcW w:w="59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Investment in marketable securities</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(6,763)</w:t>
            </w:r>
          </w:p>
        </w:tc>
        <w:tc>
          <w:tcPr>
            <w:tcW w:w="36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(26,602)</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(32,578)</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(44,619)</w:t>
            </w:r>
          </w:p>
        </w:tc>
      </w:tr>
      <w:tr>
        <w:trPr>
          <w:trHeight w:val="179"/>
        </w:trPr>
        <w:tc>
          <w:tcPr>
            <w:tcW w:w="5980" w:type="dxa"/>
            <w:vAlign w:val="bottom"/>
            <w:tcBorders>
              <w:top w:val="single" w:sz="8" w:color="CCEEFF"/>
              <w:bottom w:val="single" w:sz="8" w:color="CCEEFF"/>
            </w:tcBorders>
            <w:gridSpan w:val="4"/>
          </w:tcPr>
          <w:p>
            <w:pPr>
              <w:spacing w:after="0" w:line="175" w:lineRule="exact"/>
              <w:rPr>
                <w:sz w:val="20"/>
                <w:szCs w:val="20"/>
                <w:color w:val="auto"/>
              </w:rPr>
            </w:pPr>
            <w:r>
              <w:rPr>
                <w:rFonts w:ascii="Times New Roman" w:cs="Times New Roman" w:eastAsia="Times New Roman" w:hAnsi="Times New Roman"/>
                <w:sz w:val="16"/>
                <w:szCs w:val="16"/>
                <w:color w:val="auto"/>
              </w:rPr>
              <w:t>Net cash provided by (used in) investing activities</w:t>
            </w:r>
          </w:p>
        </w:tc>
        <w:tc>
          <w:tcPr>
            <w:tcW w:w="36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(11,012</w:t>
            </w:r>
          </w:p>
        </w:tc>
        <w:tc>
          <w:tcPr>
            <w:tcW w:w="240" w:type="dxa"/>
            <w:vAlign w:val="bottom"/>
            <w:tcBorders>
              <w:top w:val="single" w:sz="8" w:color="CCEEFF"/>
              <w:bottom w:val="single" w:sz="8" w:color="CCEEFF"/>
            </w:tcBorders>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13,141</w:t>
            </w:r>
          </w:p>
        </w:tc>
        <w:tc>
          <w:tcPr>
            <w:tcW w:w="140" w:type="dxa"/>
            <w:vAlign w:val="bottom"/>
            <w:tcBorders>
              <w:top w:val="single" w:sz="8" w:color="CCEEFF"/>
              <w:bottom w:val="single" w:sz="8" w:color="CCEEFF"/>
            </w:tcBorders>
          </w:tcPr>
          <w:p>
            <w:pPr>
              <w:spacing w:after="0"/>
              <w:rPr>
                <w:sz w:val="15"/>
                <w:szCs w:val="15"/>
                <w:color w:val="auto"/>
              </w:rPr>
            </w:pPr>
          </w:p>
        </w:tc>
        <w:tc>
          <w:tcPr>
            <w:tcW w:w="80" w:type="dxa"/>
            <w:vAlign w:val="bottom"/>
            <w:tcBorders>
              <w:top w:val="single" w:sz="8" w:color="CCEEFF"/>
              <w:bottom w:val="single" w:sz="8" w:color="CCEEFF"/>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6,522</w:t>
            </w:r>
          </w:p>
        </w:tc>
        <w:tc>
          <w:tcPr>
            <w:tcW w:w="220" w:type="dxa"/>
            <w:vAlign w:val="bottom"/>
            <w:tcBorders>
              <w:top w:val="single" w:sz="8" w:color="CCEEFF"/>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rPr>
              <w:t>(15,765</w:t>
            </w:r>
          </w:p>
        </w:tc>
        <w:tc>
          <w:tcPr>
            <w:tcW w:w="120" w:type="dxa"/>
            <w:vAlign w:val="bottom"/>
            <w:tcBorders>
              <w:top w:val="single" w:sz="8" w:color="CCEEFF"/>
              <w:bottom w:val="single" w:sz="8" w:color="CCEEFF"/>
            </w:tcBorders>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r>
      <w:tr>
        <w:trPr>
          <w:trHeight w:val="191"/>
        </w:trPr>
        <w:tc>
          <w:tcPr>
            <w:tcW w:w="23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3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bl>
    <w:p>
      <w:pPr>
        <w:spacing w:after="0"/>
        <w:rPr>
          <w:sz w:val="20"/>
          <w:szCs w:val="20"/>
          <w:color w:val="auto"/>
        </w:rPr>
      </w:pPr>
      <w:r>
        <w:rPr>
          <w:rFonts w:ascii="Times New Roman" w:cs="Times New Roman" w:eastAsia="Times New Roman" w:hAnsi="Times New Roman"/>
          <w:sz w:val="16"/>
          <w:szCs w:val="16"/>
          <w:u w:val="single" w:color="auto"/>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ectPr>
          <w:pgSz w:w="11900" w:h="16838" w:orient="portrait"/>
          <w:cols w:equalWidth="0" w:num="1">
            <w:col w:w="11260"/>
          </w:cols>
          <w:pgMar w:left="320" w:top="838" w:right="319" w:bottom="1440" w:gutter="0" w:footer="0" w:header="0"/>
          <w:type w:val="continuous"/>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Exercise of employee stock options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Payments related to shares withheld for taxes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Repurchase of ordinary shares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Net cash used in financing activities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Cash and cash equivalents at the beginning of the period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Cash and cash equivalents at the end of the period</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Non-cash investing and financing activities:</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1"/>
        </w:trPr>
        <w:tc>
          <w:tcPr>
            <w:tcW w:w="3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239</w:t>
            </w:r>
          </w:p>
        </w:tc>
        <w:tc>
          <w:tcPr>
            <w:tcW w:w="40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768</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60" w:type="dxa"/>
            <w:vAlign w:val="bottom"/>
          </w:tcPr>
          <w:p>
            <w:pPr>
              <w:spacing w:after="0"/>
              <w:rPr>
                <w:sz w:val="16"/>
                <w:szCs w:val="16"/>
                <w:color w:val="auto"/>
              </w:rPr>
            </w:pPr>
          </w:p>
        </w:tc>
      </w:tr>
      <w:tr>
        <w:trPr>
          <w:trHeight w:val="191"/>
        </w:trPr>
        <w:tc>
          <w:tcPr>
            <w:tcW w:w="36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(392)</w:t>
            </w:r>
          </w:p>
        </w:tc>
        <w:tc>
          <w:tcPr>
            <w:tcW w:w="40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(184)</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(1,369)</w:t>
            </w:r>
          </w:p>
        </w:tc>
        <w:tc>
          <w:tcPr>
            <w:tcW w:w="3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(778)</w:t>
            </w:r>
          </w:p>
        </w:tc>
      </w:tr>
      <w:tr>
        <w:trPr>
          <w:trHeight w:val="224"/>
        </w:trPr>
        <w:tc>
          <w:tcPr>
            <w:tcW w:w="3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(23,176)</w:t>
            </w:r>
          </w:p>
        </w:tc>
        <w:tc>
          <w:tcPr>
            <w:tcW w:w="40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(25,000)</w:t>
            </w:r>
          </w:p>
        </w:tc>
        <w:tc>
          <w:tcPr>
            <w:tcW w:w="3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(9,055)</w:t>
            </w:r>
          </w:p>
        </w:tc>
      </w:tr>
      <w:tr>
        <w:trPr>
          <w:trHeight w:val="195"/>
        </w:trPr>
        <w:tc>
          <w:tcPr>
            <w:tcW w:w="3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(23,329</w:t>
            </w: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(25,601</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(9,826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378"/>
        </w:trPr>
        <w:tc>
          <w:tcPr>
            <w:tcW w:w="36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(30,611)</w:t>
            </w:r>
          </w:p>
        </w:tc>
        <w:tc>
          <w:tcPr>
            <w:tcW w:w="40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16,021</w:t>
            </w: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(9,585)</w:t>
            </w:r>
          </w:p>
        </w:tc>
        <w:tc>
          <w:tcPr>
            <w:tcW w:w="34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(17,083)</w:t>
            </w:r>
          </w:p>
        </w:tc>
      </w:tr>
      <w:tr>
        <w:trPr>
          <w:trHeight w:val="208"/>
        </w:trPr>
        <w:tc>
          <w:tcPr>
            <w:tcW w:w="36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56,029</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35,003</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39,605</w:t>
            </w:r>
          </w:p>
        </w:tc>
        <w:tc>
          <w:tcPr>
            <w:tcW w:w="60" w:type="dxa"/>
            <w:vAlign w:val="bottom"/>
          </w:tcPr>
          <w:p>
            <w:pPr>
              <w:spacing w:after="0"/>
              <w:rPr>
                <w:sz w:val="18"/>
                <w:szCs w:val="18"/>
                <w:color w:val="auto"/>
              </w:rPr>
            </w:pPr>
          </w:p>
        </w:tc>
      </w:tr>
      <w:tr>
        <w:trPr>
          <w:trHeight w:val="24"/>
        </w:trPr>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9"/>
        </w:trPr>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25,418</w:t>
            </w:r>
          </w:p>
        </w:tc>
        <w:tc>
          <w:tcPr>
            <w:tcW w:w="400" w:type="dxa"/>
            <w:vAlign w:val="bottom"/>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22,522</w:t>
            </w:r>
          </w:p>
        </w:tc>
        <w:tc>
          <w:tcPr>
            <w:tcW w:w="4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25,418</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22,522</w:t>
            </w:r>
          </w:p>
        </w:tc>
        <w:tc>
          <w:tcPr>
            <w:tcW w:w="60" w:type="dxa"/>
            <w:vAlign w:val="bottom"/>
          </w:tcPr>
          <w:p>
            <w:pPr>
              <w:spacing w:after="0"/>
              <w:rPr>
                <w:sz w:val="19"/>
                <w:szCs w:val="19"/>
                <w:color w:val="auto"/>
              </w:rPr>
            </w:pPr>
          </w:p>
        </w:tc>
      </w:tr>
      <w:tr>
        <w:trPr>
          <w:trHeight w:val="20"/>
        </w:trPr>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-3799205</wp:posOffset>
            </wp:positionH>
            <wp:positionV relativeFrom="paragraph">
              <wp:posOffset>-963295</wp:posOffset>
            </wp:positionV>
            <wp:extent cx="7148195" cy="121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-704850</wp:posOffset>
            </wp:positionV>
            <wp:extent cx="7148195" cy="136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-439420</wp:posOffset>
            </wp:positionV>
            <wp:extent cx="7148195" cy="1212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-181610</wp:posOffset>
            </wp:positionV>
            <wp:extent cx="7148195" cy="159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7148195" cy="159385"/>
                    </a:xfrm>
                    <a:prstGeom prst="rect">
                      <a:avLst/>
                    </a:prstGeom>
                    <a:noFill/>
                  </pic:spPr>
                </pic:pic>
              </a:graphicData>
            </a:graphic>
          </wp:anchor>
        </w:drawing>
        <w:drawing>
          <wp:anchor simplePos="0" relativeHeight="251657728" behindDoc="1" locked="0" layoutInCell="0" allowOverlap="1">
            <wp:simplePos x="0" y="0"/>
            <wp:positionH relativeFrom="column">
              <wp:posOffset>-3799205</wp:posOffset>
            </wp:positionH>
            <wp:positionV relativeFrom="paragraph">
              <wp:posOffset>121285</wp:posOffset>
            </wp:positionV>
            <wp:extent cx="7148195" cy="1212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558" w:lineRule="exact"/>
        <w:rPr>
          <w:sz w:val="20"/>
          <w:szCs w:val="20"/>
          <w:color w:val="auto"/>
        </w:rPr>
      </w:pPr>
    </w:p>
    <w:p>
      <w:pPr>
        <w:sectPr>
          <w:pgSz w:w="11900" w:h="16838" w:orient="portrait"/>
          <w:cols w:equalWidth="0" w:num="2">
            <w:col w:w="5260" w:space="720"/>
            <w:col w:w="5280"/>
          </w:cols>
          <w:pgMar w:left="320" w:top="838" w:right="31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property and equipment on credit</w:t>
            </w:r>
          </w:p>
        </w:tc>
        <w:tc>
          <w:tcPr>
            <w:tcW w:w="282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1,167</w:t>
            </w:r>
          </w:p>
        </w:tc>
        <w:tc>
          <w:tcPr>
            <w:tcW w:w="13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105</w:t>
            </w:r>
          </w:p>
        </w:tc>
        <w:tc>
          <w:tcPr>
            <w:tcW w:w="130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1,167</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105</w:t>
            </w:r>
          </w:p>
        </w:tc>
      </w:tr>
      <w:tr>
        <w:trPr>
          <w:trHeight w:val="191"/>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Inventory transferred to be used as property and equipment</w:t>
            </w:r>
          </w:p>
        </w:tc>
        <w:tc>
          <w:tcPr>
            <w:tcW w:w="2820" w:type="dxa"/>
            <w:vAlign w:val="bottom"/>
          </w:tcPr>
          <w:p>
            <w:pPr>
              <w:jc w:val="right"/>
              <w:ind w:right="500"/>
              <w:spacing w:after="0"/>
              <w:rPr>
                <w:sz w:val="20"/>
                <w:szCs w:val="20"/>
                <w:color w:val="auto"/>
              </w:rPr>
            </w:pPr>
            <w:r>
              <w:rPr>
                <w:rFonts w:ascii="Times New Roman" w:cs="Times New Roman" w:eastAsia="Times New Roman" w:hAnsi="Times New Roman"/>
                <w:sz w:val="16"/>
                <w:szCs w:val="16"/>
                <w:color w:val="auto"/>
              </w:rPr>
              <w:t>2,548</w:t>
            </w:r>
          </w:p>
        </w:tc>
        <w:tc>
          <w:tcPr>
            <w:tcW w:w="1300" w:type="dxa"/>
            <w:vAlign w:val="bottom"/>
          </w:tcPr>
          <w:p>
            <w:pPr>
              <w:jc w:val="right"/>
              <w:ind w:right="420"/>
              <w:spacing w:after="0"/>
              <w:rPr>
                <w:sz w:val="20"/>
                <w:szCs w:val="20"/>
                <w:color w:val="auto"/>
              </w:rPr>
            </w:pPr>
            <w:r>
              <w:rPr>
                <w:rFonts w:ascii="Times New Roman" w:cs="Times New Roman" w:eastAsia="Times New Roman" w:hAnsi="Times New Roman"/>
                <w:sz w:val="16"/>
                <w:szCs w:val="16"/>
                <w:color w:val="auto"/>
              </w:rPr>
              <w:t>455</w:t>
            </w:r>
          </w:p>
        </w:tc>
        <w:tc>
          <w:tcPr>
            <w:tcW w:w="130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rPr>
              <w:t>2,953</w:t>
            </w:r>
          </w:p>
        </w:tc>
        <w:tc>
          <w:tcPr>
            <w:tcW w:w="98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rPr>
              <w:t>1,401</w:t>
            </w:r>
          </w:p>
        </w:tc>
      </w:tr>
      <w:tr>
        <w:trPr>
          <w:trHeight w:val="191"/>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Property, plant and equipment transferred to be used as inventory</w:t>
            </w:r>
          </w:p>
        </w:tc>
        <w:tc>
          <w:tcPr>
            <w:tcW w:w="2820" w:type="dxa"/>
            <w:vAlign w:val="bottom"/>
            <w:shd w:val="clear" w:color="auto" w:fill="CCEEFF"/>
          </w:tcPr>
          <w:p>
            <w:pPr>
              <w:jc w:val="right"/>
              <w:ind w:right="500"/>
              <w:spacing w:after="0"/>
              <w:rPr>
                <w:sz w:val="20"/>
                <w:szCs w:val="20"/>
                <w:color w:val="auto"/>
              </w:rPr>
            </w:pPr>
            <w:r>
              <w:rPr>
                <w:rFonts w:ascii="Times New Roman" w:cs="Times New Roman" w:eastAsia="Times New Roman" w:hAnsi="Times New Roman"/>
                <w:sz w:val="16"/>
                <w:szCs w:val="16"/>
                <w:color w:val="auto"/>
              </w:rPr>
              <w:t>234</w:t>
            </w:r>
          </w:p>
        </w:tc>
        <w:tc>
          <w:tcPr>
            <w:tcW w:w="1300" w:type="dxa"/>
            <w:vAlign w:val="bottom"/>
            <w:shd w:val="clear" w:color="auto" w:fill="CCEEFF"/>
          </w:tcPr>
          <w:p>
            <w:pPr>
              <w:jc w:val="right"/>
              <w:ind w:right="420"/>
              <w:spacing w:after="0"/>
              <w:rPr>
                <w:sz w:val="20"/>
                <w:szCs w:val="20"/>
                <w:color w:val="auto"/>
              </w:rPr>
            </w:pPr>
            <w:r>
              <w:rPr>
                <w:rFonts w:ascii="Times New Roman" w:cs="Times New Roman" w:eastAsia="Times New Roman" w:hAnsi="Times New Roman"/>
                <w:sz w:val="16"/>
                <w:szCs w:val="16"/>
                <w:color w:val="auto"/>
              </w:rPr>
              <w:t>166</w:t>
            </w:r>
          </w:p>
        </w:tc>
        <w:tc>
          <w:tcPr>
            <w:tcW w:w="1300" w:type="dxa"/>
            <w:vAlign w:val="bottom"/>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234</w:t>
            </w:r>
          </w:p>
        </w:tc>
        <w:tc>
          <w:tcPr>
            <w:tcW w:w="9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320</w:t>
            </w:r>
          </w:p>
        </w:tc>
      </w:tr>
      <w:tr>
        <w:trPr>
          <w:trHeight w:val="208"/>
        </w:trPr>
        <w:tc>
          <w:tcPr>
            <w:tcW w:w="486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liabilities arising from obtaining right-of-use assets</w:t>
            </w:r>
          </w:p>
        </w:tc>
        <w:tc>
          <w:tcPr>
            <w:tcW w:w="2820" w:type="dxa"/>
            <w:vAlign w:val="bottom"/>
          </w:tcPr>
          <w:p>
            <w:pPr>
              <w:jc w:val="right"/>
              <w:ind w:right="500"/>
              <w:spacing w:after="0"/>
              <w:rPr>
                <w:sz w:val="20"/>
                <w:szCs w:val="20"/>
                <w:color w:val="auto"/>
              </w:rPr>
            </w:pPr>
            <w:r>
              <w:rPr>
                <w:rFonts w:ascii="Times New Roman" w:cs="Times New Roman" w:eastAsia="Times New Roman" w:hAnsi="Times New Roman"/>
                <w:sz w:val="16"/>
                <w:szCs w:val="16"/>
                <w:color w:val="auto"/>
              </w:rPr>
              <w:t>561</w:t>
            </w:r>
          </w:p>
        </w:tc>
        <w:tc>
          <w:tcPr>
            <w:tcW w:w="1300" w:type="dxa"/>
            <w:vAlign w:val="bottom"/>
          </w:tcPr>
          <w:p>
            <w:pPr>
              <w:jc w:val="right"/>
              <w:ind w:right="420"/>
              <w:spacing w:after="0"/>
              <w:rPr>
                <w:sz w:val="20"/>
                <w:szCs w:val="20"/>
                <w:color w:val="auto"/>
              </w:rPr>
            </w:pPr>
            <w:r>
              <w:rPr>
                <w:rFonts w:ascii="Times New Roman" w:cs="Times New Roman" w:eastAsia="Times New Roman" w:hAnsi="Times New Roman"/>
                <w:sz w:val="16"/>
                <w:szCs w:val="16"/>
                <w:color w:val="auto"/>
              </w:rPr>
              <w:t>338</w:t>
            </w:r>
          </w:p>
        </w:tc>
        <w:tc>
          <w:tcPr>
            <w:tcW w:w="1300" w:type="dxa"/>
            <w:vAlign w:val="bottom"/>
          </w:tcPr>
          <w:p>
            <w:pPr>
              <w:jc w:val="right"/>
              <w:ind w:right="380"/>
              <w:spacing w:after="0"/>
              <w:rPr>
                <w:sz w:val="20"/>
                <w:szCs w:val="20"/>
                <w:color w:val="auto"/>
              </w:rPr>
            </w:pPr>
            <w:r>
              <w:rPr>
                <w:rFonts w:ascii="Times New Roman" w:cs="Times New Roman" w:eastAsia="Times New Roman" w:hAnsi="Times New Roman"/>
                <w:sz w:val="16"/>
                <w:szCs w:val="16"/>
                <w:color w:val="auto"/>
              </w:rPr>
              <w:t>1,083</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(1,408)</w:t>
            </w:r>
          </w:p>
        </w:tc>
      </w:tr>
      <w:tr>
        <w:trPr>
          <w:trHeight w:val="561"/>
        </w:trPr>
        <w:tc>
          <w:tcPr>
            <w:tcW w:w="48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jc w:val="right"/>
              <w:ind w:right="1940"/>
              <w:spacing w:after="0"/>
              <w:rPr>
                <w:sz w:val="20"/>
                <w:szCs w:val="20"/>
                <w:color w:val="auto"/>
              </w:rPr>
            </w:pPr>
            <w:r>
              <w:rPr>
                <w:rFonts w:ascii="Times New Roman" w:cs="Times New Roman" w:eastAsia="Times New Roman" w:hAnsi="Times New Roman"/>
                <w:sz w:val="16"/>
                <w:szCs w:val="16"/>
                <w:color w:val="auto"/>
              </w:rPr>
              <w:t>7</w:t>
            </w:r>
          </w:p>
        </w:tc>
        <w:tc>
          <w:tcPr>
            <w:tcW w:w="1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38" w:right="319" w:bottom="1440" w:gutter="0" w:footer="0" w:header="0"/>
          <w:type w:val="continuous"/>
        </w:sectPr>
      </w:pPr>
    </w:p>
    <w:bookmarkStart w:id="11" w:name="page12"/>
    <w:bookmarkEnd w:id="1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GAAP Revenues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GAAP Net loss</w:t>
      </w:r>
    </w:p>
    <w:p>
      <w:pPr>
        <w:spacing w:after="0" w:line="2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Taxes on income</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Financial income</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Share-based compensation</w:t>
      </w:r>
    </w:p>
    <w:p>
      <w:pPr>
        <w:spacing w:after="0" w:line="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5"/>
          <w:szCs w:val="15"/>
          <w:color w:val="auto"/>
        </w:rPr>
        <w:t>Intangible assets amortization</w:t>
      </w:r>
    </w:p>
    <w:p>
      <w:pPr>
        <w:spacing w:after="0" w:line="1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color w:val="auto"/>
        </w:rPr>
        <w:t>Restructuring expenses</w:t>
      </w:r>
    </w:p>
    <w:p>
      <w:pPr>
        <w:spacing w:after="0" w:line="20" w:lineRule="exact"/>
        <w:rPr>
          <w:sz w:val="20"/>
          <w:szCs w:val="20"/>
          <w:color w:val="auto"/>
        </w:rPr>
      </w:pPr>
      <w:r>
        <w:rPr>
          <w:sz w:val="20"/>
          <w:szCs w:val="20"/>
          <w:color w:val="auto"/>
        </w:rPr>
        <w:br w:type="column"/>
      </w:r>
    </w:p>
    <w:p>
      <w:pPr>
        <w:jc w:val="center"/>
        <w:ind w:right="3100"/>
        <w:spacing w:after="0"/>
        <w:rPr>
          <w:sz w:val="20"/>
          <w:szCs w:val="20"/>
          <w:color w:val="auto"/>
        </w:rPr>
      </w:pPr>
      <w:r>
        <w:rPr>
          <w:rFonts w:ascii="Times New Roman" w:cs="Times New Roman" w:eastAsia="Times New Roman" w:hAnsi="Times New Roman"/>
          <w:sz w:val="16"/>
          <w:szCs w:val="16"/>
          <w:b w:val="1"/>
          <w:bCs w:val="1"/>
          <w:color w:val="auto"/>
        </w:rPr>
        <w:t>KORNIT DIGITAL LTD.</w:t>
      </w:r>
    </w:p>
    <w:p>
      <w:pPr>
        <w:spacing w:after="0" w:line="26"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6"/>
          <w:szCs w:val="16"/>
          <w:b w:val="1"/>
          <w:bCs w:val="1"/>
          <w:color w:val="auto"/>
        </w:rPr>
        <w:t>AND ITS SUBSIDIARIES</w:t>
      </w:r>
    </w:p>
    <w:p>
      <w:pPr>
        <w:spacing w:after="0" w:line="7"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5"/>
          <w:szCs w:val="15"/>
          <w:b w:val="1"/>
          <w:bCs w:val="1"/>
          <w:color w:val="auto"/>
        </w:rPr>
        <w:t>RECONCILIATION OF GAAP NET INCOME TO ADJUSTED EBITDA</w:t>
      </w:r>
    </w:p>
    <w:p>
      <w:pPr>
        <w:spacing w:after="0" w:line="19" w:lineRule="exact"/>
        <w:rPr>
          <w:sz w:val="20"/>
          <w:szCs w:val="20"/>
          <w:color w:val="auto"/>
        </w:rPr>
      </w:pPr>
    </w:p>
    <w:p>
      <w:pPr>
        <w:jc w:val="center"/>
        <w:ind w:right="3100"/>
        <w:spacing w:after="0"/>
        <w:rPr>
          <w:sz w:val="20"/>
          <w:szCs w:val="20"/>
          <w:color w:val="auto"/>
        </w:rPr>
      </w:pPr>
      <w:r>
        <w:rPr>
          <w:rFonts w:ascii="Times New Roman" w:cs="Times New Roman" w:eastAsia="Times New Roman" w:hAnsi="Times New Roman"/>
          <w:sz w:val="16"/>
          <w:szCs w:val="16"/>
          <w:color w:val="auto"/>
        </w:rPr>
        <w:t>(U.S. dollars in thousands, except share and per share data)</w:t>
      </w:r>
    </w:p>
    <w:p>
      <w:pPr>
        <w:spacing w:after="0" w:line="216" w:lineRule="exact"/>
        <w:rPr>
          <w:sz w:val="20"/>
          <w:szCs w:val="20"/>
          <w:color w:val="auto"/>
        </w:rPr>
      </w:pPr>
    </w:p>
    <w:tbl>
      <w:tblPr>
        <w:tblLayout w:type="fixed"/>
        <w:tblInd w:w="2880" w:type="dxa"/>
        <w:tblCellMar>
          <w:top w:w="0" w:type="dxa"/>
          <w:left w:w="0" w:type="dxa"/>
          <w:bottom w:w="0" w:type="dxa"/>
          <w:right w:w="0" w:type="dxa"/>
        </w:tblCellMar>
      </w:tblPr>
      <w:tr>
        <w:trPr>
          <w:trHeight w:val="214"/>
        </w:trPr>
        <w:tc>
          <w:tcPr>
            <w:tcW w:w="240" w:type="dxa"/>
            <w:vAlign w:val="bottom"/>
          </w:tcPr>
          <w:p>
            <w:pPr>
              <w:spacing w:after="0"/>
              <w:rPr>
                <w:sz w:val="18"/>
                <w:szCs w:val="18"/>
                <w:color w:val="auto"/>
              </w:rPr>
            </w:pPr>
          </w:p>
        </w:tc>
        <w:tc>
          <w:tcPr>
            <w:tcW w:w="240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60" w:type="dxa"/>
            <w:vAlign w:val="bottom"/>
            <w:gridSpan w:val="6"/>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Six Months Ended</w:t>
            </w:r>
          </w:p>
        </w:tc>
      </w:tr>
      <w:tr>
        <w:trPr>
          <w:trHeight w:val="195"/>
        </w:trPr>
        <w:tc>
          <w:tcPr>
            <w:tcW w:w="240" w:type="dxa"/>
            <w:vAlign w:val="bottom"/>
            <w:tcBorders>
              <w:top w:val="single" w:sz="8" w:color="auto"/>
              <w:bottom w:val="single" w:sz="8" w:color="auto"/>
            </w:tcBorders>
          </w:tcPr>
          <w:p>
            <w:pPr>
              <w:spacing w:after="0"/>
              <w:rPr>
                <w:sz w:val="16"/>
                <w:szCs w:val="16"/>
                <w:color w:val="auto"/>
              </w:rPr>
            </w:pPr>
          </w:p>
        </w:tc>
        <w:tc>
          <w:tcPr>
            <w:tcW w:w="1480" w:type="dxa"/>
            <w:vAlign w:val="bottom"/>
            <w:tcBorders>
              <w:top w:val="single" w:sz="8" w:color="auto"/>
              <w:bottom w:val="single" w:sz="8" w:color="auto"/>
            </w:tcBorders>
            <w:gridSpan w:val="3"/>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780" w:type="dxa"/>
            <w:vAlign w:val="bottom"/>
            <w:tcBorders>
              <w:top w:val="single" w:sz="8" w:color="auto"/>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gridSpan w:val="3"/>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760" w:type="dxa"/>
            <w:vAlign w:val="bottom"/>
            <w:tcBorders>
              <w:top w:val="single" w:sz="8" w:color="auto"/>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7"/>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5"/>
        </w:trPr>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46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460"/>
              <w:spacing w:after="0"/>
              <w:rPr>
                <w:sz w:val="20"/>
                <w:szCs w:val="20"/>
                <w:color w:val="auto"/>
              </w:rPr>
            </w:pPr>
            <w:r>
              <w:rPr>
                <w:rFonts w:ascii="Times New Roman" w:cs="Times New Roman" w:eastAsia="Times New Roman" w:hAnsi="Times New Roman"/>
                <w:sz w:val="16"/>
                <w:szCs w:val="16"/>
                <w:b w:val="1"/>
                <w:bCs w:val="1"/>
                <w:color w:val="auto"/>
                <w:w w:val="99"/>
              </w:rPr>
              <w:t>(Unaudited)</w:t>
            </w:r>
          </w:p>
        </w:tc>
        <w:tc>
          <w:tcPr>
            <w:tcW w:w="7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422"/>
        </w:trPr>
        <w:tc>
          <w:tcPr>
            <w:tcW w:w="2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49,754</w:t>
            </w:r>
          </w:p>
        </w:tc>
        <w:tc>
          <w:tcPr>
            <w:tcW w:w="36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48,621</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96,211</w:t>
            </w:r>
          </w:p>
        </w:tc>
        <w:tc>
          <w:tcPr>
            <w:tcW w:w="220" w:type="dxa"/>
            <w:vAlign w:val="bottom"/>
          </w:tcPr>
          <w:p>
            <w:pPr>
              <w:spacing w:after="0"/>
              <w:rPr>
                <w:sz w:val="24"/>
                <w:szCs w:val="24"/>
                <w:color w:val="auto"/>
              </w:rPr>
            </w:pP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92,397</w:t>
            </w:r>
          </w:p>
        </w:tc>
        <w:tc>
          <w:tcPr>
            <w:tcW w:w="40" w:type="dxa"/>
            <w:vAlign w:val="bottom"/>
          </w:tcPr>
          <w:p>
            <w:pPr>
              <w:spacing w:after="0"/>
              <w:rPr>
                <w:sz w:val="24"/>
                <w:szCs w:val="24"/>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62"/>
        </w:trPr>
        <w:tc>
          <w:tcPr>
            <w:tcW w:w="240" w:type="dxa"/>
            <w:vAlign w:val="bottom"/>
          </w:tcPr>
          <w:p>
            <w:pPr>
              <w:spacing w:after="0"/>
              <w:rPr>
                <w:sz w:val="24"/>
                <w:szCs w:val="24"/>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(7,518)</w:t>
            </w:r>
          </w:p>
        </w:tc>
        <w:tc>
          <w:tcPr>
            <w:tcW w:w="36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(4,909)</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(12,577)</w:t>
            </w:r>
          </w:p>
        </w:tc>
        <w:tc>
          <w:tcPr>
            <w:tcW w:w="340" w:type="dxa"/>
            <w:vAlign w:val="bottom"/>
          </w:tcPr>
          <w:p>
            <w:pPr>
              <w:spacing w:after="0"/>
              <w:rPr>
                <w:sz w:val="24"/>
                <w:szCs w:val="24"/>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(18,108)</w:t>
            </w: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117</w:t>
            </w:r>
          </w:p>
        </w:tc>
        <w:tc>
          <w:tcPr>
            <w:tcW w:w="36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648</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488</w:t>
            </w:r>
          </w:p>
        </w:tc>
        <w:tc>
          <w:tcPr>
            <w:tcW w:w="340" w:type="dxa"/>
            <w:vAlign w:val="bottom"/>
          </w:tcPr>
          <w:p>
            <w:pPr>
              <w:spacing w:after="0"/>
              <w:rPr>
                <w:sz w:val="16"/>
                <w:szCs w:val="16"/>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907</w:t>
            </w:r>
          </w:p>
        </w:tc>
        <w:tc>
          <w:tcPr>
            <w:tcW w:w="40" w:type="dxa"/>
            <w:vAlign w:val="bottom"/>
          </w:tcPr>
          <w:p>
            <w:pPr>
              <w:spacing w:after="0"/>
              <w:rPr>
                <w:sz w:val="16"/>
                <w:szCs w:val="16"/>
                <w:color w:val="auto"/>
              </w:rPr>
            </w:pP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(3,465)</w:t>
            </w:r>
          </w:p>
        </w:tc>
        <w:tc>
          <w:tcPr>
            <w:tcW w:w="360" w:type="dxa"/>
            <w:vAlign w:val="bottom"/>
          </w:tcPr>
          <w:p>
            <w:pPr>
              <w:spacing w:after="0"/>
              <w:rPr>
                <w:sz w:val="16"/>
                <w:szCs w:val="16"/>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(6,435)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(10,848)</w:t>
            </w:r>
          </w:p>
        </w:tc>
        <w:tc>
          <w:tcPr>
            <w:tcW w:w="34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(11,781)</w:t>
            </w: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5,756</w:t>
            </w:r>
          </w:p>
        </w:tc>
        <w:tc>
          <w:tcPr>
            <w:tcW w:w="3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5,869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11,076</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11,317</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3"/>
        </w:trPr>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384</w:t>
            </w:r>
          </w:p>
        </w:tc>
        <w:tc>
          <w:tcPr>
            <w:tcW w:w="36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511</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766</w:t>
            </w:r>
          </w:p>
        </w:tc>
        <w:tc>
          <w:tcPr>
            <w:tcW w:w="340" w:type="dxa"/>
            <w:vAlign w:val="bottom"/>
          </w:tcPr>
          <w:p>
            <w:pPr>
              <w:spacing w:after="0"/>
              <w:rPr>
                <w:sz w:val="17"/>
                <w:szCs w:val="17"/>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1,024</w:t>
            </w:r>
          </w:p>
        </w:tc>
        <w:tc>
          <w:tcPr>
            <w:tcW w:w="40" w:type="dxa"/>
            <w:vAlign w:val="bottom"/>
          </w:tcPr>
          <w:p>
            <w:pPr>
              <w:spacing w:after="0"/>
              <w:rPr>
                <w:sz w:val="17"/>
                <w:szCs w:val="17"/>
                <w:color w:val="auto"/>
              </w:rPr>
            </w:pPr>
          </w:p>
        </w:tc>
      </w:tr>
      <w:tr>
        <w:trPr>
          <w:trHeight w:val="208"/>
        </w:trPr>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1,026</w:t>
            </w:r>
          </w:p>
        </w:tc>
        <w:tc>
          <w:tcPr>
            <w:tcW w:w="3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1,671</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-1970405</wp:posOffset>
            </wp:positionH>
            <wp:positionV relativeFrom="paragraph">
              <wp:posOffset>-1038860</wp:posOffset>
            </wp:positionV>
            <wp:extent cx="7148195" cy="159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6">
                      <a:extLst>
                        <a:ext uri="{28A0092B-C50C-407E-A947-70E740481C1C}"/>
                      </a:extLst>
                    </a:blip>
                    <a:srcRect/>
                    <a:stretch>
                      <a:fillRect/>
                    </a:stretch>
                  </pic:blipFill>
                  <pic:spPr bwMode="auto">
                    <a:xfrm>
                      <a:off x="0" y="0"/>
                      <a:ext cx="7148195" cy="159385"/>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-735330</wp:posOffset>
            </wp:positionV>
            <wp:extent cx="7148195" cy="1212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-492760</wp:posOffset>
            </wp:positionV>
            <wp:extent cx="7148195" cy="121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8">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-1970405</wp:posOffset>
            </wp:positionH>
            <wp:positionV relativeFrom="paragraph">
              <wp:posOffset>-249555</wp:posOffset>
            </wp:positionV>
            <wp:extent cx="7148195" cy="1212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9">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2380" w:space="720"/>
            <w:col w:w="8160"/>
          </w:cols>
          <w:pgMar w:left="320" w:top="838" w:right="319" w:bottom="1440" w:gutter="0" w:footer="0" w:header="0"/>
        </w:sectPr>
      </w:pPr>
    </w:p>
    <w:tbl>
      <w:tblPr>
        <w:tblLayout w:type="fixed"/>
        <w:tblInd w:w="0" w:type="dxa"/>
        <w:tblCellMar>
          <w:top w:w="0" w:type="dxa"/>
          <w:left w:w="0" w:type="dxa"/>
          <w:bottom w:w="0" w:type="dxa"/>
          <w:right w:w="0" w:type="dxa"/>
        </w:tblCellMar>
      </w:tblPr>
      <w:tr>
        <w:trPr>
          <w:trHeight w:val="20"/>
        </w:trPr>
        <w:tc>
          <w:tcPr>
            <w:tcW w:w="3660" w:type="dxa"/>
            <w:vAlign w:val="bottom"/>
            <w:shd w:val="clear" w:color="auto" w:fill="CCEEFF"/>
          </w:tcPr>
          <w:p>
            <w:pPr>
              <w:spacing w:after="0" w:line="20" w:lineRule="exact"/>
              <w:rPr>
                <w:sz w:val="1"/>
                <w:szCs w:val="1"/>
                <w:color w:val="auto"/>
              </w:rPr>
            </w:pPr>
          </w:p>
        </w:tc>
        <w:tc>
          <w:tcPr>
            <w:tcW w:w="23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66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auto"/>
              </w:rPr>
              <w:t>Non-GAAP Operating loss</w:t>
            </w:r>
          </w:p>
        </w:tc>
        <w:tc>
          <w:tcPr>
            <w:tcW w:w="23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00"/>
              <w:spacing w:after="0" w:line="175" w:lineRule="exact"/>
              <w:rPr>
                <w:sz w:val="20"/>
                <w:szCs w:val="20"/>
                <w:color w:val="auto"/>
              </w:rPr>
            </w:pPr>
            <w:r>
              <w:rPr>
                <w:rFonts w:ascii="Times New Roman" w:cs="Times New Roman" w:eastAsia="Times New Roman" w:hAnsi="Times New Roman"/>
                <w:sz w:val="16"/>
                <w:szCs w:val="16"/>
                <w:color w:val="auto"/>
              </w:rPr>
              <w:t>(3,700)</w:t>
            </w:r>
          </w:p>
        </w:tc>
        <w:tc>
          <w:tcPr>
            <w:tcW w:w="4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(4,316)</w:t>
            </w:r>
          </w:p>
        </w:tc>
        <w:tc>
          <w:tcPr>
            <w:tcW w:w="36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80"/>
              <w:spacing w:after="0" w:line="175" w:lineRule="exact"/>
              <w:rPr>
                <w:sz w:val="20"/>
                <w:szCs w:val="20"/>
                <w:color w:val="auto"/>
              </w:rPr>
            </w:pPr>
            <w:r>
              <w:rPr>
                <w:rFonts w:ascii="Times New Roman" w:cs="Times New Roman" w:eastAsia="Times New Roman" w:hAnsi="Times New Roman"/>
                <w:sz w:val="16"/>
                <w:szCs w:val="16"/>
                <w:color w:val="auto"/>
              </w:rPr>
              <w:t>(10,069)</w:t>
            </w:r>
          </w:p>
        </w:tc>
        <w:tc>
          <w:tcPr>
            <w:tcW w:w="3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rPr>
              <w:t>(14,970)</w:t>
            </w:r>
          </w:p>
        </w:tc>
        <w:tc>
          <w:tcPr>
            <w:tcW w:w="0" w:type="dxa"/>
            <w:vAlign w:val="bottom"/>
          </w:tcPr>
          <w:p>
            <w:pPr>
              <w:spacing w:after="0"/>
              <w:rPr>
                <w:sz w:val="1"/>
                <w:szCs w:val="1"/>
                <w:color w:val="auto"/>
              </w:rPr>
            </w:pPr>
          </w:p>
        </w:tc>
      </w:tr>
      <w:tr>
        <w:trPr>
          <w:trHeight w:val="20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2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2,546</w:t>
            </w: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2,680</w:t>
            </w: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5,010</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5,491</w:t>
            </w:r>
          </w:p>
        </w:tc>
        <w:tc>
          <w:tcPr>
            <w:tcW w:w="0" w:type="dxa"/>
            <w:vAlign w:val="bottom"/>
          </w:tcPr>
          <w:p>
            <w:pPr>
              <w:spacing w:after="0"/>
              <w:rPr>
                <w:sz w:val="1"/>
                <w:szCs w:val="1"/>
                <w:color w:val="auto"/>
              </w:rPr>
            </w:pPr>
          </w:p>
        </w:tc>
      </w:tr>
      <w:tr>
        <w:trPr>
          <w:trHeight w:val="24"/>
        </w:trPr>
        <w:tc>
          <w:tcPr>
            <w:tcW w:w="36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EBITDA</w:t>
            </w:r>
          </w:p>
        </w:tc>
        <w:tc>
          <w:tcPr>
            <w:tcW w:w="2320" w:type="dxa"/>
            <w:vAlign w:val="bottom"/>
            <w:shd w:val="clear" w:color="auto" w:fill="CCEEFF"/>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19"/>
        </w:trPr>
        <w:tc>
          <w:tcPr>
            <w:tcW w:w="3660" w:type="dxa"/>
            <w:vAlign w:val="bottom"/>
            <w:vMerge w:val="continue"/>
            <w:shd w:val="clear" w:color="auto" w:fill="CCEEFF"/>
          </w:tcPr>
          <w:p>
            <w:pPr>
              <w:spacing w:after="0"/>
              <w:rPr>
                <w:sz w:val="19"/>
                <w:szCs w:val="19"/>
                <w:color w:val="auto"/>
              </w:rPr>
            </w:pPr>
          </w:p>
        </w:tc>
        <w:tc>
          <w:tcPr>
            <w:tcW w:w="27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(1,154</w:t>
            </w:r>
          </w:p>
        </w:tc>
        <w:tc>
          <w:tcPr>
            <w:tcW w:w="240" w:type="dxa"/>
            <w:vAlign w:val="bottom"/>
            <w:vMerge w:val="continue"/>
            <w:shd w:val="clear" w:color="auto" w:fill="CCEEFF"/>
          </w:tcPr>
          <w:p>
            <w:pPr>
              <w:spacing w:after="0"/>
              <w:rPr>
                <w:sz w:val="19"/>
                <w:szCs w:val="19"/>
                <w:color w:val="auto"/>
              </w:rPr>
            </w:pPr>
          </w:p>
        </w:tc>
        <w:tc>
          <w:tcPr>
            <w:tcW w:w="40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(1,636</w:t>
            </w:r>
          </w:p>
        </w:tc>
        <w:tc>
          <w:tcPr>
            <w:tcW w:w="22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(5,059</w:t>
            </w:r>
          </w:p>
        </w:tc>
        <w:tc>
          <w:tcPr>
            <w:tcW w:w="22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(9,479</w:t>
            </w:r>
          </w:p>
        </w:tc>
        <w:tc>
          <w:tcPr>
            <w:tcW w:w="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320" w:type="dxa"/>
            <w:vAlign w:val="bottom"/>
            <w:tcBorders>
              <w:top w:val="single" w:sz="8" w:color="CCEEFF"/>
              <w:bottom w:val="single" w:sz="8" w:color="CCEEFF"/>
            </w:tcBorders>
            <w:vMerge w:val="restart"/>
          </w:tcPr>
          <w:p>
            <w:pPr>
              <w:jc w:val="right"/>
              <w:ind w:right="240"/>
              <w:spacing w:after="0"/>
              <w:rPr>
                <w:sz w:val="20"/>
                <w:szCs w:val="20"/>
                <w:color w:val="auto"/>
              </w:rPr>
            </w:pPr>
            <w:r>
              <w:rPr>
                <w:rFonts w:ascii="Times New Roman" w:cs="Times New Roman" w:eastAsia="Times New Roman" w:hAnsi="Times New Roman"/>
                <w:sz w:val="16"/>
                <w:szCs w:val="16"/>
                <w:color w:val="auto"/>
              </w:rPr>
              <w:t>8</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36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vMerge w:val="continue"/>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38" w:right="319" w:bottom="1440" w:gutter="0" w:footer="0" w:header="0"/>
          <w:type w:val="continuous"/>
        </w:sectPr>
      </w:pPr>
    </w:p>
    <w:bookmarkStart w:id="12" w:name="page13"/>
    <w:bookmarkEnd w:id="12"/>
    <w:p>
      <w:pPr>
        <w:ind w:left="9300"/>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137795</wp:posOffset>
            </wp:positionV>
            <wp:extent cx="7203440" cy="43326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21" w:right="319" w:bottom="1440"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2">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jpe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46" Type="http://schemas.openxmlformats.org/officeDocument/2006/relationships/image" Target="media/image30.png"/><Relationship Id="rId47" Type="http://schemas.openxmlformats.org/officeDocument/2006/relationships/image" Target="media/image31.png"/><Relationship Id="rId48" Type="http://schemas.openxmlformats.org/officeDocument/2006/relationships/image" Target="media/image32.png"/><Relationship Id="rId49" Type="http://schemas.openxmlformats.org/officeDocument/2006/relationships/image" Target="media/image33.png"/><Relationship Id="rId50" Type="http://schemas.openxmlformats.org/officeDocument/2006/relationships/image" Target="media/image34.png"/><Relationship Id="rId51" Type="http://schemas.openxmlformats.org/officeDocument/2006/relationships/image" Target="media/image35.png"/><Relationship Id="rId52" Type="http://schemas.openxmlformats.org/officeDocument/2006/relationships/image" Target="media/image36.png"/><Relationship Id="rId53" Type="http://schemas.openxmlformats.org/officeDocument/2006/relationships/image" Target="media/image37.png"/><Relationship Id="rId54" Type="http://schemas.openxmlformats.org/officeDocument/2006/relationships/image" Target="media/image38.png"/><Relationship Id="rId55" Type="http://schemas.openxmlformats.org/officeDocument/2006/relationships/image" Target="media/image39.png"/><Relationship Id="rId56" Type="http://schemas.openxmlformats.org/officeDocument/2006/relationships/image" Target="media/image40.png"/><Relationship Id="rId57" Type="http://schemas.openxmlformats.org/officeDocument/2006/relationships/image" Target="media/image41.png"/><Relationship Id="rId58" Type="http://schemas.openxmlformats.org/officeDocument/2006/relationships/image" Target="media/image42.png"/><Relationship Id="rId59" Type="http://schemas.openxmlformats.org/officeDocument/2006/relationships/image" Target="media/image43.png"/><Relationship Id="rId60" Type="http://schemas.openxmlformats.org/officeDocument/2006/relationships/image" Target="media/image44.png"/><Relationship Id="rId61" Type="http://schemas.openxmlformats.org/officeDocument/2006/relationships/image" Target="media/image45.png"/><Relationship Id="rId62" Type="http://schemas.openxmlformats.org/officeDocument/2006/relationships/image" Target="media/image46.png"/><Relationship Id="rId63" Type="http://schemas.openxmlformats.org/officeDocument/2006/relationships/image" Target="media/image47.png"/><Relationship Id="rId64" Type="http://schemas.openxmlformats.org/officeDocument/2006/relationships/image" Target="media/image48.png"/><Relationship Id="rId65" Type="http://schemas.openxmlformats.org/officeDocument/2006/relationships/image" Target="media/image49.png"/><Relationship Id="rId66" Type="http://schemas.openxmlformats.org/officeDocument/2006/relationships/image" Target="media/image50.png"/><Relationship Id="rId67" Type="http://schemas.openxmlformats.org/officeDocument/2006/relationships/image" Target="media/image51.png"/><Relationship Id="rId68" Type="http://schemas.openxmlformats.org/officeDocument/2006/relationships/image" Target="media/image52.png"/><Relationship Id="rId69" Type="http://schemas.openxmlformats.org/officeDocument/2006/relationships/image" Target="media/image53.png"/><Relationship Id="rId70" Type="http://schemas.openxmlformats.org/officeDocument/2006/relationships/image" Target="media/image54.png"/><Relationship Id="rId13" Type="http://schemas.openxmlformats.org/officeDocument/2006/relationships/hyperlink" Target="http://www.sec.gov/Archives/edgar/data/1625791/000161577415000908/s101052_forms8.htm" TargetMode="External"/><Relationship Id="rId14" Type="http://schemas.openxmlformats.org/officeDocument/2006/relationships/hyperlink" Target="http://www.sec.gov/Archives/edgar/data/1625791/000121390016017339/fs82016_kornitdigital.htm" TargetMode="External"/><Relationship Id="rId15" Type="http://schemas.openxmlformats.org/officeDocument/2006/relationships/hyperlink" Target="http://www.sec.gov/Archives/edgar/data/1625791/000121390017003012/fs82017_kornitdigital.htm" TargetMode="External"/><Relationship Id="rId16" Type="http://schemas.openxmlformats.org/officeDocument/2006/relationships/hyperlink" Target="http://www.sec.gov/Archives/edgar/data/1625791/000121390018003205/fs82018_kornitdigital.htm" TargetMode="External"/><Relationship Id="rId17" Type="http://schemas.openxmlformats.org/officeDocument/2006/relationships/hyperlink" Target="http://www.sec.gov/Archives/edgar/data/1625791/000121390019005079/fs82019_kornitdigitalltd.htm" TargetMode="External"/><Relationship Id="rId18" Type="http://schemas.openxmlformats.org/officeDocument/2006/relationships/hyperlink" Target="http://www.sec.gov/Archives/edgar/data/1625791/000121390020007116/ea119827-s8_kornitdigital.htm" TargetMode="External"/><Relationship Id="rId19" Type="http://schemas.openxmlformats.org/officeDocument/2006/relationships/hyperlink" Target="http://www.sec.gov/Archives/edgar/data/1625791/000121390021017777/ea138332-s8_kornitdigital.htm" TargetMode="External"/><Relationship Id="rId20" Type="http://schemas.openxmlformats.org/officeDocument/2006/relationships/hyperlink" Target="https://www.sec.gov/Archives/edgar/data/0001625791/000121390022016164/ea157447-s8_kornitdigital.htm" TargetMode="External"/><Relationship Id="rId21" Type="http://schemas.openxmlformats.org/officeDocument/2006/relationships/hyperlink" Target="http://www.sec.gov/Archives/edgar/data/1625791/000101376225003116/ea0235566-s8_korni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2025-08-06T10:05:44Z</dcterms:created>
  <dcterms:modified xsi:type="dcterms:W3CDTF">2025-08-06T10:05:44Z</dcterms:modified>
</cp:coreProperties>
</file>