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400" w:right="1219"/>
        <w:spacing w:after="0" w:line="285" w:lineRule="auto"/>
        <w:rPr>
          <w:sz w:val="20"/>
          <w:szCs w:val="20"/>
          <w:color w:val="auto"/>
        </w:rPr>
      </w:pPr>
      <w:r>
        <w:rPr>
          <w:rFonts w:ascii="Arial" w:cs="Arial" w:eastAsia="Arial" w:hAnsi="Arial"/>
          <w:sz w:val="15"/>
          <w:szCs w:val="15"/>
          <w:b w:val="1"/>
          <w:bCs w:val="1"/>
          <w:color w:val="auto"/>
        </w:rPr>
        <w:t>As confidentially submitted to the Securities and Exchange Commission on February 6, 2015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ind w:right="419"/>
        <w:spacing w:after="0"/>
        <w:rPr>
          <w:sz w:val="20"/>
          <w:szCs w:val="20"/>
          <w:color w:val="auto"/>
        </w:rPr>
      </w:pPr>
      <w:r>
        <w:rPr>
          <w:rFonts w:ascii="Arial" w:cs="Arial" w:eastAsia="Arial" w:hAnsi="Arial"/>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161290</wp:posOffset>
            </wp:positionV>
            <wp:extent cx="53771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77180" cy="1714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KORNIT DIGITAL LTD.</w:t>
      </w: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ectPr>
          <w:pgSz w:w="11900" w:h="16838" w:orient="portrait"/>
          <w:cols w:equalWidth="0" w:num="1">
            <w:col w:w="9019"/>
          </w:cols>
          <w:pgMar w:left="1440" w:top="234" w:right="1440" w:bottom="144" w:gutter="0" w:footer="0" w:header="0"/>
        </w:sectPr>
      </w:pPr>
    </w:p>
    <w:p>
      <w:pPr>
        <w:spacing w:after="0" w:line="72" w:lineRule="exact"/>
        <w:rPr>
          <w:sz w:val="24"/>
          <w:szCs w:val="24"/>
          <w:color w:val="auto"/>
        </w:rPr>
      </w:pPr>
    </w:p>
    <w:p>
      <w:pPr>
        <w:jc w:val="center"/>
        <w:ind w:left="300"/>
        <w:spacing w:after="0"/>
        <w:rPr>
          <w:sz w:val="20"/>
          <w:szCs w:val="20"/>
          <w:color w:val="auto"/>
        </w:rPr>
      </w:pPr>
      <w:r>
        <w:rPr>
          <w:rFonts w:ascii="Arial" w:cs="Arial" w:eastAsia="Arial" w:hAnsi="Arial"/>
          <w:sz w:val="14"/>
          <w:szCs w:val="14"/>
          <w:b w:val="1"/>
          <w:bCs w:val="1"/>
          <w:color w:val="auto"/>
        </w:rPr>
        <w:t>State of Israel</w:t>
      </w:r>
    </w:p>
    <w:p>
      <w:pPr>
        <w:spacing w:after="0" w:line="3" w:lineRule="exact"/>
        <w:rPr>
          <w:sz w:val="24"/>
          <w:szCs w:val="24"/>
          <w:color w:val="auto"/>
        </w:rPr>
      </w:pPr>
    </w:p>
    <w:p>
      <w:pPr>
        <w:ind w:left="820"/>
        <w:spacing w:after="0"/>
        <w:rPr>
          <w:sz w:val="20"/>
          <w:szCs w:val="20"/>
          <w:color w:val="auto"/>
        </w:rPr>
      </w:pPr>
      <w:r>
        <w:rPr>
          <w:rFonts w:ascii="Arial" w:cs="Arial" w:eastAsia="Arial" w:hAnsi="Arial"/>
          <w:sz w:val="13"/>
          <w:szCs w:val="13"/>
          <w:i w:val="1"/>
          <w:iCs w:val="1"/>
          <w:color w:val="auto"/>
        </w:rPr>
        <w:t>(State or Other Jurisdiction of</w:t>
      </w:r>
    </w:p>
    <w:p>
      <w:pPr>
        <w:ind w:left="7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jc w:val="right"/>
              <w:ind w:right="1368"/>
              <w:spacing w:after="0"/>
              <w:rPr>
                <w:sz w:val="20"/>
                <w:szCs w:val="20"/>
                <w:color w:val="auto"/>
              </w:rPr>
            </w:pPr>
            <w:r>
              <w:rPr>
                <w:rFonts w:ascii="Arial" w:cs="Arial" w:eastAsia="Arial" w:hAnsi="Arial"/>
                <w:sz w:val="14"/>
                <w:szCs w:val="14"/>
                <w:b w:val="1"/>
                <w:bCs w:val="1"/>
                <w:color w:val="auto"/>
              </w:rPr>
              <w:t>3555</w:t>
            </w:r>
          </w:p>
        </w:tc>
        <w:tc>
          <w:tcPr>
            <w:tcW w:w="1780" w:type="dxa"/>
            <w:vAlign w:val="bottom"/>
          </w:tcPr>
          <w:p>
            <w:pPr>
              <w:jc w:val="center"/>
              <w:ind w:left="670"/>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116"/>
        </w:trPr>
        <w:tc>
          <w:tcPr>
            <w:tcW w:w="2400" w:type="dxa"/>
            <w:vAlign w:val="bottom"/>
            <w:vMerge w:val="restart"/>
          </w:tcPr>
          <w:p>
            <w:pPr>
              <w:spacing w:after="0"/>
              <w:rPr>
                <w:sz w:val="20"/>
                <w:szCs w:val="20"/>
                <w:color w:val="auto"/>
              </w:rPr>
            </w:pPr>
            <w:r>
              <w:rPr>
                <w:rFonts w:ascii="Arial" w:cs="Arial" w:eastAsia="Arial" w:hAnsi="Arial"/>
                <w:sz w:val="14"/>
                <w:szCs w:val="14"/>
                <w:i w:val="1"/>
                <w:iCs w:val="1"/>
                <w:color w:val="auto"/>
              </w:rPr>
              <w:t>(Primary Standard Industrial</w:t>
            </w:r>
          </w:p>
        </w:tc>
        <w:tc>
          <w:tcPr>
            <w:tcW w:w="1780" w:type="dxa"/>
            <w:vAlign w:val="bottom"/>
          </w:tcPr>
          <w:p>
            <w:pPr>
              <w:jc w:val="center"/>
              <w:ind w:left="670"/>
              <w:spacing w:after="0" w:line="116" w:lineRule="exact"/>
              <w:rPr>
                <w:sz w:val="20"/>
                <w:szCs w:val="20"/>
                <w:color w:val="auto"/>
              </w:rPr>
            </w:pPr>
            <w:r>
              <w:rPr>
                <w:rFonts w:ascii="Arial" w:cs="Arial" w:eastAsia="Arial" w:hAnsi="Arial"/>
                <w:sz w:val="13"/>
                <w:szCs w:val="13"/>
                <w:i w:val="1"/>
                <w:iCs w:val="1"/>
                <w:color w:val="auto"/>
              </w:rPr>
              <w:t>(I.R.S. Employer</w:t>
            </w: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780" w:type="dxa"/>
            <w:vAlign w:val="bottom"/>
            <w:vMerge w:val="restart"/>
          </w:tcPr>
          <w:p>
            <w:pPr>
              <w:jc w:val="center"/>
              <w:ind w:left="650"/>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15"/>
        </w:trPr>
        <w:tc>
          <w:tcPr>
            <w:tcW w:w="2400" w:type="dxa"/>
            <w:vAlign w:val="bottom"/>
            <w:vMerge w:val="restart"/>
          </w:tcPr>
          <w:p>
            <w:pPr>
              <w:spacing w:after="0"/>
              <w:rPr>
                <w:sz w:val="20"/>
                <w:szCs w:val="20"/>
                <w:color w:val="auto"/>
              </w:rPr>
            </w:pPr>
            <w:r>
              <w:rPr>
                <w:rFonts w:ascii="Arial" w:cs="Arial" w:eastAsia="Arial" w:hAnsi="Arial"/>
                <w:sz w:val="14"/>
                <w:szCs w:val="14"/>
                <w:i w:val="1"/>
                <w:iCs w:val="1"/>
                <w:color w:val="auto"/>
              </w:rPr>
              <w:t>Classification Code Number)</w:t>
            </w: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080" w:space="720"/>
            <w:col w:w="5219"/>
          </w:cols>
          <w:pgMar w:left="1440" w:top="234" w:right="1440" w:bottom="144"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 Ha`Amal Street, Afek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Rosh-Ha`Ayin 4809246, Israel</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+972-3-908-5800</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North America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10541-10601 North Commerce Street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Mequon, WI 53092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(262) 518-0200</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13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Copies of all correspondence to:</w:t>
      </w:r>
    </w:p>
    <w:p>
      <w:pPr>
        <w:spacing w:after="0" w:line="255"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19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Colin J. Diamond, Esq</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6"/>
              </w:rPr>
              <w:t>Clifford M. J. Felig, Adv.</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David Goldschmidt, Esq.</w:t>
            </w:r>
          </w:p>
        </w:tc>
        <w:tc>
          <w:tcPr>
            <w:tcW w:w="192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Shachar Hadar, Adv.</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Joshua G. Kiernan, Esq.</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Aviv Avidan-Shalit, Adv.</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Phyllis G. Korff, Esq.</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Gross, Kleinhendler, Hodak,</w:t>
            </w:r>
          </w:p>
        </w:tc>
      </w:tr>
      <w:tr>
        <w:trPr>
          <w:trHeight w:val="149"/>
        </w:trPr>
        <w:tc>
          <w:tcPr>
            <w:tcW w:w="19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8"/>
              </w:rPr>
              <w:t>White &amp; Case LLP</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Meitar Liquornik Geva Leshem</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Skadden, Arps, Slate, Meagher &amp;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Halevy, Greenberg &amp; Co.</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1155 Avenue of the Americas</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Tal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Flom LLP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One Azrieli Center</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16 Abba Hillel Silver Rd.</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 Times Square</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Aviv 67021, Israel</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Tel: (212) 819-8200</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Ramat Gan 5250608, Israel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+972-3-607-4444</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Fax: (212) 354-8113</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Tel: +972-3-610-3100</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Tel: (212) 735-3000</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Fax: +972-3-607-4470</w:t>
            </w:r>
          </w:p>
        </w:tc>
      </w:tr>
      <w:tr>
        <w:trPr>
          <w:trHeight w:val="186"/>
        </w:trPr>
        <w:tc>
          <w:tcPr>
            <w:tcW w:w="190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Fax: +972-3-610-3111</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Fax: (212) 735-2000</w:t>
            </w:r>
          </w:p>
        </w:tc>
        <w:tc>
          <w:tcPr>
            <w:tcW w:w="1920" w:type="dxa"/>
            <w:vAlign w:val="bottom"/>
          </w:tcPr>
          <w:p>
            <w:pPr>
              <w:spacing w:after="0"/>
              <w:rPr>
                <w:sz w:val="16"/>
                <w:szCs w:val="16"/>
                <w:color w:val="auto"/>
              </w:rPr>
            </w:pPr>
          </w:p>
        </w:tc>
      </w:tr>
    </w:tbl>
    <w:p>
      <w:pPr>
        <w:spacing w:after="0" w:line="34"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ind w:left="120" w:right="539"/>
        <w:spacing w:after="0" w:line="311" w:lineRule="auto"/>
        <w:rPr>
          <w:sz w:val="20"/>
          <w:szCs w:val="20"/>
          <w:color w:val="auto"/>
        </w:rPr>
      </w:pPr>
      <w:r>
        <w:rPr>
          <w:rFonts w:ascii="Arial" w:cs="Arial" w:eastAsia="Arial" w:hAnsi="Arial"/>
          <w:sz w:val="16"/>
          <w:szCs w:val="16"/>
          <w:color w:val="auto"/>
        </w:rPr>
        <w:t>Approximate date of commencement of proposed sale to the public: As soon as practicable after effectiveness of this registration statement.</w:t>
      </w:r>
    </w:p>
    <w:p>
      <w:pPr>
        <w:spacing w:after="0" w:line="36" w:lineRule="exact"/>
        <w:rPr>
          <w:sz w:val="24"/>
          <w:szCs w:val="24"/>
          <w:color w:val="auto"/>
        </w:rPr>
      </w:pPr>
    </w:p>
    <w:p>
      <w:pPr>
        <w:ind w:left="120" w:right="199"/>
        <w:spacing w:after="0" w:line="22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2" w:lineRule="exact"/>
        <w:rPr>
          <w:sz w:val="24"/>
          <w:szCs w:val="24"/>
          <w:color w:val="auto"/>
        </w:rPr>
      </w:pPr>
    </w:p>
    <w:p>
      <w:pPr>
        <w:ind w:left="120" w:right="539"/>
        <w:spacing w:after="0" w:line="222"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2" w:lineRule="exact"/>
        <w:rPr>
          <w:sz w:val="24"/>
          <w:szCs w:val="24"/>
          <w:color w:val="auto"/>
        </w:rPr>
      </w:pPr>
    </w:p>
    <w:p>
      <w:pPr>
        <w:ind w:left="120" w:right="219"/>
        <w:spacing w:after="0" w:line="224"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6" w:lineRule="exact"/>
        <w:rPr>
          <w:sz w:val="24"/>
          <w:szCs w:val="24"/>
          <w:color w:val="auto"/>
        </w:rPr>
      </w:pPr>
    </w:p>
    <w:p>
      <w:pPr>
        <w:ind w:left="120" w:right="199"/>
        <w:spacing w:after="0" w:line="224"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40" w:lineRule="exact"/>
        <w:rPr>
          <w:sz w:val="24"/>
          <w:szCs w:val="24"/>
          <w:color w:val="auto"/>
        </w:rPr>
      </w:pPr>
    </w:p>
    <w:tbl>
      <w:tblPr>
        <w:tblLayout w:type="fixed"/>
        <w:tblInd w:w="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20" w:type="dxa"/>
            <w:vAlign w:val="bottom"/>
            <w:gridSpan w:val="3"/>
          </w:tcPr>
          <w:p>
            <w:pPr>
              <w:jc w:val="right"/>
              <w:ind w:right="1192"/>
              <w:spacing w:after="0"/>
              <w:rPr>
                <w:sz w:val="20"/>
                <w:szCs w:val="20"/>
                <w:color w:val="auto"/>
              </w:rPr>
            </w:pPr>
            <w:r>
              <w:rPr>
                <w:rFonts w:ascii="Arial" w:cs="Arial" w:eastAsia="Arial" w:hAnsi="Arial"/>
                <w:sz w:val="14"/>
                <w:szCs w:val="14"/>
                <w:b w:val="1"/>
                <w:bCs w:val="1"/>
                <w:color w:val="auto"/>
              </w:rPr>
              <w:t>CALCULATION OF REGISTRATION FEE</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offering</w:t>
            </w:r>
          </w:p>
        </w:tc>
        <w:tc>
          <w:tcPr>
            <w:tcW w:w="34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r>
      <w:tr>
        <w:trPr>
          <w:trHeight w:val="18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w w:val="91"/>
              </w:rPr>
              <w:t>Title of each class of securities to be registered</w:t>
            </w: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Arial" w:cs="Arial" w:eastAsia="Arial" w:hAnsi="Arial"/>
                <w:sz w:val="21"/>
                <w:szCs w:val="21"/>
                <w:b w:val="1"/>
                <w:bCs w:val="1"/>
                <w:color w:val="auto"/>
                <w:vertAlign w:val="subscript"/>
              </w:rPr>
              <w:t>price</w:t>
            </w:r>
            <w:r>
              <w:rPr>
                <w:rFonts w:ascii="Arial" w:cs="Arial" w:eastAsia="Arial" w:hAnsi="Arial"/>
                <w:sz w:val="10"/>
                <w:szCs w:val="10"/>
                <w:b w:val="1"/>
                <w:bCs w:val="1"/>
                <w:color w:val="auto"/>
              </w:rPr>
              <w:t>(1)(2)</w:t>
            </w:r>
          </w:p>
        </w:tc>
        <w:tc>
          <w:tcPr>
            <w:tcW w:w="3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registration fee</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Ordinary shares, par value NIS 0.01 per share</w:t>
            </w:r>
          </w:p>
        </w:tc>
        <w:tc>
          <w:tcPr>
            <w:tcW w:w="2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9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_________________</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w:t>
      </w:r>
    </w:p>
    <w:p>
      <w:pPr>
        <w:spacing w:after="0" w:line="43" w:lineRule="exact"/>
        <w:rPr>
          <w:rFonts w:ascii="Arial" w:cs="Arial" w:eastAsia="Arial" w:hAnsi="Arial"/>
          <w:sz w:val="14"/>
          <w:szCs w:val="14"/>
          <w:color w:val="auto"/>
        </w:rPr>
      </w:pPr>
    </w:p>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ordinary shares that the underwriters may purchase pursuant to their option to purchase additional ordinary shares.</w:t>
      </w:r>
    </w:p>
    <w:p>
      <w:pPr>
        <w:spacing w:after="0" w:line="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74" w:lineRule="exact"/>
        <w:rPr>
          <w:sz w:val="24"/>
          <w:szCs w:val="24"/>
          <w:color w:val="auto"/>
        </w:rPr>
      </w:pPr>
    </w:p>
    <w:p>
      <w:pPr>
        <w:ind w:left="120" w:right="219"/>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171450</wp:posOffset>
            </wp:positionV>
            <wp:extent cx="5574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34" w:right="1440" w:bottom="144" w:gutter="0" w:footer="0" w:header="0"/>
          <w:type w:val="continuous"/>
        </w:sectPr>
      </w:pPr>
    </w:p>
    <w:bookmarkStart w:id="1" w:name="page2"/>
    <w:bookmarkEnd w:id="1"/>
    <w:p>
      <w:pPr>
        <w:ind w:left="120" w:right="279"/>
        <w:spacing w:after="0" w:line="259" w:lineRule="auto"/>
        <w:rPr>
          <w:sz w:val="20"/>
          <w:szCs w:val="20"/>
          <w:color w:val="auto"/>
        </w:rPr>
      </w:pPr>
      <w:r>
        <w:rPr>
          <w:rFonts w:ascii="Arial" w:cs="Arial" w:eastAsia="Arial" w:hAnsi="Arial"/>
          <w:sz w:val="18"/>
          <w:szCs w:val="18"/>
          <w:color w:val="AF1D1F"/>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F1D1F"/>
        </w:rPr>
        <w:t>Subject to Completion, dated February 6,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Preliminary Prospectus</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211455</wp:posOffset>
            </wp:positionV>
            <wp:extent cx="2118360" cy="131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9"/>
          <w:szCs w:val="29"/>
          <w:b w:val="1"/>
          <w:bCs w:val="1"/>
          <w:color w:val="auto"/>
        </w:rPr>
        <w:t>Kornit Digital Ltd.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Ordinary Shares</w:t>
      </w:r>
    </w:p>
    <w:p>
      <w:pPr>
        <w:spacing w:after="0" w:line="15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ectPr>
          <w:pgSz w:w="11900" w:h="16838" w:orient="portrait"/>
          <w:cols w:equalWidth="0" w:num="1">
            <w:col w:w="9019"/>
          </w:cols>
          <w:pgMar w:left="1440" w:top="125" w:right="1440" w:bottom="1440" w:gutter="0" w:footer="0" w:header="0"/>
        </w:sectPr>
      </w:pP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is Kornit Digital Ltd.’s initial public offering. We are selling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of our ordinary shares.</w:t>
      </w:r>
    </w:p>
    <w:p>
      <w:pPr>
        <w:spacing w:after="0" w:line="211" w:lineRule="exact"/>
        <w:rPr>
          <w:sz w:val="20"/>
          <w:szCs w:val="20"/>
          <w:color w:val="auto"/>
        </w:rPr>
      </w:pPr>
    </w:p>
    <w:p>
      <w:pPr>
        <w:sectPr>
          <w:pgSz w:w="11900" w:h="16838" w:orient="portrait"/>
          <w:cols w:equalWidth="0" w:num="2">
            <w:col w:w="5220" w:space="720"/>
            <w:col w:w="3079"/>
          </w:cols>
          <w:pgMar w:left="1440" w:top="125" w:right="1440" w:bottom="1440" w:gutter="0" w:footer="0" w:header="0"/>
          <w:type w:val="continuous"/>
        </w:sectPr>
      </w:pPr>
    </w:p>
    <w:p>
      <w:pPr>
        <w:spacing w:after="0" w:line="37" w:lineRule="exact"/>
        <w:rPr>
          <w:sz w:val="20"/>
          <w:szCs w:val="20"/>
          <w:color w:val="auto"/>
        </w:rPr>
      </w:pPr>
    </w:p>
    <w:p>
      <w:pPr>
        <w:ind w:left="340"/>
        <w:spacing w:after="0"/>
        <w:tabs>
          <w:tab w:leader="none" w:pos="4360" w:val="left"/>
          <w:tab w:leader="none" w:pos="5100" w:val="left"/>
        </w:tabs>
        <w:rPr>
          <w:sz w:val="20"/>
          <w:szCs w:val="20"/>
          <w:color w:val="auto"/>
        </w:rPr>
      </w:pPr>
      <w:r>
        <w:rPr>
          <w:rFonts w:ascii="Arial" w:cs="Arial" w:eastAsia="Arial" w:hAnsi="Arial"/>
          <w:sz w:val="18"/>
          <w:szCs w:val="18"/>
          <w:color w:val="auto"/>
        </w:rPr>
        <w:t>We expect the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Prior to this offering, there has been no</w:t>
      </w:r>
    </w:p>
    <w:p>
      <w:pPr>
        <w:sectPr>
          <w:pgSz w:w="11900" w:h="16838" w:orient="portrait"/>
          <w:cols w:equalWidth="0" w:num="1">
            <w:col w:w="9019"/>
          </w:cols>
          <w:pgMar w:left="1440" w:top="125" w:right="1440" w:bottom="1440" w:gutter="0" w:footer="0" w:header="0"/>
          <w:type w:val="continuous"/>
        </w:sectPr>
      </w:pPr>
    </w:p>
    <w:p>
      <w:pPr>
        <w:spacing w:after="0" w:line="23" w:lineRule="exact"/>
        <w:rPr>
          <w:sz w:val="20"/>
          <w:szCs w:val="20"/>
          <w:color w:val="auto"/>
        </w:rPr>
      </w:pPr>
    </w:p>
    <w:p>
      <w:pPr>
        <w:ind w:left="120" w:right="519"/>
        <w:spacing w:after="0" w:line="261" w:lineRule="auto"/>
        <w:rPr>
          <w:sz w:val="20"/>
          <w:szCs w:val="20"/>
          <w:color w:val="auto"/>
        </w:rPr>
      </w:pPr>
      <w:r>
        <w:rPr>
          <w:rFonts w:ascii="Arial" w:cs="Arial" w:eastAsia="Arial" w:hAnsi="Arial"/>
          <w:sz w:val="18"/>
          <w:szCs w:val="18"/>
          <w:color w:val="auto"/>
        </w:rPr>
        <w:t>public market for our ordinary shares. We intend to apply to have the ordinary shares listed on the NASDAQ Global Market under the symbol “KRNT.”</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8"/>
                <w:szCs w:val="18"/>
                <w:color w:val="auto"/>
              </w:rPr>
            </w:pPr>
          </w:p>
        </w:tc>
        <w:tc>
          <w:tcPr>
            <w:tcW w:w="1400" w:type="dxa"/>
            <w:vAlign w:val="bottom"/>
            <w:gridSpan w:val="2"/>
          </w:tcPr>
          <w:p>
            <w:pPr>
              <w:ind w:left="440"/>
              <w:spacing w:after="0"/>
              <w:rPr>
                <w:sz w:val="20"/>
                <w:szCs w:val="20"/>
                <w:color w:val="auto"/>
              </w:rPr>
            </w:pPr>
            <w:r>
              <w:rPr>
                <w:rFonts w:ascii="Arial" w:cs="Arial" w:eastAsia="Arial" w:hAnsi="Arial"/>
                <w:sz w:val="16"/>
                <w:szCs w:val="16"/>
                <w:b w:val="1"/>
                <w:bCs w:val="1"/>
                <w:color w:val="auto"/>
              </w:rPr>
              <w:t>Total</w:t>
            </w:r>
          </w:p>
        </w:tc>
      </w:tr>
      <w:tr>
        <w:trPr>
          <w:trHeight w:val="216"/>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46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56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60" w:type="dxa"/>
            <w:vAlign w:val="bottom"/>
            <w:gridSpan w:val="2"/>
            <w:shd w:val="clear" w:color="auto" w:fill="CCEEFF"/>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8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ind w:left="340"/>
        <w:spacing w:after="0"/>
        <w:rPr>
          <w:sz w:val="20"/>
          <w:szCs w:val="20"/>
          <w:color w:val="auto"/>
        </w:rPr>
      </w:pPr>
      <w:r>
        <w:rPr>
          <w:rFonts w:ascii="Arial" w:cs="Arial" w:eastAsia="Arial" w:hAnsi="Arial"/>
          <w:sz w:val="18"/>
          <w:szCs w:val="18"/>
          <w:b w:val="1"/>
          <w:bCs w:val="1"/>
          <w:color w:val="auto"/>
        </w:rPr>
        <w:t>____________</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  See “Underwriting” for a description of the compensation </w:t>
      </w:r>
      <w:r>
        <w:rPr>
          <w:rFonts w:ascii="Arial" w:cs="Arial" w:eastAsia="Arial" w:hAnsi="Arial"/>
          <w:sz w:val="16"/>
          <w:szCs w:val="16"/>
          <w:color w:val="auto"/>
        </w:rPr>
        <w:t>payable to the underwriters.</w:t>
      </w:r>
    </w:p>
    <w:p>
      <w:pPr>
        <w:spacing w:after="0" w:line="211" w:lineRule="exact"/>
        <w:rPr>
          <w:sz w:val="20"/>
          <w:szCs w:val="20"/>
          <w:color w:val="auto"/>
        </w:rPr>
      </w:pPr>
    </w:p>
    <w:p>
      <w:pPr>
        <w:jc w:val="both"/>
        <w:ind w:left="120" w:right="299" w:firstLine="216"/>
        <w:spacing w:after="0" w:line="342" w:lineRule="auto"/>
        <w:rPr>
          <w:sz w:val="20"/>
          <w:szCs w:val="20"/>
          <w:color w:val="auto"/>
        </w:rPr>
      </w:pPr>
      <w:r>
        <w:rPr>
          <w:rFonts w:ascii="Arial" w:cs="Arial" w:eastAsia="Arial" w:hAnsi="Arial"/>
          <w:sz w:val="16"/>
          <w:szCs w:val="16"/>
          <w:color w:val="auto"/>
        </w:rPr>
        <w:t>The underwriters may also exercise their option to purchase up to an additional ordinary shares from us, at the public offering price, less the underwriting discounts and commissions, for 30 days after the date of this prospectus.</w:t>
      </w:r>
    </w:p>
    <w:p>
      <w:pPr>
        <w:spacing w:after="0" w:line="124" w:lineRule="exact"/>
        <w:rPr>
          <w:sz w:val="20"/>
          <w:szCs w:val="20"/>
          <w:color w:val="auto"/>
        </w:rPr>
      </w:pPr>
    </w:p>
    <w:p>
      <w:pPr>
        <w:ind w:left="120" w:right="239" w:firstLine="216"/>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defined under federal securities laws and, as such, may elect to comply with certain reduced public company reporting requirements for future filings.</w:t>
      </w:r>
    </w:p>
    <w:p>
      <w:pPr>
        <w:spacing w:after="0" w:line="170"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b w:val="1"/>
          <w:bCs w:val="1"/>
          <w:i w:val="1"/>
          <w:iCs w:val="1"/>
          <w:color w:val="auto"/>
        </w:rPr>
        <w:t>Investing in our ordinary shares involves risks that are described in the ‘‘Risk Factors’’ section beginning on page 9 of this prospectus.</w:t>
      </w:r>
    </w:p>
    <w:p>
      <w:pPr>
        <w:spacing w:after="0" w:line="170" w:lineRule="exact"/>
        <w:rPr>
          <w:sz w:val="20"/>
          <w:szCs w:val="20"/>
          <w:color w:val="auto"/>
        </w:rPr>
      </w:pPr>
    </w:p>
    <w:p>
      <w:pPr>
        <w:ind w:left="120" w:right="179" w:firstLine="216"/>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 representation to the contrary is a criminal offense.</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20" w:type="dxa"/>
            <w:vAlign w:val="bottom"/>
            <w:gridSpan w:val="2"/>
          </w:tcPr>
          <w:p>
            <w:pPr>
              <w:jc w:val="right"/>
              <w:ind w:right="270"/>
              <w:spacing w:after="0"/>
              <w:rPr>
                <w:sz w:val="20"/>
                <w:szCs w:val="20"/>
                <w:color w:val="auto"/>
              </w:rPr>
            </w:pPr>
            <w:r>
              <w:rPr>
                <w:rFonts w:ascii="Arial" w:cs="Arial" w:eastAsia="Arial" w:hAnsi="Arial"/>
                <w:sz w:val="18"/>
                <w:szCs w:val="18"/>
                <w:color w:val="auto"/>
                <w:w w:val="92"/>
              </w:rPr>
              <w:t>The underwriters expect to deliver the ordinary shares to purchasers on or about</w:t>
            </w:r>
          </w:p>
        </w:tc>
        <w:tc>
          <w:tcPr>
            <w:tcW w:w="2440" w:type="dxa"/>
            <w:vAlign w:val="bottom"/>
          </w:tcPr>
          <w:p>
            <w:pPr>
              <w:jc w:val="right"/>
              <w:ind w:right="1527"/>
              <w:spacing w:after="0"/>
              <w:rPr>
                <w:sz w:val="20"/>
                <w:szCs w:val="20"/>
                <w:color w:val="auto"/>
              </w:rPr>
            </w:pPr>
            <w:r>
              <w:rPr>
                <w:rFonts w:ascii="Arial" w:cs="Arial" w:eastAsia="Arial" w:hAnsi="Arial"/>
                <w:sz w:val="18"/>
                <w:szCs w:val="18"/>
                <w:color w:val="auto"/>
              </w:rPr>
              <w:t>, 2015.</w:t>
            </w:r>
          </w:p>
        </w:tc>
      </w:tr>
      <w:tr>
        <w:trPr>
          <w:trHeight w:val="432"/>
        </w:trPr>
        <w:tc>
          <w:tcPr>
            <w:tcW w:w="5520" w:type="dxa"/>
            <w:vAlign w:val="bottom"/>
            <w:gridSpan w:val="2"/>
          </w:tcPr>
          <w:p>
            <w:pPr>
              <w:jc w:val="right"/>
              <w:spacing w:after="0"/>
              <w:rPr>
                <w:sz w:val="20"/>
                <w:szCs w:val="20"/>
                <w:color w:val="auto"/>
              </w:rPr>
            </w:pPr>
            <w:r>
              <w:rPr>
                <w:rFonts w:ascii="Arial" w:cs="Arial" w:eastAsia="Arial" w:hAnsi="Arial"/>
                <w:sz w:val="18"/>
                <w:szCs w:val="18"/>
                <w:b w:val="1"/>
                <w:bCs w:val="1"/>
                <w:color w:val="auto"/>
              </w:rPr>
              <w:t>_________________________</w:t>
            </w: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78"/>
        </w:trPr>
        <w:tc>
          <w:tcPr>
            <w:tcW w:w="5520" w:type="dxa"/>
            <w:vAlign w:val="bottom"/>
            <w:gridSpan w:val="2"/>
          </w:tcPr>
          <w:p>
            <w:pPr>
              <w:spacing w:after="0"/>
              <w:rPr>
                <w:sz w:val="20"/>
                <w:szCs w:val="20"/>
                <w:color w:val="auto"/>
              </w:rPr>
            </w:pPr>
            <w:r>
              <w:rPr>
                <w:rFonts w:ascii="Arial" w:cs="Arial" w:eastAsia="Arial" w:hAnsi="Arial"/>
                <w:sz w:val="29"/>
                <w:szCs w:val="29"/>
                <w:b w:val="1"/>
                <w:bCs w:val="1"/>
                <w:color w:val="auto"/>
              </w:rPr>
              <w:t>Barclays</w:t>
            </w:r>
          </w:p>
        </w:tc>
        <w:tc>
          <w:tcPr>
            <w:tcW w:w="8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9"/>
                <w:szCs w:val="29"/>
                <w:b w:val="1"/>
                <w:bCs w:val="1"/>
                <w:color w:val="auto"/>
              </w:rPr>
              <w:t>Citi</w:t>
            </w:r>
            <w:r>
              <w:rPr>
                <w:rFonts w:ascii="Arial" w:cs="Arial" w:eastAsia="Arial" w:hAnsi="Arial"/>
                <w:sz w:val="27"/>
                <w:szCs w:val="27"/>
                <w:b w:val="1"/>
                <w:bCs w:val="1"/>
                <w:color w:val="auto"/>
              </w:rPr>
              <w:t>group</w:t>
            </w:r>
          </w:p>
        </w:tc>
      </w:tr>
      <w:tr>
        <w:trPr>
          <w:trHeight w:val="451"/>
        </w:trPr>
        <w:tc>
          <w:tcPr>
            <w:tcW w:w="5520" w:type="dxa"/>
            <w:vAlign w:val="bottom"/>
            <w:gridSpan w:val="2"/>
          </w:tcPr>
          <w:p>
            <w:pPr>
              <w:spacing w:after="0"/>
              <w:rPr>
                <w:sz w:val="20"/>
                <w:szCs w:val="20"/>
                <w:color w:val="auto"/>
              </w:rPr>
            </w:pPr>
            <w:r>
              <w:rPr>
                <w:rFonts w:ascii="Arial" w:cs="Arial" w:eastAsia="Arial" w:hAnsi="Arial"/>
                <w:sz w:val="22"/>
                <w:szCs w:val="22"/>
                <w:b w:val="1"/>
                <w:bCs w:val="1"/>
                <w:color w:val="auto"/>
              </w:rPr>
              <w:t>William Blair</w:t>
            </w:r>
          </w:p>
        </w:tc>
        <w:tc>
          <w:tcPr>
            <w:tcW w:w="8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2"/>
                <w:szCs w:val="22"/>
                <w:b w:val="1"/>
                <w:bCs w:val="1"/>
                <w:color w:val="auto"/>
              </w:rPr>
              <w:t>Stifel</w:t>
            </w:r>
          </w:p>
        </w:tc>
      </w:tr>
      <w:tr>
        <w:trPr>
          <w:trHeight w:val="459"/>
        </w:trPr>
        <w:tc>
          <w:tcPr>
            <w:tcW w:w="5520" w:type="dxa"/>
            <w:vAlign w:val="bottom"/>
            <w:gridSpan w:val="2"/>
          </w:tcPr>
          <w:p>
            <w:pPr>
              <w:spacing w:after="0"/>
              <w:rPr>
                <w:sz w:val="20"/>
                <w:szCs w:val="20"/>
                <w:color w:val="auto"/>
              </w:rPr>
            </w:pPr>
            <w:r>
              <w:rPr>
                <w:rFonts w:ascii="Arial" w:cs="Arial" w:eastAsia="Arial" w:hAnsi="Arial"/>
                <w:sz w:val="22"/>
                <w:szCs w:val="22"/>
                <w:b w:val="1"/>
                <w:bCs w:val="1"/>
                <w:color w:val="auto"/>
              </w:rPr>
              <w:t>Canaccord Genuity</w:t>
            </w:r>
          </w:p>
        </w:tc>
        <w:tc>
          <w:tcPr>
            <w:tcW w:w="8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2"/>
                <w:szCs w:val="22"/>
                <w:b w:val="1"/>
                <w:bCs w:val="1"/>
                <w:color w:val="auto"/>
              </w:rPr>
              <w:t>Needham &amp; Company</w:t>
            </w:r>
          </w:p>
        </w:tc>
      </w:tr>
      <w:tr>
        <w:trPr>
          <w:trHeight w:val="395"/>
        </w:trPr>
        <w:tc>
          <w:tcPr>
            <w:tcW w:w="20" w:type="dxa"/>
            <w:vAlign w:val="bottom"/>
          </w:tcPr>
          <w:p>
            <w:pPr>
              <w:spacing w:after="0"/>
              <w:rPr>
                <w:sz w:val="24"/>
                <w:szCs w:val="24"/>
                <w:color w:val="auto"/>
              </w:rPr>
            </w:pPr>
          </w:p>
        </w:tc>
        <w:tc>
          <w:tcPr>
            <w:tcW w:w="5500" w:type="dxa"/>
            <w:vAlign w:val="bottom"/>
          </w:tcPr>
          <w:p>
            <w:pPr>
              <w:jc w:val="right"/>
              <w:ind w:right="570"/>
              <w:spacing w:after="0"/>
              <w:rPr>
                <w:sz w:val="20"/>
                <w:szCs w:val="20"/>
                <w:color w:val="auto"/>
              </w:rPr>
            </w:pPr>
            <w:r>
              <w:rPr>
                <w:rFonts w:ascii="Arial" w:cs="Arial" w:eastAsia="Arial" w:hAnsi="Arial"/>
                <w:sz w:val="18"/>
                <w:szCs w:val="18"/>
                <w:color w:val="auto"/>
              </w:rPr>
              <w:t>The date of this prospectus is</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w w:val="90"/>
              </w:rPr>
              <w:t>, 2015.</w:t>
            </w:r>
          </w:p>
        </w:tc>
        <w:tc>
          <w:tcPr>
            <w:tcW w:w="24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690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4030"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000" w:type="dxa"/>
            <w:vAlign w:val="bottom"/>
            <w:gridSpan w:val="24"/>
            <w:shd w:val="clear" w:color="auto" w:fill="CCEEFF"/>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6500" w:type="dxa"/>
            <w:vAlign w:val="bottom"/>
            <w:tcBorders>
              <w:top w:val="single" w:sz="8" w:color="CCEEFF"/>
            </w:tcBorders>
            <w:gridSpan w:val="14"/>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Special Note Regarding Forward-Looking Statements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386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4140" w:type="dxa"/>
            <w:vAlign w:val="bottom"/>
            <w:tcBorders>
              <w:top w:val="single" w:sz="8" w:color="CCEEFF"/>
            </w:tcBorders>
            <w:gridSpan w:val="4"/>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27</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1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Dividend Policy</w:t>
              </w:r>
            </w:hyperlink>
          </w:p>
        </w:tc>
        <w:tc>
          <w:tcPr>
            <w:tcW w:w="6840" w:type="dxa"/>
            <w:vAlign w:val="bottom"/>
            <w:tcBorders>
              <w:bottom w:val="single" w:sz="8" w:color="CCEEFF"/>
            </w:tcBorders>
            <w:gridSpan w:val="15"/>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Capitalization</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Dilution</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Selected Consolidated Financial Data</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44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Industry</w:t>
              </w:r>
            </w:hyperlink>
          </w:p>
        </w:tc>
        <w:tc>
          <w:tcPr>
            <w:tcW w:w="15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52</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Business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Management</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6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Principal Shareholders</w:t>
              </w:r>
            </w:hyperlink>
          </w:p>
        </w:tc>
        <w:tc>
          <w:tcPr>
            <w:tcW w:w="6380" w:type="dxa"/>
            <w:vAlign w:val="bottom"/>
            <w:tcBorders>
              <w:bottom w:val="single" w:sz="8" w:color="CCEEFF"/>
            </w:tcBorders>
            <w:gridSpan w:val="13"/>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Certain Relationships and Related Party Transactions</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20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Description of Share Capital</w:t>
              </w:r>
            </w:hyperlink>
          </w:p>
        </w:tc>
        <w:tc>
          <w:tcPr>
            <w:tcW w:w="5960" w:type="dxa"/>
            <w:vAlign w:val="bottom"/>
            <w:tcBorders>
              <w:bottom w:val="single" w:sz="8" w:color="CCEEFF"/>
            </w:tcBorders>
            <w:gridSpan w:val="1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91</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Shares Eligible for Future Sale</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Taxation and Israeli Government Programs Applicable to our Company</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14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U.S. and Israeli Tax Consequences for our Shareholders</w:t>
              </w:r>
            </w:hyperlink>
          </w:p>
        </w:tc>
        <w:tc>
          <w:tcPr>
            <w:tcW w:w="2860" w:type="dxa"/>
            <w:vAlign w:val="bottom"/>
            <w:tcBorders>
              <w:top w:val="single" w:sz="8" w:color="CCEEFF"/>
            </w:tcBorders>
            <w:gridSpan w:val="2"/>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103</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9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Underwriting</w:t>
              </w:r>
            </w:hyperlink>
          </w:p>
        </w:tc>
        <w:tc>
          <w:tcPr>
            <w:tcW w:w="7040" w:type="dxa"/>
            <w:vAlign w:val="bottom"/>
            <w:tcBorders>
              <w:bottom w:val="single" w:sz="8" w:color="CCEEFF"/>
            </w:tcBorders>
            <w:gridSpan w:val="18"/>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Expenses Related to this Offering</w:t>
              </w:r>
            </w:hyperlink>
          </w:p>
        </w:tc>
        <w:tc>
          <w:tcPr>
            <w:tcW w:w="760" w:type="dxa"/>
            <w:vAlign w:val="bottom"/>
            <w:gridSpan w:val="2"/>
          </w:tcPr>
          <w:p>
            <w:pPr>
              <w:ind w:left="460"/>
              <w:spacing w:after="0" w:line="176" w:lineRule="exact"/>
              <w:rPr>
                <w:sz w:val="20"/>
                <w:szCs w:val="20"/>
                <w:color w:val="auto"/>
              </w:rPr>
            </w:pPr>
            <w:r>
              <w:rPr>
                <w:rFonts w:ascii="Arial" w:cs="Arial" w:eastAsia="Arial" w:hAnsi="Arial"/>
                <w:sz w:val="18"/>
                <w:szCs w:val="18"/>
                <w:color w:val="auto"/>
                <w:w w:val="93"/>
              </w:rPr>
              <w:t>115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119">
              <w:r>
                <w:rPr>
                  <w:rFonts w:ascii="Arial" w:cs="Arial" w:eastAsia="Arial" w:hAnsi="Arial"/>
                  <w:sz w:val="18"/>
                  <w:szCs w:val="18"/>
                  <w:color w:val="0000EE"/>
                  <w:w w:val="85"/>
                </w:rPr>
                <w:t>Experts</w:t>
              </w:r>
            </w:hyperlink>
          </w:p>
        </w:tc>
        <w:tc>
          <w:tcPr>
            <w:tcW w:w="7460" w:type="dxa"/>
            <w:vAlign w:val="bottom"/>
            <w:tcBorders>
              <w:bottom w:val="single" w:sz="8" w:color="CCEEFF"/>
            </w:tcBorders>
            <w:gridSpan w:val="23"/>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Legal Matters</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Enforceability of Civil Liabilities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Where You Can Find Additional Information</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Index to Consolidated Financial Statements</w:t>
              </w:r>
            </w:hyperlink>
          </w:p>
        </w:tc>
        <w:tc>
          <w:tcPr>
            <w:tcW w:w="7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257175</wp:posOffset>
            </wp:positionV>
            <wp:extent cx="5574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our ordinary shares in any circumstances under which such offer or solicitation is unlawful.</w:t>
      </w:r>
    </w:p>
    <w:p>
      <w:pPr>
        <w:spacing w:after="0" w:line="152" w:lineRule="exact"/>
        <w:rPr>
          <w:sz w:val="20"/>
          <w:szCs w:val="20"/>
          <w:color w:val="auto"/>
        </w:rPr>
      </w:pPr>
    </w:p>
    <w:p>
      <w:pPr>
        <w:jc w:val="both"/>
        <w:ind w:left="120" w:right="299" w:firstLine="216"/>
        <w:spacing w:after="0" w:line="264" w:lineRule="auto"/>
        <w:rPr>
          <w:sz w:val="20"/>
          <w:szCs w:val="20"/>
          <w:color w:val="auto"/>
        </w:rPr>
      </w:pPr>
      <w:r>
        <w:rPr>
          <w:rFonts w:ascii="Arial" w:cs="Arial" w:eastAsia="Arial" w:hAnsi="Arial"/>
          <w:sz w:val="18"/>
          <w:szCs w:val="18"/>
          <w:color w:val="auto"/>
        </w:rPr>
        <w:t>This prospectus includes statistical data, market data and other industry data and forecasts, which we obtained from market research, publicly available information and independent industry publications and reports that we believe to be reliable sources.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5569585" cy="8605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9585" cy="8605520"/>
                    </a:xfrm>
                    <a:prstGeom prst="rect">
                      <a:avLst/>
                    </a:prstGeom>
                    <a:noFill/>
                  </pic:spPr>
                </pic:pic>
              </a:graphicData>
            </a:graphic>
          </wp:anchor>
        </w:drawing>
        <w:t>PROSPECTUS SUMMARY</w:t>
      </w:r>
    </w:p>
    <w:p>
      <w:pPr>
        <w:spacing w:after="0" w:line="229" w:lineRule="exact"/>
        <w:rPr>
          <w:sz w:val="20"/>
          <w:szCs w:val="20"/>
          <w:color w:val="auto"/>
        </w:rPr>
      </w:pPr>
    </w:p>
    <w:p>
      <w:pPr>
        <w:ind w:left="260" w:right="219"/>
        <w:spacing w:after="0" w:line="273" w:lineRule="auto"/>
        <w:rPr>
          <w:sz w:val="20"/>
          <w:szCs w:val="20"/>
          <w:color w:val="auto"/>
        </w:rPr>
      </w:pPr>
      <w:r>
        <w:rPr>
          <w:rFonts w:ascii="Arial" w:cs="Arial" w:eastAsia="Arial" w:hAnsi="Arial"/>
          <w:sz w:val="17"/>
          <w:szCs w:val="17"/>
          <w:b w:val="1"/>
          <w:bCs w:val="1"/>
          <w:i w:val="1"/>
          <w:iCs w:val="1"/>
          <w:color w:val="auto"/>
        </w:rPr>
        <w:t>This summary highlights selected information contained elsewhere in this prospectus. This summary does not contain all of the information you should consider before investing in our ordinary shares. You should read the entire prospectus carefully, including “Risk Factors” and our consolidated financial statements and notes to those consolidated financial statements, before making an investment decision. Unless the context otherwise requires, all references to “Kornit,” “we,” “us,” “our,” “the Company” and similar designations refer to Kornit Digital Ltd. and its subsidiaries.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60" w:right="259" w:firstLine="216"/>
        <w:spacing w:after="0" w:line="284"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w:t>
      </w:r>
    </w:p>
    <w:p>
      <w:pPr>
        <w:spacing w:after="0" w:line="1" w:lineRule="exact"/>
        <w:rPr>
          <w:sz w:val="20"/>
          <w:szCs w:val="20"/>
          <w:color w:val="auto"/>
        </w:rPr>
      </w:pPr>
    </w:p>
    <w:p>
      <w:pPr>
        <w:ind w:left="260" w:right="439"/>
        <w:spacing w:after="0" w:line="253" w:lineRule="auto"/>
        <w:rPr>
          <w:sz w:val="20"/>
          <w:szCs w:val="20"/>
          <w:color w:val="auto"/>
        </w:rPr>
      </w:pPr>
      <w:r>
        <w:rPr>
          <w:rFonts w:ascii="Arial" w:cs="Arial" w:eastAsia="Arial" w:hAnsi="Arial"/>
          <w:sz w:val="18"/>
          <w:szCs w:val="18"/>
          <w:color w:val="auto"/>
        </w:rPr>
        <w:t>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91" w:lineRule="exact"/>
        <w:rPr>
          <w:sz w:val="20"/>
          <w:szCs w:val="20"/>
          <w:color w:val="auto"/>
        </w:rPr>
      </w:pPr>
    </w:p>
    <w:p>
      <w:pPr>
        <w:ind w:left="260" w:right="299" w:firstLine="216"/>
        <w:spacing w:after="0" w:line="289" w:lineRule="auto"/>
        <w:rPr>
          <w:sz w:val="20"/>
          <w:szCs w:val="20"/>
          <w:color w:val="auto"/>
        </w:rPr>
      </w:pPr>
      <w:r>
        <w:rPr>
          <w:rFonts w:ascii="Arial" w:cs="Arial" w:eastAsia="Arial" w:hAnsi="Arial"/>
          <w:sz w:val="16"/>
          <w:szCs w:val="16"/>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67" w:lineRule="exact"/>
        <w:rPr>
          <w:sz w:val="20"/>
          <w:szCs w:val="20"/>
          <w:color w:val="auto"/>
        </w:rPr>
      </w:pPr>
    </w:p>
    <w:p>
      <w:pPr>
        <w:ind w:left="260" w:right="379" w:firstLine="216"/>
        <w:spacing w:after="0" w:line="254" w:lineRule="auto"/>
        <w:rPr>
          <w:sz w:val="20"/>
          <w:szCs w:val="20"/>
          <w:color w:val="auto"/>
        </w:rPr>
      </w:pPr>
      <w:r>
        <w:rPr>
          <w:rFonts w:ascii="Arial" w:cs="Arial" w:eastAsia="Arial" w:hAnsi="Arial"/>
          <w:sz w:val="18"/>
          <w:szCs w:val="18"/>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w:t>
      </w:r>
    </w:p>
    <w:p>
      <w:pPr>
        <w:spacing w:after="0" w:line="192" w:lineRule="exact"/>
        <w:rPr>
          <w:sz w:val="20"/>
          <w:szCs w:val="20"/>
          <w:color w:val="auto"/>
        </w:rPr>
      </w:pPr>
    </w:p>
    <w:p>
      <w:pPr>
        <w:ind w:left="260" w:right="219" w:firstLine="216"/>
        <w:spacing w:after="0" w:line="285" w:lineRule="auto"/>
        <w:rPr>
          <w:sz w:val="20"/>
          <w:szCs w:val="20"/>
          <w:color w:val="auto"/>
        </w:rPr>
      </w:pPr>
      <w:r>
        <w:rPr>
          <w:rFonts w:ascii="Arial" w:cs="Arial" w:eastAsia="Arial" w:hAnsi="Arial"/>
          <w:sz w:val="16"/>
          <w:szCs w:val="16"/>
          <w:color w:val="auto"/>
        </w:rPr>
        <w:t>We were founded in 2002 in Israel, shipped our first system in 2005 and, as of September 30, 2014, had an installed base of over 1,200 systems globally. As of September 30, 2014, we had 254 employees located across four regions: Israel, the United States, Europe and the Asia Pacific region. For the fiscal year ended December 31, 2013, we generated revenues of $49.4 million, representing an increase of 26.1% over the prior fiscal year, and recorded net income of $1.1 million. In 2013, we generated 56.2% of our revenues from the Americas, 29.0% from EMEA and</w:t>
      </w:r>
    </w:p>
    <w:p>
      <w:pPr>
        <w:spacing w:after="0" w:line="2" w:lineRule="exact"/>
        <w:rPr>
          <w:sz w:val="20"/>
          <w:szCs w:val="20"/>
          <w:color w:val="auto"/>
        </w:rPr>
      </w:pPr>
    </w:p>
    <w:p>
      <w:pPr>
        <w:ind w:left="260" w:right="239"/>
        <w:spacing w:after="0" w:line="273" w:lineRule="auto"/>
        <w:rPr>
          <w:sz w:val="20"/>
          <w:szCs w:val="20"/>
          <w:color w:val="auto"/>
        </w:rPr>
      </w:pPr>
      <w:r>
        <w:rPr>
          <w:rFonts w:ascii="Arial" w:cs="Arial" w:eastAsia="Arial" w:hAnsi="Arial"/>
          <w:sz w:val="17"/>
          <w:szCs w:val="17"/>
          <w:color w:val="auto"/>
        </w:rPr>
        <w:t>14.8% from the Asia Pacific region. For the nine months ended September 30, 2014, we generated revenues of $47.5 million, representing a 38.9% increase compared to the nine months ended September 30, 2013, and recorded net income of $1.8 million. For the nine months ended September 30, 2014, we generated 54.1% of our revenues from the Americas, 29.3% from EMEA and 16.6% from the Asia Pacific region.</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left="260" w:right="259" w:firstLine="216"/>
        <w:spacing w:after="0" w:line="259"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by InfoTrends, a provider of market intelligence on the digital imaging industry. The global printed textile industry represents a sub-segment of the global textile industry. The global</w:t>
      </w:r>
    </w:p>
    <w:p>
      <w:pPr>
        <w:sectPr>
          <w:pgSz w:w="11900" w:h="16838" w:orient="portrait"/>
          <w:cols w:equalWidth="0" w:num="1">
            <w:col w:w="9019"/>
          </w:cols>
          <w:pgMar w:left="1440" w:top="405"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5" w:name="page6"/>
    <w:bookmarkEnd w:id="5"/>
    <w:p>
      <w:pPr>
        <w:jc w:val="both"/>
        <w:ind w:left="260" w:right="299"/>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5569585" cy="8365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9585" cy="8365490"/>
                    </a:xfrm>
                    <a:prstGeom prst="rect">
                      <a:avLst/>
                    </a:prstGeom>
                    <a:noFill/>
                  </pic:spPr>
                </pic:pic>
              </a:graphicData>
            </a:graphic>
          </wp:anchor>
        </w:drawing>
        <w:t>printed textile industry involves printing on fabric rolls, finished garments and unsewn pieces of cut fabric at various stages along the value chain in the production of goods for the apparel, household, technical and display end markets.</w:t>
      </w:r>
    </w:p>
    <w:p>
      <w:pPr>
        <w:spacing w:after="0" w:line="124" w:lineRule="exact"/>
        <w:rPr>
          <w:sz w:val="20"/>
          <w:szCs w:val="20"/>
          <w:color w:val="auto"/>
        </w:rPr>
      </w:pPr>
    </w:p>
    <w:p>
      <w:pPr>
        <w:ind w:left="260" w:right="259" w:firstLine="216"/>
        <w:spacing w:after="0" w:line="269" w:lineRule="auto"/>
        <w:rPr>
          <w:sz w:val="20"/>
          <w:szCs w:val="20"/>
          <w:color w:val="auto"/>
        </w:rPr>
      </w:pPr>
      <w:r>
        <w:rPr>
          <w:rFonts w:ascii="Arial" w:cs="Arial" w:eastAsia="Arial" w:hAnsi="Arial"/>
          <w:sz w:val="17"/>
          <w:szCs w:val="17"/>
          <w:color w:val="auto"/>
        </w:rPr>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digital textile printing output is forecasted to grow at approximately 20% per year globally for the foreseeable future. Within digital textile printing, clothing applications represent the greatest amount of digital printed textile output and are projected to grow at a faster rate than household, technical and display applications.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Solutions</w:t>
      </w:r>
    </w:p>
    <w:p>
      <w:pPr>
        <w:spacing w:after="0" w:line="216" w:lineRule="exact"/>
        <w:rPr>
          <w:sz w:val="20"/>
          <w:szCs w:val="20"/>
          <w:color w:val="auto"/>
        </w:rPr>
      </w:pPr>
    </w:p>
    <w:p>
      <w:pPr>
        <w:ind w:left="260" w:right="219" w:firstLine="216"/>
        <w:spacing w:after="0" w:line="297" w:lineRule="auto"/>
        <w:rPr>
          <w:sz w:val="20"/>
          <w:szCs w:val="20"/>
          <w:color w:val="auto"/>
        </w:rPr>
      </w:pPr>
      <w:r>
        <w:rPr>
          <w:rFonts w:ascii="Arial" w:cs="Arial" w:eastAsia="Arial" w:hAnsi="Arial"/>
          <w:sz w:val="16"/>
          <w:szCs w:val="16"/>
          <w:color w:val="auto"/>
        </w:rPr>
        <w:t>Our solutions include a combination of proprietary digital textile printing systems, ink and other consumables and associated software as well as value added services. 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172" w:lineRule="exact"/>
        <w:rPr>
          <w:sz w:val="20"/>
          <w:szCs w:val="20"/>
          <w:color w:val="auto"/>
        </w:rPr>
      </w:pPr>
    </w:p>
    <w:p>
      <w:pPr>
        <w:ind w:left="680" w:right="379" w:hanging="213"/>
        <w:spacing w:after="0" w:line="285" w:lineRule="auto"/>
        <w:tabs>
          <w:tab w:leader="none" w:pos="692" w:val="left"/>
        </w:tabs>
        <w:numPr>
          <w:ilvl w:val="0"/>
          <w:numId w:val="2"/>
        </w:numPr>
        <w:rPr>
          <w:rFonts w:ascii="Arial" w:cs="Arial" w:eastAsia="Arial" w:hAnsi="Arial"/>
          <w:sz w:val="19"/>
          <w:szCs w:val="19"/>
          <w:i w:val="1"/>
          <w:iCs w:val="1"/>
          <w:color w:val="auto"/>
        </w:rPr>
      </w:pPr>
      <w:r>
        <w:rPr>
          <w:rFonts w:ascii="Arial" w:cs="Arial" w:eastAsia="Arial" w:hAnsi="Arial"/>
          <w:sz w:val="16"/>
          <w:szCs w:val="16"/>
          <w:i w:val="1"/>
          <w:iCs w:val="1"/>
          <w:color w:val="auto"/>
        </w:rPr>
        <w:t>Entry Level</w:t>
      </w:r>
      <w:r>
        <w:rPr>
          <w:rFonts w:ascii="Arial" w:cs="Arial" w:eastAsia="Arial" w:hAnsi="Arial"/>
          <w:sz w:val="16"/>
          <w:szCs w:val="16"/>
          <w:color w:val="auto"/>
        </w:rPr>
        <w:t>. Our entry level systems consist of our Breeze and Thunder systems. The Breeze and Thunder</w:t>
      </w:r>
      <w:r>
        <w:rPr>
          <w:rFonts w:ascii="Arial" w:cs="Arial" w:eastAsia="Arial" w:hAnsi="Arial"/>
          <w:sz w:val="16"/>
          <w:szCs w:val="16"/>
          <w:i w:val="1"/>
          <w:iCs w:val="1"/>
          <w:color w:val="auto"/>
        </w:rPr>
        <w:t xml:space="preserve"> </w:t>
      </w:r>
      <w:r>
        <w:rPr>
          <w:rFonts w:ascii="Arial" w:cs="Arial" w:eastAsia="Arial" w:hAnsi="Arial"/>
          <w:sz w:val="16"/>
          <w:szCs w:val="16"/>
          <w:color w:val="auto"/>
        </w:rPr>
        <w:t>allow businesses to adopt digital technology with a limited upfront investment and use the same technology as our high throughput systems but with smaller garment printing areas and at lower throughput levels.</w:t>
      </w:r>
    </w:p>
    <w:p>
      <w:pPr>
        <w:spacing w:after="0" w:line="181" w:lineRule="exact"/>
        <w:rPr>
          <w:rFonts w:ascii="Arial" w:cs="Arial" w:eastAsia="Arial" w:hAnsi="Arial"/>
          <w:sz w:val="19"/>
          <w:szCs w:val="19"/>
          <w:i w:val="1"/>
          <w:iCs w:val="1"/>
          <w:color w:val="auto"/>
        </w:rPr>
      </w:pPr>
    </w:p>
    <w:p>
      <w:pPr>
        <w:jc w:val="both"/>
        <w:ind w:left="680" w:right="199" w:hanging="213"/>
        <w:spacing w:after="0" w:line="238" w:lineRule="auto"/>
        <w:tabs>
          <w:tab w:leader="none" w:pos="706" w:val="left"/>
        </w:tabs>
        <w:numPr>
          <w:ilvl w:val="0"/>
          <w:numId w:val="2"/>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w:t>
      </w:r>
      <w:r>
        <w:rPr>
          <w:rFonts w:ascii="Arial" w:cs="Arial" w:eastAsia="Arial" w:hAnsi="Arial"/>
          <w:sz w:val="18"/>
          <w:szCs w:val="18"/>
          <w:i w:val="1"/>
          <w:iCs w:val="1"/>
          <w:color w:val="auto"/>
        </w:rPr>
        <w:t xml:space="preserve"> </w:t>
      </w:r>
      <w:r>
        <w:rPr>
          <w:rFonts w:ascii="Arial" w:cs="Arial" w:eastAsia="Arial" w:hAnsi="Arial"/>
          <w:sz w:val="18"/>
          <w:szCs w:val="18"/>
          <w:color w:val="auto"/>
        </w:rPr>
        <w:t>and Paradigm II, offer high throughput printing capabilities and are designed for customers who conduct large scale printing of small runs of a variety of images and designs.</w:t>
      </w:r>
    </w:p>
    <w:p>
      <w:pPr>
        <w:spacing w:after="0" w:line="203" w:lineRule="exact"/>
        <w:rPr>
          <w:sz w:val="20"/>
          <w:szCs w:val="20"/>
          <w:color w:val="auto"/>
        </w:rPr>
      </w:pPr>
    </w:p>
    <w:p>
      <w:pPr>
        <w:ind w:left="260" w:right="299" w:firstLine="216"/>
        <w:spacing w:after="0" w:line="254"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enables us to print on a wide range of fabrics without the need for a separate pre-treatment process or system reconfiguration, resulting in minimal setup times for each run and high throughput levels. We are also investing in the development of new ink formulas for our new systems in order to expand the range of fabrics on which we can print and further improve the quality of our high resolution images and designs.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key competitive strengths:</w:t>
      </w:r>
    </w:p>
    <w:p>
      <w:pPr>
        <w:spacing w:after="0" w:line="248" w:lineRule="exact"/>
        <w:rPr>
          <w:sz w:val="20"/>
          <w:szCs w:val="20"/>
          <w:color w:val="auto"/>
        </w:rPr>
      </w:pPr>
    </w:p>
    <w:p>
      <w:pPr>
        <w:ind w:left="680" w:right="199" w:hanging="213"/>
        <w:spacing w:after="0" w:line="283" w:lineRule="auto"/>
        <w:tabs>
          <w:tab w:leader="none" w:pos="701" w:val="left"/>
        </w:tabs>
        <w:numPr>
          <w:ilvl w:val="0"/>
          <w:numId w:val="3"/>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Leading player in fast-growing digital DTG printing market. </w:t>
      </w:r>
      <w:r>
        <w:rPr>
          <w:rFonts w:ascii="Arial" w:cs="Arial" w:eastAsia="Arial" w:hAnsi="Arial"/>
          <w:sz w:val="16"/>
          <w:szCs w:val="16"/>
          <w:color w:val="auto"/>
        </w:rPr>
        <w:t>We are a leading player in the fast-growing</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195" w:lineRule="exact"/>
        <w:rPr>
          <w:rFonts w:ascii="Arial" w:cs="Arial" w:eastAsia="Arial" w:hAnsi="Arial"/>
          <w:sz w:val="19"/>
          <w:szCs w:val="19"/>
          <w:b w:val="1"/>
          <w:bCs w:val="1"/>
          <w:color w:val="auto"/>
        </w:rPr>
      </w:pPr>
    </w:p>
    <w:p>
      <w:pPr>
        <w:ind w:left="700" w:hanging="233"/>
        <w:spacing w:after="0"/>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6"/>
          <w:szCs w:val="16"/>
          <w:b w:val="1"/>
          <w:bCs w:val="1"/>
          <w:color w:val="auto"/>
        </w:rPr>
        <w:t>Disruptive technology that enables our customers to adopt new or improve existing business models.</w:t>
      </w:r>
    </w:p>
    <w:p>
      <w:pPr>
        <w:spacing w:after="0" w:line="18" w:lineRule="exact"/>
        <w:rPr>
          <w:sz w:val="20"/>
          <w:szCs w:val="20"/>
          <w:color w:val="auto"/>
        </w:rPr>
      </w:pPr>
    </w:p>
    <w:p>
      <w:pPr>
        <w:ind w:left="680" w:right="299"/>
        <w:spacing w:after="0" w:line="253" w:lineRule="auto"/>
        <w:rPr>
          <w:sz w:val="20"/>
          <w:szCs w:val="20"/>
          <w:color w:val="auto"/>
        </w:rPr>
      </w:pPr>
      <w:r>
        <w:rPr>
          <w:rFonts w:ascii="Arial" w:cs="Arial" w:eastAsia="Arial" w:hAnsi="Arial"/>
          <w:sz w:val="18"/>
          <w:szCs w:val="18"/>
          <w:color w:val="auto"/>
        </w:rPr>
        <w:t>Our digital printing solutions allow our customers to develop new or improve existing business models by enabling them to produce short to medium runs of high-quality customized garments efficiently. This facilitates online business models that manufacture on a “produce to order” basis and allows brand owners to produce garments in house.</w:t>
      </w:r>
    </w:p>
    <w:p>
      <w:pPr>
        <w:sectPr>
          <w:pgSz w:w="11900" w:h="16838" w:orient="portrait"/>
          <w:cols w:equalWidth="0" w:num="1">
            <w:col w:w="9019"/>
          </w:cols>
          <w:pgMar w:left="1440" w:top="409" w:right="1440"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type w:val="continuous"/>
        </w:sectPr>
      </w:pPr>
    </w:p>
    <w:bookmarkStart w:id="6" w:name="page7"/>
    <w:bookmarkEnd w:id="6"/>
    <w:p>
      <w:pPr>
        <w:ind w:left="680" w:right="299" w:hanging="213"/>
        <w:spacing w:after="0" w:line="285" w:lineRule="auto"/>
        <w:tabs>
          <w:tab w:leader="none" w:pos="692" w:val="left"/>
        </w:tabs>
        <w:numPr>
          <w:ilvl w:val="0"/>
          <w:numId w:val="4"/>
        </w:numPr>
        <w:rPr>
          <w:rFonts w:ascii="Arial" w:cs="Arial" w:eastAsia="Arial" w:hAnsi="Arial"/>
          <w:sz w:val="19"/>
          <w:szCs w:val="19"/>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5569585" cy="790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9585" cy="7902575"/>
                    </a:xfrm>
                    <a:prstGeom prst="rect">
                      <a:avLst/>
                    </a:prstGeom>
                    <a:noFill/>
                  </pic:spPr>
                </pic:pic>
              </a:graphicData>
            </a:graphic>
          </wp:anchor>
        </w:drawing>
        <w:t xml:space="preserve">Attractive business model. </w:t>
      </w:r>
      <w:r>
        <w:rPr>
          <w:rFonts w:ascii="Arial" w:cs="Arial" w:eastAsia="Arial" w:hAnsi="Arial"/>
          <w:sz w:val="16"/>
          <w:szCs w:val="16"/>
          <w:color w:val="auto"/>
        </w:rPr>
        <w:t>Our existing and growing installed base of systems results in recurring sales of</w:t>
      </w:r>
      <w:r>
        <w:rPr>
          <w:rFonts w:ascii="Arial" w:cs="Arial" w:eastAsia="Arial" w:hAnsi="Arial"/>
          <w:sz w:val="16"/>
          <w:szCs w:val="16"/>
          <w:b w:val="1"/>
          <w:bCs w:val="1"/>
          <w:color w:val="auto"/>
        </w:rPr>
        <w:t xml:space="preserve"> </w:t>
      </w:r>
      <w:r>
        <w:rPr>
          <w:rFonts w:ascii="Arial" w:cs="Arial" w:eastAsia="Arial" w:hAnsi="Arial"/>
          <w:sz w:val="16"/>
          <w:szCs w:val="16"/>
          <w:color w:val="auto"/>
        </w:rPr>
        <w:t>ink and other consumables. Recurring sales of ink and other consumables have historically offered us visibility into a significant component of our results of operations. We believe that our recurring sales model also enables us to foster close customer relationships and allows us to provide value added services to our customers.</w:t>
      </w:r>
    </w:p>
    <w:p>
      <w:pPr>
        <w:spacing w:after="0" w:line="179" w:lineRule="exact"/>
        <w:rPr>
          <w:rFonts w:ascii="Arial" w:cs="Arial" w:eastAsia="Arial" w:hAnsi="Arial"/>
          <w:sz w:val="19"/>
          <w:szCs w:val="19"/>
          <w:color w:val="auto"/>
        </w:rPr>
      </w:pPr>
    </w:p>
    <w:p>
      <w:pPr>
        <w:jc w:val="both"/>
        <w:ind w:left="680" w:right="459" w:hanging="213"/>
        <w:spacing w:after="0" w:line="239" w:lineRule="auto"/>
        <w:tabs>
          <w:tab w:leader="none" w:pos="692"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reflects over a decade of significant investments in digital textile printing, which we believe creates significant barriers to entry.</w:t>
      </w:r>
    </w:p>
    <w:p>
      <w:pPr>
        <w:spacing w:after="0" w:line="213" w:lineRule="exact"/>
        <w:rPr>
          <w:rFonts w:ascii="Arial" w:cs="Arial" w:eastAsia="Arial" w:hAnsi="Arial"/>
          <w:sz w:val="22"/>
          <w:szCs w:val="22"/>
          <w:b w:val="1"/>
          <w:bCs w:val="1"/>
          <w:color w:val="auto"/>
        </w:rPr>
      </w:pPr>
    </w:p>
    <w:p>
      <w:pPr>
        <w:ind w:left="680" w:right="499" w:hanging="213"/>
        <w:spacing w:after="0" w:line="285" w:lineRule="auto"/>
        <w:tabs>
          <w:tab w:leader="none" w:pos="692" w:val="left"/>
        </w:tabs>
        <w:numPr>
          <w:ilvl w:val="0"/>
          <w:numId w:val="4"/>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Extensive product portfolio and strong new product pipeline. </w:t>
      </w:r>
      <w:r>
        <w:rPr>
          <w:rFonts w:ascii="Arial" w:cs="Arial" w:eastAsia="Arial" w:hAnsi="Arial"/>
          <w:sz w:val="16"/>
          <w:szCs w:val="16"/>
          <w:color w:val="auto"/>
        </w:rPr>
        <w:t>Our DTG systems are suited for smaller</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operators with limited budgets, as well as mass producers with mature operations and complex needs. In addition, we plan to introduce two new solutions to market: the Allegro, a one-step, integrated R2R printing and drying system, and the Vulcan, a cost-effective digital substitution for carousel screen printing.</w:t>
      </w:r>
    </w:p>
    <w:p>
      <w:pPr>
        <w:spacing w:after="0" w:line="179" w:lineRule="exact"/>
        <w:rPr>
          <w:rFonts w:ascii="Arial" w:cs="Arial" w:eastAsia="Arial" w:hAnsi="Arial"/>
          <w:sz w:val="19"/>
          <w:szCs w:val="19"/>
          <w:b w:val="1"/>
          <w:bCs w:val="1"/>
          <w:color w:val="auto"/>
        </w:rPr>
      </w:pPr>
    </w:p>
    <w:p>
      <w:pPr>
        <w:ind w:left="680" w:right="279" w:hanging="213"/>
        <w:spacing w:after="0" w:line="260" w:lineRule="auto"/>
        <w:tabs>
          <w:tab w:leader="none" w:pos="692" w:val="left"/>
        </w:tabs>
        <w:numPr>
          <w:ilvl w:val="0"/>
          <w:numId w:val="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Environmentally friendly printing processes. </w:t>
      </w:r>
      <w:r>
        <w:rPr>
          <w:rFonts w:ascii="Arial" w:cs="Arial" w:eastAsia="Arial" w:hAnsi="Arial"/>
          <w:sz w:val="17"/>
          <w:szCs w:val="17"/>
          <w:color w:val="auto"/>
        </w:rPr>
        <w:t>A significant portion of global industrial water pollution</w:t>
      </w:r>
      <w:r>
        <w:rPr>
          <w:rFonts w:ascii="Arial" w:cs="Arial" w:eastAsia="Arial" w:hAnsi="Arial"/>
          <w:sz w:val="17"/>
          <w:szCs w:val="17"/>
          <w:b w:val="1"/>
          <w:bCs w:val="1"/>
          <w:color w:val="auto"/>
        </w:rPr>
        <w:t xml:space="preserve"> </w:t>
      </w:r>
      <w:r>
        <w:rPr>
          <w:rFonts w:ascii="Arial" w:cs="Arial" w:eastAsia="Arial" w:hAnsi="Arial"/>
          <w:sz w:val="17"/>
          <w:szCs w:val="17"/>
          <w:color w:val="auto"/>
        </w:rPr>
        <w:t>comes from textile treatment and dyeing. Our printing process eliminates the need for separate pre-treatment, as well as steaming, washing or rinsing of textiles during the printing process, which leads to a significant reduction in water consumption compared to conventional printing methods.</w:t>
      </w:r>
    </w:p>
    <w:p>
      <w:pPr>
        <w:sectPr>
          <w:pgSz w:w="11900" w:h="16838" w:orient="portrait"/>
          <w:cols w:equalWidth="0" w:num="1">
            <w:col w:w="9019"/>
          </w:cols>
          <w:pgMar w:left="1440" w:top="648" w:right="1440" w:bottom="1440" w:gutter="0" w:footer="0" w:header="0"/>
        </w:sectPr>
      </w:pPr>
    </w:p>
    <w:p>
      <w:pPr>
        <w:spacing w:after="0" w:line="197" w:lineRule="exact"/>
        <w:rPr>
          <w:sz w:val="20"/>
          <w:szCs w:val="20"/>
          <w:color w:val="auto"/>
        </w:rPr>
      </w:pPr>
    </w:p>
    <w:p>
      <w:pPr>
        <w:jc w:val="both"/>
        <w:ind w:left="680" w:hanging="213"/>
        <w:spacing w:after="0" w:line="239" w:lineRule="auto"/>
        <w:tabs>
          <w:tab w:leader="none" w:pos="746" w:val="left"/>
        </w:tabs>
        <w:numPr>
          <w:ilvl w:val="0"/>
          <w:numId w:val="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Experienced management team. </w:t>
      </w:r>
      <w:r>
        <w:rPr>
          <w:rFonts w:ascii="Arial" w:cs="Arial" w:eastAsia="Arial" w:hAnsi="Arial"/>
          <w:sz w:val="18"/>
          <w:szCs w:val="18"/>
          <w:color w:val="auto"/>
        </w:rPr>
        <w:t>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company and extensive experience in execute our growth strategy.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99" w:firstLine="8"/>
        <w:spacing w:after="0" w:line="342" w:lineRule="auto"/>
        <w:rPr>
          <w:sz w:val="20"/>
          <w:szCs w:val="20"/>
          <w:color w:val="auto"/>
        </w:rPr>
      </w:pPr>
      <w:r>
        <w:rPr>
          <w:rFonts w:ascii="Arial" w:cs="Arial" w:eastAsia="Arial" w:hAnsi="Arial"/>
          <w:sz w:val="16"/>
          <w:szCs w:val="16"/>
          <w:color w:val="auto"/>
        </w:rPr>
        <w:t>that our management teams’ industry expertise, long history running global publicly traded companies will enable us to</w:t>
      </w:r>
    </w:p>
    <w:p>
      <w:pPr>
        <w:spacing w:after="0" w:line="335" w:lineRule="exact"/>
        <w:rPr>
          <w:sz w:val="20"/>
          <w:szCs w:val="20"/>
          <w:color w:val="auto"/>
        </w:rPr>
      </w:pPr>
    </w:p>
    <w:p>
      <w:pPr>
        <w:sectPr>
          <w:pgSz w:w="11900" w:h="16838" w:orient="portrait"/>
          <w:cols w:equalWidth="0" w:num="2">
            <w:col w:w="4260" w:space="60"/>
            <w:col w:w="4699"/>
          </w:cols>
          <w:pgMar w:left="1440" w:top="648" w:right="1440" w:bottom="1440" w:gutter="0" w:footer="0" w:header="0"/>
          <w:type w:val="continuous"/>
        </w:sectPr>
      </w:pPr>
    </w:p>
    <w:p>
      <w:pPr>
        <w:ind w:left="2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16" w:lineRule="exact"/>
        <w:rPr>
          <w:sz w:val="20"/>
          <w:szCs w:val="20"/>
          <w:color w:val="auto"/>
        </w:rPr>
      </w:pPr>
    </w:p>
    <w:p>
      <w:pPr>
        <w:ind w:left="700" w:hanging="233"/>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18"/>
          <w:szCs w:val="18"/>
          <w:color w:val="auto"/>
        </w:rPr>
        <w:t>capitalize on continued growth of the digital DTG market;</w:t>
      </w:r>
    </w:p>
    <w:p>
      <w:pPr>
        <w:spacing w:after="0" w:line="192" w:lineRule="exact"/>
        <w:rPr>
          <w:rFonts w:ascii="Arial" w:cs="Arial" w:eastAsia="Arial" w:hAnsi="Arial"/>
          <w:sz w:val="22"/>
          <w:szCs w:val="22"/>
          <w:color w:val="auto"/>
        </w:rPr>
      </w:pPr>
    </w:p>
    <w:p>
      <w:pPr>
        <w:ind w:left="700" w:hanging="233"/>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18"/>
          <w:szCs w:val="18"/>
          <w:color w:val="auto"/>
        </w:rPr>
        <w:t>focus on fast-growing web-to-print businesses;</w:t>
      </w:r>
    </w:p>
    <w:p>
      <w:pPr>
        <w:spacing w:after="0" w:line="215" w:lineRule="exact"/>
        <w:rPr>
          <w:rFonts w:ascii="Arial" w:cs="Arial" w:eastAsia="Arial" w:hAnsi="Arial"/>
          <w:sz w:val="22"/>
          <w:szCs w:val="22"/>
          <w:color w:val="auto"/>
        </w:rPr>
      </w:pPr>
    </w:p>
    <w:p>
      <w:pPr>
        <w:ind w:left="700" w:hanging="233"/>
        <w:spacing w:after="0"/>
        <w:tabs>
          <w:tab w:leader="none" w:pos="700" w:val="left"/>
        </w:tabs>
        <w:numPr>
          <w:ilvl w:val="0"/>
          <w:numId w:val="6"/>
        </w:numPr>
        <w:rPr>
          <w:rFonts w:ascii="Arial" w:cs="Arial" w:eastAsia="Arial" w:hAnsi="Arial"/>
          <w:sz w:val="19"/>
          <w:szCs w:val="19"/>
          <w:color w:val="auto"/>
        </w:rPr>
      </w:pPr>
      <w:r>
        <w:rPr>
          <w:rFonts w:ascii="Arial" w:cs="Arial" w:eastAsia="Arial" w:hAnsi="Arial"/>
          <w:sz w:val="16"/>
          <w:szCs w:val="16"/>
          <w:color w:val="auto"/>
        </w:rPr>
        <w:t>drive adoption of digital DTG printing solutions by customers who primarily use screen printing carousels; and</w:t>
      </w:r>
    </w:p>
    <w:p>
      <w:pPr>
        <w:spacing w:after="0" w:line="227" w:lineRule="exact"/>
        <w:rPr>
          <w:rFonts w:ascii="Arial" w:cs="Arial" w:eastAsia="Arial" w:hAnsi="Arial"/>
          <w:sz w:val="19"/>
          <w:szCs w:val="19"/>
          <w:color w:val="auto"/>
        </w:rPr>
      </w:pPr>
    </w:p>
    <w:p>
      <w:pPr>
        <w:ind w:left="680" w:right="199" w:hanging="213"/>
        <w:spacing w:after="0" w:line="232" w:lineRule="auto"/>
        <w:tabs>
          <w:tab w:leader="none" w:pos="692" w:val="left"/>
        </w:tabs>
        <w:numPr>
          <w:ilvl w:val="0"/>
          <w:numId w:val="6"/>
        </w:numPr>
        <w:rPr>
          <w:rFonts w:ascii="Arial" w:cs="Arial" w:eastAsia="Arial" w:hAnsi="Arial"/>
          <w:sz w:val="22"/>
          <w:szCs w:val="22"/>
          <w:color w:val="auto"/>
        </w:rPr>
      </w:pPr>
      <w:r>
        <w:rPr>
          <w:rFonts w:ascii="Arial" w:cs="Arial" w:eastAsia="Arial" w:hAnsi="Arial"/>
          <w:sz w:val="18"/>
          <w:szCs w:val="18"/>
          <w:color w:val="auto"/>
        </w:rPr>
        <w:t>extend our technological leadership through ongoing research and development and continuing to introduce new products.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ind w:left="260" w:right="299" w:firstLine="216"/>
        <w:spacing w:after="0" w:line="276" w:lineRule="auto"/>
        <w:rPr>
          <w:sz w:val="20"/>
          <w:szCs w:val="20"/>
          <w:color w:val="auto"/>
        </w:rPr>
      </w:pPr>
      <w:r>
        <w:rPr>
          <w:rFonts w:ascii="Arial" w:cs="Arial" w:eastAsia="Arial" w:hAnsi="Arial"/>
          <w:sz w:val="17"/>
          <w:szCs w:val="17"/>
          <w:color w:val="auto"/>
        </w:rPr>
        <w:t>Investing in our ordinary shares involves risks. You should carefully consider the risks described in “Risk Factors” section beginning on page 9 before making a decision to invest in our ordinary shares. If any of these risks actually occur,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186" w:lineRule="exact"/>
        <w:rPr>
          <w:sz w:val="20"/>
          <w:szCs w:val="20"/>
          <w:color w:val="auto"/>
        </w:rPr>
      </w:pPr>
    </w:p>
    <w:p>
      <w:pPr>
        <w:ind w:left="680" w:right="319"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the market for digital textile printing does not develop as we anticipate, our sales may not grow as quickly as expected and our share price could decline.</w:t>
      </w:r>
    </w:p>
    <w:p>
      <w:pPr>
        <w:spacing w:after="0" w:line="217" w:lineRule="exact"/>
        <w:rPr>
          <w:rFonts w:ascii="Arial" w:cs="Arial" w:eastAsia="Arial" w:hAnsi="Arial"/>
          <w:sz w:val="22"/>
          <w:szCs w:val="22"/>
          <w:color w:val="auto"/>
        </w:rPr>
      </w:pPr>
    </w:p>
    <w:p>
      <w:pPr>
        <w:ind w:left="680" w:right="799"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our customers use alternative ink or other consumables in our systems, our gross margin could decline significantly, and our business could be harmed.</w:t>
      </w:r>
    </w:p>
    <w:p>
      <w:pPr>
        <w:spacing w:after="0" w:line="206" w:lineRule="exact"/>
        <w:rPr>
          <w:rFonts w:ascii="Arial" w:cs="Arial" w:eastAsia="Arial" w:hAnsi="Arial"/>
          <w:sz w:val="22"/>
          <w:szCs w:val="22"/>
          <w:color w:val="auto"/>
        </w:rPr>
      </w:pPr>
    </w:p>
    <w:p>
      <w:pPr>
        <w:ind w:left="700" w:hanging="233"/>
        <w:spacing w:after="0"/>
        <w:tabs>
          <w:tab w:leader="none" w:pos="700" w:val="left"/>
        </w:tabs>
        <w:numPr>
          <w:ilvl w:val="0"/>
          <w:numId w:val="7"/>
        </w:numPr>
        <w:rPr>
          <w:rFonts w:ascii="Arial" w:cs="Arial" w:eastAsia="Arial" w:hAnsi="Arial"/>
          <w:sz w:val="21"/>
          <w:szCs w:val="21"/>
          <w:color w:val="auto"/>
        </w:rPr>
      </w:pPr>
      <w:r>
        <w:rPr>
          <w:rFonts w:ascii="Arial" w:cs="Arial" w:eastAsia="Arial" w:hAnsi="Arial"/>
          <w:sz w:val="17"/>
          <w:szCs w:val="17"/>
          <w:color w:val="auto"/>
        </w:rPr>
        <w:t>Our failure to compete successfully could cause our revenues and demand for our solutions to decline.</w:t>
      </w:r>
    </w:p>
    <w:p>
      <w:pPr>
        <w:spacing w:after="0" w:line="215" w:lineRule="exact"/>
        <w:rPr>
          <w:rFonts w:ascii="Arial" w:cs="Arial" w:eastAsia="Arial" w:hAnsi="Arial"/>
          <w:sz w:val="21"/>
          <w:szCs w:val="21"/>
          <w:color w:val="auto"/>
        </w:rPr>
      </w:pPr>
    </w:p>
    <w:p>
      <w:pPr>
        <w:ind w:left="680" w:right="439" w:hanging="213"/>
        <w:spacing w:after="0" w:line="297" w:lineRule="auto"/>
        <w:tabs>
          <w:tab w:leader="none" w:pos="701" w:val="left"/>
        </w:tabs>
        <w:numPr>
          <w:ilvl w:val="0"/>
          <w:numId w:val="7"/>
        </w:numPr>
        <w:rPr>
          <w:rFonts w:ascii="Arial" w:cs="Arial" w:eastAsia="Arial" w:hAnsi="Arial"/>
          <w:sz w:val="19"/>
          <w:szCs w:val="19"/>
          <w:color w:val="auto"/>
        </w:rPr>
      </w:pPr>
      <w:r>
        <w:rPr>
          <w:rFonts w:ascii="Arial" w:cs="Arial" w:eastAsia="Arial" w:hAnsi="Arial"/>
          <w:sz w:val="16"/>
          <w:szCs w:val="16"/>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type w:val="continuous"/>
        </w:sectPr>
      </w:pPr>
    </w:p>
    <w:bookmarkStart w:id="7" w:name="page8"/>
    <w:bookmarkEnd w:id="7"/>
    <w:p>
      <w:pPr>
        <w:ind w:left="680" w:right="379" w:hanging="213"/>
        <w:spacing w:after="0" w:line="232" w:lineRule="auto"/>
        <w:tabs>
          <w:tab w:leader="none" w:pos="692" w:val="left"/>
        </w:tabs>
        <w:numPr>
          <w:ilvl w:val="0"/>
          <w:numId w:val="8"/>
        </w:numPr>
        <w:rPr>
          <w:rFonts w:ascii="Arial" w:cs="Arial" w:eastAsia="Arial" w:hAnsi="Arial"/>
          <w:sz w:val="22"/>
          <w:szCs w:val="22"/>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5569585" cy="6350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69585" cy="6350000"/>
                    </a:xfrm>
                    <a:prstGeom prst="rect">
                      <a:avLst/>
                    </a:prstGeom>
                    <a:noFill/>
                  </pic:spPr>
                </pic:pic>
              </a:graphicData>
            </a:graphic>
          </wp:anchor>
        </w:drawing>
        <w:t>Our quarterly results of operations have fluctuated in the past and may fluctuate in the future due to variability in our revenues.</w:t>
      </w:r>
    </w:p>
    <w:p>
      <w:pPr>
        <w:spacing w:after="0" w:line="217" w:lineRule="exact"/>
        <w:rPr>
          <w:rFonts w:ascii="Arial" w:cs="Arial" w:eastAsia="Arial" w:hAnsi="Arial"/>
          <w:sz w:val="22"/>
          <w:szCs w:val="22"/>
          <w:color w:val="auto"/>
        </w:rPr>
      </w:pPr>
    </w:p>
    <w:p>
      <w:pPr>
        <w:ind w:left="680" w:right="239" w:hanging="213"/>
        <w:spacing w:after="0" w:line="232" w:lineRule="auto"/>
        <w:tabs>
          <w:tab w:leader="none" w:pos="692" w:val="left"/>
        </w:tabs>
        <w:numPr>
          <w:ilvl w:val="0"/>
          <w:numId w:val="8"/>
        </w:numPr>
        <w:rPr>
          <w:rFonts w:ascii="Arial" w:cs="Arial" w:eastAsia="Arial" w:hAnsi="Arial"/>
          <w:sz w:val="22"/>
          <w:szCs w:val="22"/>
          <w:color w:val="auto"/>
        </w:rPr>
      </w:pPr>
      <w:r>
        <w:rPr>
          <w:rFonts w:ascii="Arial" w:cs="Arial" w:eastAsia="Arial" w:hAnsi="Arial"/>
          <w:sz w:val="18"/>
          <w:szCs w:val="18"/>
          <w:color w:val="auto"/>
        </w:rPr>
        <w:t>If our relationships with suppliers, especially with single source suppliers of components, were to terminate, our business could be harmed.</w:t>
      </w:r>
    </w:p>
    <w:p>
      <w:pPr>
        <w:spacing w:after="0" w:line="217" w:lineRule="exact"/>
        <w:rPr>
          <w:rFonts w:ascii="Arial" w:cs="Arial" w:eastAsia="Arial" w:hAnsi="Arial"/>
          <w:sz w:val="22"/>
          <w:szCs w:val="22"/>
          <w:color w:val="auto"/>
        </w:rPr>
      </w:pPr>
    </w:p>
    <w:p>
      <w:pPr>
        <w:ind w:left="680" w:right="419" w:hanging="213"/>
        <w:spacing w:after="0" w:line="232" w:lineRule="auto"/>
        <w:tabs>
          <w:tab w:leader="none" w:pos="692" w:val="left"/>
        </w:tabs>
        <w:numPr>
          <w:ilvl w:val="0"/>
          <w:numId w:val="8"/>
        </w:numPr>
        <w:rPr>
          <w:rFonts w:ascii="Arial" w:cs="Arial" w:eastAsia="Arial" w:hAnsi="Arial"/>
          <w:sz w:val="22"/>
          <w:szCs w:val="22"/>
          <w:color w:val="auto"/>
        </w:rPr>
      </w:pPr>
      <w:r>
        <w:rPr>
          <w:rFonts w:ascii="Arial" w:cs="Arial" w:eastAsia="Arial" w:hAnsi="Arial"/>
          <w:sz w:val="18"/>
          <w:szCs w:val="18"/>
          <w:color w:val="auto"/>
        </w:rPr>
        <w:t>If we cannot successfully market our systems to major brand owners and fashion designers, our future growth and prospects could be harmed.</w:t>
      </w:r>
    </w:p>
    <w:p>
      <w:pPr>
        <w:spacing w:after="0" w:line="217" w:lineRule="exact"/>
        <w:rPr>
          <w:rFonts w:ascii="Arial" w:cs="Arial" w:eastAsia="Arial" w:hAnsi="Arial"/>
          <w:sz w:val="22"/>
          <w:szCs w:val="22"/>
          <w:color w:val="auto"/>
        </w:rPr>
      </w:pPr>
    </w:p>
    <w:p>
      <w:pPr>
        <w:ind w:left="680" w:right="379" w:hanging="213"/>
        <w:spacing w:after="0" w:line="232" w:lineRule="auto"/>
        <w:tabs>
          <w:tab w:leader="none" w:pos="692" w:val="left"/>
        </w:tabs>
        <w:numPr>
          <w:ilvl w:val="0"/>
          <w:numId w:val="8"/>
        </w:numPr>
        <w:rPr>
          <w:rFonts w:ascii="Arial" w:cs="Arial" w:eastAsia="Arial" w:hAnsi="Arial"/>
          <w:sz w:val="22"/>
          <w:szCs w:val="22"/>
          <w:color w:val="auto"/>
        </w:rPr>
      </w:pPr>
      <w:r>
        <w:rPr>
          <w:rFonts w:ascii="Arial" w:cs="Arial" w:eastAsia="Arial" w:hAnsi="Arial"/>
          <w:sz w:val="18"/>
          <w:szCs w:val="18"/>
          <w:color w:val="auto"/>
        </w:rPr>
        <w:t>Disruption of operations at our manufacturing site or those of third-party manufacturers could prevent us from filling customer orders on a timely basis.</w:t>
      </w:r>
    </w:p>
    <w:p>
      <w:pPr>
        <w:spacing w:after="0" w:line="217" w:lineRule="exact"/>
        <w:rPr>
          <w:rFonts w:ascii="Arial" w:cs="Arial" w:eastAsia="Arial" w:hAnsi="Arial"/>
          <w:sz w:val="22"/>
          <w:szCs w:val="22"/>
          <w:color w:val="auto"/>
        </w:rPr>
      </w:pPr>
    </w:p>
    <w:p>
      <w:pPr>
        <w:ind w:left="680" w:right="859" w:hanging="213"/>
        <w:spacing w:after="0" w:line="232" w:lineRule="auto"/>
        <w:tabs>
          <w:tab w:leader="none" w:pos="692" w:val="left"/>
        </w:tabs>
        <w:numPr>
          <w:ilvl w:val="0"/>
          <w:numId w:val="8"/>
        </w:numPr>
        <w:rPr>
          <w:rFonts w:ascii="Arial" w:cs="Arial" w:eastAsia="Arial" w:hAnsi="Arial"/>
          <w:sz w:val="22"/>
          <w:szCs w:val="22"/>
          <w:color w:val="auto"/>
        </w:rPr>
      </w:pPr>
      <w:r>
        <w:rPr>
          <w:rFonts w:ascii="Arial" w:cs="Arial" w:eastAsia="Arial" w:hAnsi="Arial"/>
          <w:sz w:val="18"/>
          <w:szCs w:val="18"/>
          <w:color w:val="auto"/>
        </w:rPr>
        <w:t>We may not be able to introduce new systems or other technological enhancements to the market on the timescales that we project.</w:t>
      </w:r>
    </w:p>
    <w:p>
      <w:pPr>
        <w:spacing w:after="0" w:line="217" w:lineRule="exact"/>
        <w:rPr>
          <w:rFonts w:ascii="Arial" w:cs="Arial" w:eastAsia="Arial" w:hAnsi="Arial"/>
          <w:sz w:val="22"/>
          <w:szCs w:val="22"/>
          <w:color w:val="auto"/>
        </w:rPr>
      </w:pPr>
    </w:p>
    <w:p>
      <w:pPr>
        <w:ind w:left="680" w:right="199" w:hanging="213"/>
        <w:spacing w:after="0" w:line="232" w:lineRule="auto"/>
        <w:tabs>
          <w:tab w:leader="none" w:pos="706"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Allegro system, which we expect to launch commercially in the next 18 months, may not achieve market acceptance or gain adequate market share.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Principal Shareholder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closing of this offering, entities affiliated with Fortissimo Capital Fund II (Israel) L.P. will</w:t>
      </w:r>
    </w:p>
    <w:p>
      <w:pPr>
        <w:spacing w:after="0" w:line="23" w:lineRule="exact"/>
        <w:rPr>
          <w:sz w:val="20"/>
          <w:szCs w:val="20"/>
          <w:color w:val="auto"/>
        </w:rPr>
      </w:pPr>
    </w:p>
    <w:p>
      <w:pPr>
        <w:ind w:left="260" w:right="259"/>
        <w:spacing w:after="0" w:line="254" w:lineRule="auto"/>
        <w:rPr>
          <w:sz w:val="20"/>
          <w:szCs w:val="20"/>
          <w:color w:val="auto"/>
        </w:rPr>
      </w:pPr>
      <w:r>
        <w:rPr>
          <w:rFonts w:ascii="Arial" w:cs="Arial" w:eastAsia="Arial" w:hAnsi="Arial"/>
          <w:sz w:val="18"/>
          <w:szCs w:val="18"/>
          <w:color w:val="auto"/>
        </w:rPr>
        <w:t>beneficially own % of our outstanding shares in the aggregate (or % if the underwriters exercise in full their option to purchase additional shares). Following the closing of this offering, we will not be a party to and are not otherwise aware of any voting agreement among our shareholders. For further information about the ownership of our ordinary shares following this offering, see “Principal Shareholders.”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260" w:right="279" w:firstLine="216"/>
        <w:spacing w:after="0" w:line="272" w:lineRule="auto"/>
        <w:rPr>
          <w:sz w:val="20"/>
          <w:szCs w:val="20"/>
          <w:color w:val="auto"/>
        </w:rPr>
      </w:pPr>
      <w:r>
        <w:rPr>
          <w:rFonts w:ascii="Arial" w:cs="Arial" w:eastAsia="Arial" w:hAnsi="Arial"/>
          <w:sz w:val="17"/>
          <w:szCs w:val="17"/>
          <w:color w:val="auto"/>
        </w:rPr>
        <w:t>We were incorporated under the laws of the State of Israel on January 16, 2002. Our principal executive offices are located at 12 Ha’Amal Street, Rosh Ha’Ayin 4809246, Israel, and our telephone number is +972-3-908-5800. Our website address is www.kornit.com. The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Kornit Digital North America Inc., located at 10541-10601 North Commerce Street, Mequon, Wisconsin 53092, and its telephone number is (262) 518-0200.</w:t>
      </w:r>
    </w:p>
    <w:p>
      <w:pPr>
        <w:spacing w:after="0" w:line="178" w:lineRule="exact"/>
        <w:rPr>
          <w:sz w:val="20"/>
          <w:szCs w:val="20"/>
          <w:color w:val="auto"/>
        </w:rPr>
      </w:pPr>
    </w:p>
    <w:p>
      <w:pPr>
        <w:ind w:left="260" w:right="299" w:firstLine="216"/>
        <w:spacing w:after="0" w:line="299" w:lineRule="auto"/>
        <w:rPr>
          <w:sz w:val="20"/>
          <w:szCs w:val="20"/>
          <w:color w:val="auto"/>
        </w:rPr>
      </w:pPr>
      <w:r>
        <w:rPr>
          <w:rFonts w:ascii="Arial" w:cs="Arial" w:eastAsia="Arial" w:hAnsi="Arial"/>
          <w:sz w:val="16"/>
          <w:szCs w:val="16"/>
          <w:color w:val="auto"/>
        </w:rPr>
        <w:t>Throughout this prospectus, we refer to various trademarks, service marks and trade names that we use in our business. The “Kornit Digital” design logo and other trademarks or service marks of Kornit Digital Ltd. appearing in this prospectus are the property of Kornit Digital Ltd. We have several other registered trademarks, service marks and</w:t>
      </w:r>
    </w:p>
    <w:p>
      <w:pPr>
        <w:spacing w:after="0" w:line="1" w:lineRule="exact"/>
        <w:rPr>
          <w:sz w:val="20"/>
          <w:szCs w:val="20"/>
          <w:color w:val="auto"/>
        </w:rPr>
      </w:pPr>
    </w:p>
    <w:p>
      <w:pPr>
        <w:ind w:left="260" w:right="299"/>
        <w:spacing w:after="0" w:line="263" w:lineRule="auto"/>
        <w:rPr>
          <w:sz w:val="20"/>
          <w:szCs w:val="20"/>
          <w:color w:val="auto"/>
        </w:rPr>
      </w:pPr>
      <w:r>
        <w:rPr>
          <w:rFonts w:ascii="Arial" w:cs="Arial" w:eastAsia="Arial" w:hAnsi="Arial"/>
          <w:sz w:val="17"/>
          <w:szCs w:val="17"/>
          <w:color w:val="auto"/>
        </w:rPr>
        <w:t>pending applications relating to our solutions. Although we have omitted the “</w:t>
      </w:r>
      <w:r>
        <w:rPr>
          <w:rFonts w:ascii="Arial" w:cs="Arial" w:eastAsia="Arial" w:hAnsi="Arial"/>
          <w:sz w:val="20"/>
          <w:szCs w:val="20"/>
          <w:color w:val="auto"/>
          <w:vertAlign w:val="superscript"/>
        </w:rPr>
        <w:t>®</w:t>
      </w:r>
      <w:r>
        <w:rPr>
          <w:rFonts w:ascii="Arial" w:cs="Arial" w:eastAsia="Arial" w:hAnsi="Arial"/>
          <w:sz w:val="17"/>
          <w:szCs w:val="17"/>
          <w:color w:val="auto"/>
        </w:rPr>
        <w:t>” and “™” trademark designations for such marks in this prospectus, all rights to such trademarks are nevertheless reserved. Other trademarks and service marks appearing in this prospectus are the property of their respective holders.</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8" w:name="page9"/>
    <w:bookmarkEnd w:id="8"/>
    <w:tbl>
      <w:tblPr>
        <w:tblLayout w:type="fixed"/>
        <w:tblInd w:w="26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040" w:type="dxa"/>
            <w:vAlign w:val="bottom"/>
          </w:tcPr>
          <w:p>
            <w:pPr>
              <w:ind w:left="980"/>
              <w:spacing w:after="0"/>
              <w:rPr>
                <w:sz w:val="20"/>
                <w:szCs w:val="20"/>
                <w:color w:val="auto"/>
              </w:rPr>
            </w:pPr>
            <w:r>
              <w:rPr>
                <w:rFonts w:ascii="Arial" w:cs="Arial" w:eastAsia="Arial" w:hAnsi="Arial"/>
                <w:sz w:val="18"/>
                <w:szCs w:val="18"/>
                <w:b w:val="1"/>
                <w:bCs w:val="1"/>
                <w:color w:val="auto"/>
                <w:w w:val="97"/>
              </w:rPr>
              <w:t>The Offering</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Ordinary shares we are offering</w:t>
            </w:r>
          </w:p>
        </w:tc>
        <w:tc>
          <w:tcPr>
            <w:tcW w:w="2620" w:type="dxa"/>
            <w:vAlign w:val="bottom"/>
            <w:gridSpan w:val="2"/>
          </w:tcPr>
          <w:p>
            <w:pPr>
              <w:ind w:left="940"/>
              <w:spacing w:after="0"/>
              <w:rPr>
                <w:sz w:val="20"/>
                <w:szCs w:val="20"/>
                <w:color w:val="auto"/>
              </w:rPr>
            </w:pPr>
            <w:r>
              <w:rPr>
                <w:rFonts w:ascii="Arial" w:cs="Arial" w:eastAsia="Arial" w:hAnsi="Arial"/>
                <w:sz w:val="18"/>
                <w:szCs w:val="18"/>
                <w:color w:val="auto"/>
              </w:rPr>
              <w:t>ordinary shares (or</w:t>
            </w:r>
          </w:p>
        </w:tc>
        <w:tc>
          <w:tcPr>
            <w:tcW w:w="3120" w:type="dxa"/>
            <w:vAlign w:val="bottom"/>
            <w:gridSpan w:val="2"/>
          </w:tcPr>
          <w:p>
            <w:pPr>
              <w:ind w:left="340"/>
              <w:spacing w:after="0"/>
              <w:rPr>
                <w:sz w:val="20"/>
                <w:szCs w:val="20"/>
                <w:color w:val="auto"/>
              </w:rPr>
            </w:pPr>
            <w:r>
              <w:rPr>
                <w:rFonts w:ascii="Arial" w:cs="Arial" w:eastAsia="Arial" w:hAnsi="Arial"/>
                <w:sz w:val="18"/>
                <w:szCs w:val="18"/>
                <w:color w:val="auto"/>
              </w:rPr>
              <w:t>if the underwriters exercise in full</w:t>
            </w:r>
          </w:p>
        </w:tc>
      </w:tr>
      <w:tr>
        <w:trPr>
          <w:trHeight w:val="230"/>
        </w:trPr>
        <w:tc>
          <w:tcPr>
            <w:tcW w:w="2800" w:type="dxa"/>
            <w:vAlign w:val="bottom"/>
          </w:tcPr>
          <w:p>
            <w:pPr>
              <w:spacing w:after="0"/>
              <w:rPr>
                <w:sz w:val="20"/>
                <w:szCs w:val="20"/>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their option to purchase additional ordinary shares)</w:t>
            </w:r>
          </w:p>
        </w:tc>
      </w:tr>
      <w:tr>
        <w:trPr>
          <w:trHeight w:val="445"/>
        </w:trPr>
        <w:tc>
          <w:tcPr>
            <w:tcW w:w="2800" w:type="dxa"/>
            <w:vAlign w:val="bottom"/>
          </w:tcPr>
          <w:p>
            <w:pPr>
              <w:spacing w:after="0"/>
              <w:rPr>
                <w:sz w:val="20"/>
                <w:szCs w:val="20"/>
                <w:color w:val="auto"/>
              </w:rPr>
            </w:pPr>
            <w:r>
              <w:rPr>
                <w:rFonts w:ascii="Arial" w:cs="Arial" w:eastAsia="Arial" w:hAnsi="Arial"/>
                <w:sz w:val="18"/>
                <w:szCs w:val="18"/>
                <w:color w:val="auto"/>
              </w:rPr>
              <w:t>Ordinary shares to be outstanding</w:t>
            </w:r>
          </w:p>
        </w:tc>
        <w:tc>
          <w:tcPr>
            <w:tcW w:w="2620" w:type="dxa"/>
            <w:vAlign w:val="bottom"/>
            <w:gridSpan w:val="2"/>
          </w:tcPr>
          <w:p>
            <w:pPr>
              <w:ind w:left="940"/>
              <w:spacing w:after="0"/>
              <w:rPr>
                <w:sz w:val="20"/>
                <w:szCs w:val="20"/>
                <w:color w:val="auto"/>
              </w:rPr>
            </w:pPr>
            <w:r>
              <w:rPr>
                <w:rFonts w:ascii="Arial" w:cs="Arial" w:eastAsia="Arial" w:hAnsi="Arial"/>
                <w:sz w:val="18"/>
                <w:szCs w:val="18"/>
                <w:color w:val="auto"/>
              </w:rPr>
              <w:t>ordinary shares (or</w:t>
            </w:r>
          </w:p>
        </w:tc>
        <w:tc>
          <w:tcPr>
            <w:tcW w:w="3120" w:type="dxa"/>
            <w:vAlign w:val="bottom"/>
            <w:gridSpan w:val="2"/>
          </w:tcPr>
          <w:p>
            <w:pPr>
              <w:ind w:left="340"/>
              <w:spacing w:after="0"/>
              <w:rPr>
                <w:sz w:val="20"/>
                <w:szCs w:val="20"/>
                <w:color w:val="auto"/>
              </w:rPr>
            </w:pPr>
            <w:r>
              <w:rPr>
                <w:rFonts w:ascii="Arial" w:cs="Arial" w:eastAsia="Arial" w:hAnsi="Arial"/>
                <w:sz w:val="18"/>
                <w:szCs w:val="18"/>
                <w:color w:val="auto"/>
              </w:rPr>
              <w:t>if the underwriters exercise in full</w:t>
            </w:r>
          </w:p>
        </w:tc>
      </w:tr>
      <w:tr>
        <w:trPr>
          <w:trHeight w:val="230"/>
        </w:trPr>
        <w:tc>
          <w:tcPr>
            <w:tcW w:w="2800" w:type="dxa"/>
            <w:vAlign w:val="bottom"/>
          </w:tcPr>
          <w:p>
            <w:pPr>
              <w:ind w:left="200"/>
              <w:spacing w:after="0"/>
              <w:rPr>
                <w:sz w:val="20"/>
                <w:szCs w:val="20"/>
                <w:color w:val="auto"/>
              </w:rPr>
            </w:pPr>
            <w:r>
              <w:rPr>
                <w:rFonts w:ascii="Arial" w:cs="Arial" w:eastAsia="Arial" w:hAnsi="Arial"/>
                <w:sz w:val="18"/>
                <w:szCs w:val="18"/>
                <w:color w:val="auto"/>
              </w:rPr>
              <w:t>immediately after this offering</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their option to purchase additional ordinary shares)</w:t>
            </w:r>
          </w:p>
        </w:tc>
      </w:tr>
      <w:tr>
        <w:trPr>
          <w:trHeight w:val="445"/>
        </w:trPr>
        <w:tc>
          <w:tcPr>
            <w:tcW w:w="2800" w:type="dxa"/>
            <w:vAlign w:val="bottom"/>
          </w:tcPr>
          <w:p>
            <w:pPr>
              <w:spacing w:after="0"/>
              <w:rPr>
                <w:sz w:val="20"/>
                <w:szCs w:val="20"/>
                <w:color w:val="auto"/>
              </w:rPr>
            </w:pPr>
            <w:r>
              <w:rPr>
                <w:rFonts w:ascii="Arial" w:cs="Arial" w:eastAsia="Arial" w:hAnsi="Arial"/>
                <w:sz w:val="18"/>
                <w:szCs w:val="18"/>
                <w:color w:val="auto"/>
              </w:rPr>
              <w:t>Use of proceeds</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We estimate that we will receive net proceeds from this offering of</w:t>
            </w:r>
          </w:p>
        </w:tc>
      </w:tr>
      <w:tr>
        <w:trPr>
          <w:trHeight w:val="216"/>
        </w:trPr>
        <w:tc>
          <w:tcPr>
            <w:tcW w:w="2800" w:type="dxa"/>
            <w:vAlign w:val="bottom"/>
          </w:tcPr>
          <w:p>
            <w:pPr>
              <w:spacing w:after="0"/>
              <w:rPr>
                <w:sz w:val="18"/>
                <w:szCs w:val="18"/>
                <w:color w:val="auto"/>
              </w:rPr>
            </w:pPr>
          </w:p>
        </w:tc>
        <w:tc>
          <w:tcPr>
            <w:tcW w:w="2040" w:type="dxa"/>
            <w:vAlign w:val="bottom"/>
          </w:tcPr>
          <w:p>
            <w:pPr>
              <w:ind w:left="260"/>
              <w:spacing w:after="0"/>
              <w:rPr>
                <w:sz w:val="20"/>
                <w:szCs w:val="20"/>
                <w:color w:val="auto"/>
              </w:rPr>
            </w:pPr>
            <w:r>
              <w:rPr>
                <w:rFonts w:ascii="Arial" w:cs="Arial" w:eastAsia="Arial" w:hAnsi="Arial"/>
                <w:sz w:val="18"/>
                <w:szCs w:val="18"/>
                <w:color w:val="auto"/>
              </w:rPr>
              <w:t>approximately $</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million, or $</w:t>
            </w:r>
          </w:p>
        </w:tc>
        <w:tc>
          <w:tcPr>
            <w:tcW w:w="2200" w:type="dxa"/>
            <w:vAlign w:val="bottom"/>
          </w:tcPr>
          <w:p>
            <w:pPr>
              <w:ind w:left="140"/>
              <w:spacing w:after="0"/>
              <w:rPr>
                <w:sz w:val="20"/>
                <w:szCs w:val="20"/>
                <w:color w:val="auto"/>
              </w:rPr>
            </w:pPr>
            <w:r>
              <w:rPr>
                <w:rFonts w:ascii="Arial" w:cs="Arial" w:eastAsia="Arial" w:hAnsi="Arial"/>
                <w:sz w:val="18"/>
                <w:szCs w:val="18"/>
                <w:color w:val="auto"/>
              </w:rPr>
              <w:t>million if the underwriters</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0"/>
              </w:rPr>
              <w:t>exercise in full their option to purchase additional ordinary shares, based on</w:t>
            </w:r>
          </w:p>
        </w:tc>
      </w:tr>
      <w:tr>
        <w:trPr>
          <w:trHeight w:val="216"/>
        </w:trPr>
        <w:tc>
          <w:tcPr>
            <w:tcW w:w="2800" w:type="dxa"/>
            <w:vAlign w:val="bottom"/>
          </w:tcPr>
          <w:p>
            <w:pPr>
              <w:spacing w:after="0"/>
              <w:rPr>
                <w:sz w:val="18"/>
                <w:szCs w:val="18"/>
                <w:color w:val="auto"/>
              </w:rPr>
            </w:pPr>
          </w:p>
        </w:tc>
        <w:tc>
          <w:tcPr>
            <w:tcW w:w="3540" w:type="dxa"/>
            <w:vAlign w:val="bottom"/>
            <w:gridSpan w:val="3"/>
          </w:tcPr>
          <w:p>
            <w:pPr>
              <w:ind w:left="260"/>
              <w:spacing w:after="0"/>
              <w:rPr>
                <w:sz w:val="20"/>
                <w:szCs w:val="20"/>
                <w:color w:val="auto"/>
              </w:rPr>
            </w:pPr>
            <w:r>
              <w:rPr>
                <w:rFonts w:ascii="Arial" w:cs="Arial" w:eastAsia="Arial" w:hAnsi="Arial"/>
                <w:sz w:val="18"/>
                <w:szCs w:val="18"/>
                <w:color w:val="auto"/>
                <w:w w:val="95"/>
              </w:rPr>
              <w:t>an assumed initial public offering price of $</w:t>
            </w:r>
          </w:p>
        </w:tc>
        <w:tc>
          <w:tcPr>
            <w:tcW w:w="2200" w:type="dxa"/>
            <w:vAlign w:val="bottom"/>
          </w:tcPr>
          <w:p>
            <w:pPr>
              <w:ind w:left="320"/>
              <w:spacing w:after="0"/>
              <w:rPr>
                <w:sz w:val="20"/>
                <w:szCs w:val="20"/>
                <w:color w:val="auto"/>
              </w:rPr>
            </w:pPr>
            <w:r>
              <w:rPr>
                <w:rFonts w:ascii="Arial" w:cs="Arial" w:eastAsia="Arial" w:hAnsi="Arial"/>
                <w:sz w:val="18"/>
                <w:szCs w:val="18"/>
                <w:color w:val="auto"/>
                <w:w w:val="92"/>
              </w:rPr>
              <w:t>, the midpoint of the price</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range set forth on the cover page of this prospectus, after deducting</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2"/>
              </w:rPr>
              <w:t>underwriting discounts and commissions and estimated offering expenses</w:t>
            </w:r>
          </w:p>
        </w:tc>
      </w:tr>
      <w:tr>
        <w:trPr>
          <w:trHeight w:val="216"/>
        </w:trPr>
        <w:tc>
          <w:tcPr>
            <w:tcW w:w="2800" w:type="dxa"/>
            <w:vAlign w:val="bottom"/>
          </w:tcPr>
          <w:p>
            <w:pPr>
              <w:spacing w:after="0"/>
              <w:rPr>
                <w:sz w:val="18"/>
                <w:szCs w:val="18"/>
                <w:color w:val="auto"/>
              </w:rPr>
            </w:pPr>
          </w:p>
        </w:tc>
        <w:tc>
          <w:tcPr>
            <w:tcW w:w="2040" w:type="dxa"/>
            <w:vAlign w:val="bottom"/>
          </w:tcPr>
          <w:p>
            <w:pPr>
              <w:ind w:left="260"/>
              <w:spacing w:after="0"/>
              <w:rPr>
                <w:sz w:val="20"/>
                <w:szCs w:val="20"/>
                <w:color w:val="auto"/>
              </w:rPr>
            </w:pPr>
            <w:r>
              <w:rPr>
                <w:rFonts w:ascii="Arial" w:cs="Arial" w:eastAsia="Arial" w:hAnsi="Arial"/>
                <w:sz w:val="18"/>
                <w:szCs w:val="18"/>
                <w:color w:val="auto"/>
              </w:rPr>
              <w:t>payable by us.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3"/>
              </w:rPr>
              <w:t>We intend to use the net proceeds from this offering for general corporate</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0"/>
              </w:rPr>
              <w:t>purposes, including working capital, sales and marketing activities, research</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89"/>
              </w:rPr>
              <w:t>and development, and general and administrative matters. We may also use</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a portion of the net proceeds for the acquisition of, or investment in,</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9"/>
              </w:rPr>
              <w:t>technologies, solutions or businesses that complement our business,</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9"/>
              </w:rPr>
              <w:t>although we are not currently a party to, or involved with, discussions</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2"/>
              </w:rPr>
              <w:t>regarding any material acquisition that is probable. See “Use of Proceeds”</w:t>
            </w:r>
          </w:p>
        </w:tc>
      </w:tr>
      <w:tr>
        <w:trPr>
          <w:trHeight w:val="230"/>
        </w:trPr>
        <w:tc>
          <w:tcPr>
            <w:tcW w:w="2800" w:type="dxa"/>
            <w:vAlign w:val="bottom"/>
          </w:tcPr>
          <w:p>
            <w:pPr>
              <w:spacing w:after="0"/>
              <w:rPr>
                <w:sz w:val="20"/>
                <w:szCs w:val="20"/>
                <w:color w:val="auto"/>
              </w:rPr>
            </w:pPr>
          </w:p>
        </w:tc>
        <w:tc>
          <w:tcPr>
            <w:tcW w:w="3540" w:type="dxa"/>
            <w:vAlign w:val="bottom"/>
            <w:gridSpan w:val="3"/>
          </w:tcPr>
          <w:p>
            <w:pPr>
              <w:ind w:left="260"/>
              <w:spacing w:after="0"/>
              <w:rPr>
                <w:sz w:val="20"/>
                <w:szCs w:val="20"/>
                <w:color w:val="auto"/>
              </w:rPr>
            </w:pPr>
            <w:r>
              <w:rPr>
                <w:rFonts w:ascii="Arial" w:cs="Arial" w:eastAsia="Arial" w:hAnsi="Arial"/>
                <w:sz w:val="18"/>
                <w:szCs w:val="18"/>
                <w:color w:val="auto"/>
              </w:rPr>
              <w:t>on page 27 for additional information.</w:t>
            </w:r>
          </w:p>
        </w:tc>
        <w:tc>
          <w:tcPr>
            <w:tcW w:w="2200" w:type="dxa"/>
            <w:vAlign w:val="bottom"/>
          </w:tcPr>
          <w:p>
            <w:pPr>
              <w:spacing w:after="0"/>
              <w:rPr>
                <w:sz w:val="20"/>
                <w:szCs w:val="20"/>
                <w:color w:val="auto"/>
              </w:rPr>
            </w:pPr>
          </w:p>
        </w:tc>
      </w:tr>
      <w:tr>
        <w:trPr>
          <w:trHeight w:val="445"/>
        </w:trPr>
        <w:tc>
          <w:tcPr>
            <w:tcW w:w="2800" w:type="dxa"/>
            <w:vAlign w:val="bottom"/>
          </w:tcPr>
          <w:p>
            <w:pPr>
              <w:spacing w:after="0"/>
              <w:rPr>
                <w:sz w:val="20"/>
                <w:szCs w:val="20"/>
                <w:color w:val="auto"/>
              </w:rPr>
            </w:pPr>
            <w:r>
              <w:rPr>
                <w:rFonts w:ascii="Arial" w:cs="Arial" w:eastAsia="Arial" w:hAnsi="Arial"/>
                <w:sz w:val="18"/>
                <w:szCs w:val="18"/>
                <w:color w:val="auto"/>
              </w:rPr>
              <w:t>Risk factors</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Investing in our ordinary shares involves a high degree of risk and</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3"/>
              </w:rPr>
              <w:t>purchasers of our ordinary shares may lose part or all of their investment.</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3"/>
              </w:rPr>
              <w:t>See “Risk Factors” and other information included in this prospectus for a</w:t>
            </w:r>
          </w:p>
        </w:tc>
      </w:tr>
      <w:tr>
        <w:trPr>
          <w:trHeight w:val="216"/>
        </w:trPr>
        <w:tc>
          <w:tcPr>
            <w:tcW w:w="2800" w:type="dxa"/>
            <w:vAlign w:val="bottom"/>
          </w:tcPr>
          <w:p>
            <w:pPr>
              <w:spacing w:after="0"/>
              <w:rPr>
                <w:sz w:val="18"/>
                <w:szCs w:val="18"/>
                <w:color w:val="auto"/>
              </w:rPr>
            </w:pP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0"/>
              </w:rPr>
              <w:t>discussion of factors you should carefully consider before deciding to invest</w:t>
            </w:r>
          </w:p>
        </w:tc>
      </w:tr>
      <w:tr>
        <w:trPr>
          <w:trHeight w:val="230"/>
        </w:trPr>
        <w:tc>
          <w:tcPr>
            <w:tcW w:w="2800" w:type="dxa"/>
            <w:vAlign w:val="bottom"/>
          </w:tcPr>
          <w:p>
            <w:pPr>
              <w:spacing w:after="0"/>
              <w:rPr>
                <w:sz w:val="20"/>
                <w:szCs w:val="20"/>
                <w:color w:val="auto"/>
              </w:rPr>
            </w:pPr>
          </w:p>
        </w:tc>
        <w:tc>
          <w:tcPr>
            <w:tcW w:w="2040" w:type="dxa"/>
            <w:vAlign w:val="bottom"/>
          </w:tcPr>
          <w:p>
            <w:pPr>
              <w:ind w:left="260"/>
              <w:spacing w:after="0"/>
              <w:rPr>
                <w:sz w:val="20"/>
                <w:szCs w:val="20"/>
                <w:color w:val="auto"/>
              </w:rPr>
            </w:pPr>
            <w:r>
              <w:rPr>
                <w:rFonts w:ascii="Arial" w:cs="Arial" w:eastAsia="Arial" w:hAnsi="Arial"/>
                <w:sz w:val="18"/>
                <w:szCs w:val="18"/>
                <w:color w:val="auto"/>
                <w:w w:val="98"/>
              </w:rPr>
              <w:t>in our ordinary shares.</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45"/>
        </w:trPr>
        <w:tc>
          <w:tcPr>
            <w:tcW w:w="2800" w:type="dxa"/>
            <w:vAlign w:val="bottom"/>
          </w:tcPr>
          <w:p>
            <w:pPr>
              <w:spacing w:after="0"/>
              <w:rPr>
                <w:sz w:val="20"/>
                <w:szCs w:val="20"/>
                <w:color w:val="auto"/>
              </w:rPr>
            </w:pPr>
            <w:r>
              <w:rPr>
                <w:rFonts w:ascii="Arial" w:cs="Arial" w:eastAsia="Arial" w:hAnsi="Arial"/>
                <w:sz w:val="18"/>
                <w:szCs w:val="18"/>
                <w:color w:val="auto"/>
              </w:rPr>
              <w:t>Proposed NASDAQ Global Market</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w w:val="98"/>
              </w:rPr>
              <w:t>We intend to apply to have our ordinary shares listed on the NASDAQ</w:t>
            </w:r>
          </w:p>
        </w:tc>
      </w:tr>
      <w:tr>
        <w:trPr>
          <w:trHeight w:val="230"/>
        </w:trPr>
        <w:tc>
          <w:tcPr>
            <w:tcW w:w="2800" w:type="dxa"/>
            <w:vAlign w:val="bottom"/>
          </w:tcPr>
          <w:p>
            <w:pPr>
              <w:ind w:left="200"/>
              <w:spacing w:after="0"/>
              <w:rPr>
                <w:sz w:val="20"/>
                <w:szCs w:val="20"/>
                <w:color w:val="auto"/>
              </w:rPr>
            </w:pPr>
            <w:r>
              <w:rPr>
                <w:rFonts w:ascii="Arial" w:cs="Arial" w:eastAsia="Arial" w:hAnsi="Arial"/>
                <w:sz w:val="18"/>
                <w:szCs w:val="18"/>
                <w:color w:val="auto"/>
              </w:rPr>
              <w:t>symbol</w:t>
            </w:r>
          </w:p>
        </w:tc>
        <w:tc>
          <w:tcPr>
            <w:tcW w:w="3540" w:type="dxa"/>
            <w:vAlign w:val="bottom"/>
            <w:gridSpan w:val="3"/>
          </w:tcPr>
          <w:p>
            <w:pPr>
              <w:ind w:left="260"/>
              <w:spacing w:after="0"/>
              <w:rPr>
                <w:sz w:val="20"/>
                <w:szCs w:val="20"/>
                <w:color w:val="auto"/>
              </w:rPr>
            </w:pPr>
            <w:r>
              <w:rPr>
                <w:rFonts w:ascii="Arial" w:cs="Arial" w:eastAsia="Arial" w:hAnsi="Arial"/>
                <w:sz w:val="18"/>
                <w:szCs w:val="18"/>
                <w:color w:val="auto"/>
                <w:w w:val="99"/>
              </w:rPr>
              <w:t>Global Market under the symbol “KRNT.”</w:t>
            </w:r>
          </w:p>
        </w:tc>
        <w:tc>
          <w:tcPr>
            <w:tcW w:w="2200" w:type="dxa"/>
            <w:vAlign w:val="bottom"/>
          </w:tcPr>
          <w:p>
            <w:pPr>
              <w:spacing w:after="0"/>
              <w:rPr>
                <w:sz w:val="20"/>
                <w:szCs w:val="20"/>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5569585" cy="8562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9585" cy="8562975"/>
                    </a:xfrm>
                    <a:prstGeom prst="rect">
                      <a:avLst/>
                    </a:prstGeom>
                    <a:noFill/>
                  </pic:spPr>
                </pic:pic>
              </a:graphicData>
            </a:graphic>
          </wp:anchor>
        </w:drawing>
      </w:r>
    </w:p>
    <w:p>
      <w:pPr>
        <w:ind w:left="260" w:right="199" w:firstLine="216"/>
        <w:spacing w:after="0" w:line="297" w:lineRule="auto"/>
        <w:rPr>
          <w:sz w:val="20"/>
          <w:szCs w:val="20"/>
          <w:color w:val="auto"/>
        </w:rPr>
      </w:pPr>
      <w:r>
        <w:rPr>
          <w:rFonts w:ascii="Arial" w:cs="Arial" w:eastAsia="Arial" w:hAnsi="Arial"/>
          <w:sz w:val="16"/>
          <w:szCs w:val="16"/>
          <w:color w:val="auto"/>
        </w:rPr>
        <w:t>Unless otherwise indicated, the number of ordinary shares to be outstanding after this offering is based on 3,296,450 ordinary shares outstanding as of November 30, 2014 assuming the conversion of all outstanding Series A-1 preferred shares into an equal number of ordinary shares and excludes 402,149 ordinary shares reserved for issuance under our equity incentive plans in respect of which, as of September 30, 2014, we had outstanding options to purchase 333,932 ordinary shares at a weighted average exercise price of $8.96 per share.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239" w:lineRule="exact"/>
        <w:rPr>
          <w:sz w:val="20"/>
          <w:szCs w:val="20"/>
          <w:color w:val="auto"/>
        </w:rPr>
      </w:pPr>
    </w:p>
    <w:p>
      <w:pPr>
        <w:ind w:left="680" w:right="459" w:hanging="213"/>
        <w:spacing w:after="0" w:line="232" w:lineRule="auto"/>
        <w:tabs>
          <w:tab w:leader="none" w:pos="692" w:val="left"/>
        </w:tabs>
        <w:numPr>
          <w:ilvl w:val="0"/>
          <w:numId w:val="9"/>
        </w:numPr>
        <w:rPr>
          <w:rFonts w:ascii="Arial" w:cs="Arial" w:eastAsia="Arial" w:hAnsi="Arial"/>
          <w:sz w:val="22"/>
          <w:szCs w:val="22"/>
          <w:color w:val="auto"/>
        </w:rPr>
      </w:pPr>
      <w:r>
        <w:rPr>
          <w:rFonts w:ascii="Arial" w:cs="Arial" w:eastAsia="Arial" w:hAnsi="Arial"/>
          <w:sz w:val="18"/>
          <w:szCs w:val="18"/>
          <w:color w:val="auto"/>
        </w:rPr>
        <w:t>reflects the conversion of all outstanding Series A-1 preferred shares into an equal number of ordinary shares which will occur immediately prior to the closing of this offering;</w:t>
      </w:r>
    </w:p>
    <w:p>
      <w:pPr>
        <w:spacing w:after="0" w:line="217" w:lineRule="exact"/>
        <w:rPr>
          <w:rFonts w:ascii="Arial" w:cs="Arial" w:eastAsia="Arial" w:hAnsi="Arial"/>
          <w:sz w:val="22"/>
          <w:szCs w:val="22"/>
          <w:color w:val="auto"/>
        </w:rPr>
      </w:pPr>
    </w:p>
    <w:p>
      <w:pPr>
        <w:ind w:left="680" w:right="259" w:hanging="213"/>
        <w:spacing w:after="0" w:line="232" w:lineRule="auto"/>
        <w:tabs>
          <w:tab w:leader="none" w:pos="692" w:val="left"/>
        </w:tabs>
        <w:numPr>
          <w:ilvl w:val="0"/>
          <w:numId w:val="9"/>
        </w:numPr>
        <w:rPr>
          <w:rFonts w:ascii="Arial" w:cs="Arial" w:eastAsia="Arial" w:hAnsi="Arial"/>
          <w:sz w:val="22"/>
          <w:szCs w:val="22"/>
          <w:color w:val="auto"/>
        </w:rPr>
      </w:pPr>
      <w:r>
        <w:rPr>
          <w:rFonts w:ascii="Arial" w:cs="Arial" w:eastAsia="Arial" w:hAnsi="Arial"/>
          <w:sz w:val="18"/>
          <w:szCs w:val="18"/>
          <w:color w:val="auto"/>
        </w:rPr>
        <w:t>assumes an initial public offering price of $ per ordinary share, the midpoint of the price range set forth on the cover page of this prospectus;</w:t>
      </w:r>
    </w:p>
    <w:p>
      <w:pPr>
        <w:spacing w:after="0" w:line="183" w:lineRule="exact"/>
        <w:rPr>
          <w:sz w:val="20"/>
          <w:szCs w:val="20"/>
          <w:color w:val="auto"/>
        </w:rPr>
      </w:pPr>
    </w:p>
    <w:p>
      <w:pPr>
        <w:ind w:left="460"/>
        <w:spacing w:after="0"/>
        <w:tabs>
          <w:tab w:leader="none" w:pos="7360" w:val="left"/>
        </w:tabs>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assumes no exercise by the underwriters of their option to purchase up to an additional</w:t>
      </w:r>
      <w:r>
        <w:rPr>
          <w:sz w:val="20"/>
          <w:szCs w:val="20"/>
          <w:color w:val="auto"/>
        </w:rPr>
        <w:tab/>
      </w:r>
      <w:r>
        <w:rPr>
          <w:rFonts w:ascii="Arial" w:cs="Arial" w:eastAsia="Arial" w:hAnsi="Arial"/>
          <w:sz w:val="15"/>
          <w:szCs w:val="15"/>
          <w:color w:val="auto"/>
        </w:rPr>
        <w:t>ordinary shares</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from us;</w:t>
      </w:r>
    </w:p>
    <w:p>
      <w:pPr>
        <w:spacing w:after="0" w:line="223" w:lineRule="exact"/>
        <w:rPr>
          <w:sz w:val="20"/>
          <w:szCs w:val="20"/>
          <w:color w:val="auto"/>
        </w:rPr>
      </w:pPr>
    </w:p>
    <w:p>
      <w:pPr>
        <w:ind w:left="680" w:right="779" w:hanging="213"/>
        <w:spacing w:after="0" w:line="232" w:lineRule="auto"/>
        <w:tabs>
          <w:tab w:leader="none" w:pos="692" w:val="left"/>
        </w:tabs>
        <w:numPr>
          <w:ilvl w:val="0"/>
          <w:numId w:val="10"/>
        </w:numPr>
        <w:rPr>
          <w:rFonts w:ascii="Arial" w:cs="Arial" w:eastAsia="Arial" w:hAnsi="Arial"/>
          <w:sz w:val="22"/>
          <w:szCs w:val="22"/>
          <w:color w:val="auto"/>
        </w:rPr>
      </w:pPr>
      <w:r>
        <w:rPr>
          <w:rFonts w:ascii="Arial" w:cs="Arial" w:eastAsia="Arial" w:hAnsi="Arial"/>
          <w:sz w:val="18"/>
          <w:szCs w:val="18"/>
          <w:color w:val="auto"/>
        </w:rPr>
        <w:t>gives effect to the adoption of our amended and restated articles of association prior to the closing of this offering, which will replace our articles of association currently in effect;</w:t>
      </w:r>
    </w:p>
    <w:p>
      <w:pPr>
        <w:spacing w:after="0" w:line="217" w:lineRule="exact"/>
        <w:rPr>
          <w:rFonts w:ascii="Arial" w:cs="Arial" w:eastAsia="Arial" w:hAnsi="Arial"/>
          <w:sz w:val="22"/>
          <w:szCs w:val="22"/>
          <w:color w:val="auto"/>
        </w:rPr>
      </w:pPr>
    </w:p>
    <w:p>
      <w:pPr>
        <w:ind w:left="680" w:right="199" w:hanging="213"/>
        <w:spacing w:after="0" w:line="238" w:lineRule="auto"/>
        <w:tabs>
          <w:tab w:leader="none" w:pos="692"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reflects a 10-for-1 share split effected on May 24, 2012 by means of a share dividend of nine ordinary shares or Series A-1 preferred shares for each ordinary share or Series A-1 preferred shares, respectively, then outstanding; and</w:t>
      </w:r>
    </w:p>
    <w:p>
      <w:pPr>
        <w:spacing w:after="0" w:line="182" w:lineRule="exact"/>
        <w:rPr>
          <w:sz w:val="20"/>
          <w:szCs w:val="20"/>
          <w:color w:val="auto"/>
        </w:rPr>
      </w:pPr>
    </w:p>
    <w:p>
      <w:pPr>
        <w:ind w:left="460"/>
        <w:spacing w:after="0"/>
        <w:tabs>
          <w:tab w:leader="none" w:pos="2400" w:val="left"/>
          <w:tab w:leader="none" w:pos="3240" w:val="left"/>
          <w:tab w:leader="none" w:pos="5340" w:val="left"/>
          <w:tab w:leader="none" w:pos="8200" w:val="left"/>
        </w:tabs>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reflects a further</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share split effected on</w:t>
      </w:r>
      <w:r>
        <w:rPr>
          <w:sz w:val="20"/>
          <w:szCs w:val="20"/>
          <w:color w:val="auto"/>
        </w:rPr>
        <w:tab/>
      </w:r>
      <w:r>
        <w:rPr>
          <w:rFonts w:ascii="Arial" w:cs="Arial" w:eastAsia="Arial" w:hAnsi="Arial"/>
          <w:sz w:val="18"/>
          <w:szCs w:val="18"/>
          <w:color w:val="auto"/>
        </w:rPr>
        <w:t>by means of a share dividend of</w:t>
      </w:r>
      <w:r>
        <w:rPr>
          <w:sz w:val="20"/>
          <w:szCs w:val="20"/>
          <w:color w:val="auto"/>
        </w:rPr>
        <w:tab/>
      </w:r>
      <w:r>
        <w:rPr>
          <w:rFonts w:ascii="Arial" w:cs="Arial" w:eastAsia="Arial" w:hAnsi="Arial"/>
          <w:sz w:val="16"/>
          <w:szCs w:val="16"/>
          <w:color w:val="auto"/>
        </w:rPr>
        <w:t>ordinary</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shares for each ordinary share then outstanding.</w:t>
      </w:r>
    </w:p>
    <w:p>
      <w:pPr>
        <w:sectPr>
          <w:pgSz w:w="11900" w:h="16838" w:orient="portrait"/>
          <w:cols w:equalWidth="0" w:num="1">
            <w:col w:w="9019"/>
          </w:cols>
          <w:pgMar w:left="1440" w:top="405"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5569585" cy="7473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69585" cy="7473950"/>
                    </a:xfrm>
                    <a:prstGeom prst="rect">
                      <a:avLst/>
                    </a:prstGeom>
                    <a:noFill/>
                  </pic:spPr>
                </pic:pic>
              </a:graphicData>
            </a:graphic>
          </wp:anchor>
        </w:drawing>
        <w:t>Summary Consolidated Financial Data</w:t>
      </w:r>
    </w:p>
    <w:p>
      <w:pPr>
        <w:spacing w:after="0" w:line="229" w:lineRule="exact"/>
        <w:rPr>
          <w:sz w:val="20"/>
          <w:szCs w:val="20"/>
          <w:color w:val="auto"/>
        </w:rPr>
      </w:pPr>
    </w:p>
    <w:p>
      <w:pPr>
        <w:ind w:left="260" w:right="219" w:firstLine="216"/>
        <w:spacing w:after="0" w:line="276" w:lineRule="auto"/>
        <w:rPr>
          <w:sz w:val="20"/>
          <w:szCs w:val="20"/>
          <w:color w:val="auto"/>
        </w:rPr>
      </w:pPr>
      <w:r>
        <w:rPr>
          <w:rFonts w:ascii="Arial" w:cs="Arial" w:eastAsia="Arial" w:hAnsi="Arial"/>
          <w:sz w:val="17"/>
          <w:szCs w:val="17"/>
          <w:color w:val="auto"/>
        </w:rPr>
        <w:t>The following tables set forth our summary consolidated financial data. You should read the following summary consolidated financial data in conjunction with, and it is qualified in its entirety by reference to, our historical financial information and other information provided in this prospectus, including “Selected Consolidated Financial Data,” “Management’s Discussion and Analysis of Financial Condition and Results of Operations” and our consolidated financial statements and the related notes appearing elsewhere in this prospectus.</w:t>
      </w:r>
    </w:p>
    <w:p>
      <w:pPr>
        <w:spacing w:after="0" w:line="173" w:lineRule="exact"/>
        <w:rPr>
          <w:sz w:val="20"/>
          <w:szCs w:val="20"/>
          <w:color w:val="auto"/>
        </w:rPr>
      </w:pPr>
    </w:p>
    <w:p>
      <w:pPr>
        <w:ind w:left="260" w:right="239" w:firstLine="216"/>
        <w:spacing w:after="0" w:line="272" w:lineRule="auto"/>
        <w:rPr>
          <w:sz w:val="20"/>
          <w:szCs w:val="20"/>
          <w:color w:val="auto"/>
        </w:rPr>
      </w:pPr>
      <w:r>
        <w:rPr>
          <w:rFonts w:ascii="Arial" w:cs="Arial" w:eastAsia="Arial" w:hAnsi="Arial"/>
          <w:sz w:val="17"/>
          <w:szCs w:val="17"/>
          <w:color w:val="auto"/>
        </w:rPr>
        <w:t>The summary consolidated statements of income data for the years ended December 31, 2012 and 2013 are derived from our audited consolidated financial statements appearing elsewhere in this prospectus. The summary consolidated statements of income data for the nine months ended September 30, 2013 and 2014 and the summary consolidated balance sheet data as of September 30, 2014 are derived from our unaudited interim consolidated financial statements included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w w:val="92"/>
              </w:rPr>
              <w:t>Year Ended December 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12"/>
          </w:tcPr>
          <w:p>
            <w:pPr>
              <w:ind w:left="220"/>
              <w:spacing w:after="0"/>
              <w:rPr>
                <w:sz w:val="20"/>
                <w:szCs w:val="20"/>
                <w:color w:val="auto"/>
              </w:rPr>
            </w:pPr>
            <w:r>
              <w:rPr>
                <w:rFonts w:ascii="Arial" w:cs="Arial" w:eastAsia="Arial" w:hAnsi="Arial"/>
                <w:sz w:val="16"/>
                <w:szCs w:val="16"/>
                <w:b w:val="1"/>
                <w:bCs w:val="1"/>
                <w:color w:val="auto"/>
              </w:rPr>
              <w:t>(in thousands, except share amounts and per share data)</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39,167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49,395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Cost of revenues</w:t>
            </w:r>
            <w:r>
              <w:rPr>
                <w:rFonts w:ascii="Arial" w:cs="Arial" w:eastAsia="Arial" w:hAnsi="Arial"/>
                <w:sz w:val="29"/>
                <w:szCs w:val="29"/>
                <w:b w:val="1"/>
                <w:bCs w:val="1"/>
                <w:color w:val="auto"/>
                <w:vertAlign w:val="superscript"/>
              </w:rPr>
              <w:t>(1)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3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2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00" w:type="dxa"/>
            <w:vAlign w:val="bottom"/>
          </w:tcPr>
          <w:p>
            <w:pPr>
              <w:ind w:left="20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b w:val="1"/>
                <w:bCs w:val="1"/>
                <w:color w:val="auto"/>
                <w:vertAlign w:val="superscript"/>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4,839</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7,443</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4,878</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6,851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b w:val="1"/>
                <w:bCs w:val="1"/>
                <w:color w:val="auto"/>
                <w:vertAlign w:val="superscript"/>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4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00" w:type="dxa"/>
            <w:vAlign w:val="bottom"/>
            <w:tcBorders>
              <w:bottom w:val="single" w:sz="8" w:color="CCEEFF"/>
            </w:tcBorders>
          </w:tcPr>
          <w:p>
            <w:pPr>
              <w:ind w:left="20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40" w:type="dxa"/>
            <w:vAlign w:val="bottom"/>
            <w:tcBorders>
              <w:bottom w:val="single" w:sz="8" w:color="CCEEFF"/>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4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before taxes on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6"/>
                <w:szCs w:val="16"/>
                <w:color w:val="auto"/>
              </w:rPr>
              <w:t>Net earnings per ordinary share</w:t>
            </w:r>
            <w:r>
              <w:rPr>
                <w:rFonts w:ascii="Arial" w:cs="Arial" w:eastAsia="Arial" w:hAnsi="Arial"/>
                <w:sz w:val="25"/>
                <w:szCs w:val="25"/>
                <w:b w:val="1"/>
                <w:bCs w:val="1"/>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vMerge w:val="restart"/>
          </w:tcPr>
          <w:p>
            <w:pPr>
              <w:spacing w:after="0" w:line="195" w:lineRule="exact"/>
              <w:rPr>
                <w:sz w:val="20"/>
                <w:szCs w:val="20"/>
                <w:color w:val="auto"/>
              </w:rPr>
            </w:pPr>
            <w:r>
              <w:rPr>
                <w:rFonts w:ascii="Arial" w:cs="Arial" w:eastAsia="Arial" w:hAnsi="Arial"/>
                <w:sz w:val="18"/>
                <w:szCs w:val="18"/>
                <w:color w:val="auto"/>
                <w:w w:val="90"/>
              </w:rPr>
              <w:t>Weighted average number of ordinary shares used</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00" w:type="dxa"/>
            <w:vAlign w:val="bottom"/>
          </w:tcPr>
          <w:p>
            <w:pPr>
              <w:ind w:left="200"/>
              <w:spacing w:after="0" w:line="271" w:lineRule="exact"/>
              <w:rPr>
                <w:sz w:val="20"/>
                <w:szCs w:val="20"/>
                <w:color w:val="auto"/>
              </w:rPr>
            </w:pPr>
            <w:r>
              <w:rPr>
                <w:rFonts w:ascii="Arial" w:cs="Arial" w:eastAsia="Arial" w:hAnsi="Arial"/>
                <w:sz w:val="18"/>
                <w:szCs w:val="18"/>
                <w:color w:val="auto"/>
              </w:rPr>
              <w:t>in computing income per ordinary share</w:t>
            </w:r>
            <w:r>
              <w:rPr>
                <w:rFonts w:ascii="Arial" w:cs="Arial" w:eastAsia="Arial" w:hAnsi="Arial"/>
                <w:sz w:val="30"/>
                <w:szCs w:val="30"/>
                <w:b w:val="1"/>
                <w:bCs w:val="1"/>
                <w:color w:val="auto"/>
                <w:vertAlign w:val="superscript"/>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1,366,310</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1,368,565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1,472,521</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1,507,690</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1,506,672</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1,547,013</w:t>
            </w:r>
          </w:p>
        </w:tc>
        <w:tc>
          <w:tcPr>
            <w:tcW w:w="14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Pro forma net earnings per ordinary share</w:t>
            </w:r>
            <w:r>
              <w:rPr>
                <w:rFonts w:ascii="Arial" w:cs="Arial" w:eastAsia="Arial" w:hAnsi="Arial"/>
                <w:sz w:val="25"/>
                <w:szCs w:val="25"/>
                <w:b w:val="1"/>
                <w:bCs w:val="1"/>
                <w:color w:val="auto"/>
                <w:vertAlign w:val="superscript"/>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vMerge w:val="restart"/>
          </w:tcPr>
          <w:p>
            <w:pPr>
              <w:spacing w:after="0" w:line="195" w:lineRule="exact"/>
              <w:rPr>
                <w:sz w:val="20"/>
                <w:szCs w:val="20"/>
                <w:color w:val="auto"/>
              </w:rPr>
            </w:pPr>
            <w:r>
              <w:rPr>
                <w:rFonts w:ascii="Arial" w:cs="Arial" w:eastAsia="Arial" w:hAnsi="Arial"/>
                <w:sz w:val="18"/>
                <w:szCs w:val="18"/>
                <w:color w:val="auto"/>
                <w:w w:val="90"/>
              </w:rPr>
              <w:t>Weighted average number of ordinary shares used</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in computing pro forma income per ordinary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00" w:type="dxa"/>
            <w:vAlign w:val="bottom"/>
          </w:tcPr>
          <w:p>
            <w:pPr>
              <w:ind w:left="200"/>
              <w:spacing w:after="0" w:line="271" w:lineRule="exact"/>
              <w:rPr>
                <w:sz w:val="20"/>
                <w:szCs w:val="20"/>
                <w:color w:val="auto"/>
              </w:rPr>
            </w:pPr>
            <w:r>
              <w:rPr>
                <w:rFonts w:ascii="Arial" w:cs="Arial" w:eastAsia="Arial" w:hAnsi="Arial"/>
                <w:sz w:val="18"/>
                <w:szCs w:val="18"/>
                <w:color w:val="auto"/>
              </w:rPr>
              <w:t>share</w:t>
            </w:r>
            <w:r>
              <w:rPr>
                <w:rFonts w:ascii="Arial" w:cs="Arial" w:eastAsia="Arial" w:hAnsi="Arial"/>
                <w:sz w:val="30"/>
                <w:szCs w:val="30"/>
                <w:b w:val="1"/>
                <w:bCs w:val="1"/>
                <w:color w:val="auto"/>
                <w:vertAlign w:val="superscript"/>
              </w:rPr>
              <w:t>(3)</w:t>
            </w: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3,293,450</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3,295,705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3,434,830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3,474,153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05"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5569585" cy="785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69585" cy="7851140"/>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jc w:val="center"/>
              <w:ind w:left="413"/>
              <w:spacing w:after="0"/>
              <w:rPr>
                <w:sz w:val="20"/>
                <w:szCs w:val="20"/>
                <w:color w:val="auto"/>
              </w:rPr>
            </w:pPr>
            <w:r>
              <w:rPr>
                <w:rFonts w:ascii="Arial" w:cs="Arial" w:eastAsia="Arial" w:hAnsi="Arial"/>
                <w:sz w:val="16"/>
                <w:szCs w:val="16"/>
                <w:b w:val="1"/>
                <w:bCs w:val="1"/>
                <w:color w:val="auto"/>
                <w:w w:val="90"/>
              </w:rPr>
              <w:t>As of September 30, 2014</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9"/>
        </w:trPr>
        <w:tc>
          <w:tcPr>
            <w:tcW w:w="3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Pro forma as</w:t>
            </w:r>
          </w:p>
        </w:tc>
        <w:tc>
          <w:tcPr>
            <w:tcW w:w="140" w:type="dxa"/>
            <w:vAlign w:val="bottom"/>
          </w:tcPr>
          <w:p>
            <w:pPr>
              <w:spacing w:after="0"/>
              <w:rPr>
                <w:sz w:val="16"/>
                <w:szCs w:val="16"/>
                <w:color w:val="auto"/>
              </w:rPr>
            </w:pPr>
          </w:p>
        </w:tc>
      </w:tr>
      <w:tr>
        <w:trPr>
          <w:trHeight w:val="256"/>
        </w:trPr>
        <w:tc>
          <w:tcPr>
            <w:tcW w:w="3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22"/>
                <w:szCs w:val="22"/>
                <w:color w:val="auto"/>
              </w:rPr>
            </w:pPr>
          </w:p>
        </w:tc>
        <w:tc>
          <w:tcPr>
            <w:tcW w:w="1040" w:type="dxa"/>
            <w:vAlign w:val="bottom"/>
            <w:gridSpan w:val="3"/>
          </w:tcPr>
          <w:p>
            <w:pPr>
              <w:spacing w:after="0" w:line="255" w:lineRule="exact"/>
              <w:rPr>
                <w:sz w:val="20"/>
                <w:szCs w:val="20"/>
                <w:color w:val="auto"/>
              </w:rPr>
            </w:pPr>
            <w:r>
              <w:rPr>
                <w:rFonts w:ascii="Arial" w:cs="Arial" w:eastAsia="Arial" w:hAnsi="Arial"/>
                <w:sz w:val="16"/>
                <w:szCs w:val="16"/>
                <w:b w:val="1"/>
                <w:bCs w:val="1"/>
                <w:color w:val="auto"/>
              </w:rPr>
              <w:t>Pro forma</w:t>
            </w:r>
            <w:r>
              <w:rPr>
                <w:rFonts w:ascii="Arial" w:cs="Arial" w:eastAsia="Arial" w:hAnsi="Arial"/>
                <w:sz w:val="27"/>
                <w:szCs w:val="27"/>
                <w:b w:val="1"/>
                <w:bCs w:val="1"/>
                <w:color w:val="auto"/>
                <w:vertAlign w:val="superscript"/>
              </w:rPr>
              <w:t>(4)</w:t>
            </w:r>
          </w:p>
        </w:tc>
        <w:tc>
          <w:tcPr>
            <w:tcW w:w="160" w:type="dxa"/>
            <w:vAlign w:val="bottom"/>
          </w:tcPr>
          <w:p>
            <w:pPr>
              <w:spacing w:after="0"/>
              <w:rPr>
                <w:sz w:val="22"/>
                <w:szCs w:val="22"/>
                <w:color w:val="auto"/>
              </w:rPr>
            </w:pPr>
          </w:p>
        </w:tc>
        <w:tc>
          <w:tcPr>
            <w:tcW w:w="1040" w:type="dxa"/>
            <w:vAlign w:val="bottom"/>
            <w:gridSpan w:val="3"/>
          </w:tcPr>
          <w:p>
            <w:pPr>
              <w:jc w:val="center"/>
              <w:ind w:right="240"/>
              <w:spacing w:after="0" w:line="255" w:lineRule="exact"/>
              <w:rPr>
                <w:sz w:val="20"/>
                <w:szCs w:val="20"/>
                <w:color w:val="auto"/>
              </w:rPr>
            </w:pPr>
            <w:r>
              <w:rPr>
                <w:rFonts w:ascii="Arial" w:cs="Arial" w:eastAsia="Arial" w:hAnsi="Arial"/>
                <w:sz w:val="16"/>
                <w:szCs w:val="16"/>
                <w:b w:val="1"/>
                <w:bCs w:val="1"/>
                <w:color w:val="auto"/>
                <w:w w:val="86"/>
              </w:rPr>
              <w:t>adjusted</w:t>
            </w:r>
            <w:r>
              <w:rPr>
                <w:rFonts w:ascii="Arial" w:cs="Arial" w:eastAsia="Arial" w:hAnsi="Arial"/>
                <w:sz w:val="27"/>
                <w:szCs w:val="27"/>
                <w:b w:val="1"/>
                <w:bCs w:val="1"/>
                <w:color w:val="auto"/>
                <w:w w:val="86"/>
                <w:vertAlign w:val="superscript"/>
              </w:rPr>
              <w:t>(4)</w:t>
            </w:r>
          </w:p>
        </w:tc>
      </w:tr>
      <w:tr>
        <w:trPr>
          <w:trHeight w:val="196"/>
        </w:trPr>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color w:val="auto"/>
                <w:w w:val="90"/>
              </w:rPr>
              <w:t>(in thousands)</w:t>
            </w: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7"/>
        </w:trPr>
        <w:tc>
          <w:tcPr>
            <w:tcW w:w="3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(5)</w:t>
            </w: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5"/>
        </w:trPr>
        <w:tc>
          <w:tcPr>
            <w:tcW w:w="3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3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2"/>
              </w:rPr>
              <w:t>Year Ended 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r>
      <w:tr>
        <w:trPr>
          <w:trHeight w:val="223"/>
        </w:trPr>
        <w:tc>
          <w:tcPr>
            <w:tcW w:w="3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3"/>
        </w:trPr>
        <w:tc>
          <w:tcPr>
            <w:tcW w:w="3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6"/>
          </w:tcPr>
          <w:p>
            <w:pPr>
              <w:ind w:left="3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Financial Data:</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81"/>
        </w:trPr>
        <w:tc>
          <w:tcPr>
            <w:tcW w:w="342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4,690</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4,281</w:t>
            </w:r>
          </w:p>
        </w:tc>
        <w:tc>
          <w:tcPr>
            <w:tcW w:w="180" w:type="dxa"/>
            <w:vAlign w:val="bottom"/>
          </w:tcPr>
          <w:p>
            <w:pPr>
              <w:spacing w:after="0"/>
              <w:rPr>
                <w:sz w:val="24"/>
                <w:szCs w:val="24"/>
                <w:color w:val="auto"/>
              </w:rPr>
            </w:pPr>
          </w:p>
        </w:tc>
        <w:tc>
          <w:tcPr>
            <w:tcW w:w="3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2,915</w:t>
            </w:r>
          </w:p>
        </w:tc>
        <w:tc>
          <w:tcPr>
            <w:tcW w:w="140" w:type="dxa"/>
            <w:vAlign w:val="bottom"/>
          </w:tcPr>
          <w:p>
            <w:pPr>
              <w:spacing w:after="0"/>
              <w:rPr>
                <w:sz w:val="24"/>
                <w:szCs w:val="24"/>
                <w:color w:val="auto"/>
              </w:rPr>
            </w:pPr>
          </w:p>
        </w:tc>
        <w:tc>
          <w:tcPr>
            <w:tcW w:w="38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4,021</w:t>
            </w:r>
          </w:p>
        </w:tc>
        <w:tc>
          <w:tcPr>
            <w:tcW w:w="140" w:type="dxa"/>
            <w:vAlign w:val="bottom"/>
          </w:tcPr>
          <w:p>
            <w:pPr>
              <w:spacing w:after="0"/>
              <w:rPr>
                <w:sz w:val="24"/>
                <w:szCs w:val="24"/>
                <w:color w:val="auto"/>
              </w:rPr>
            </w:pPr>
          </w:p>
        </w:tc>
      </w:tr>
      <w:tr>
        <w:trPr>
          <w:trHeight w:val="286"/>
        </w:trPr>
        <w:tc>
          <w:tcPr>
            <w:tcW w:w="3420" w:type="dxa"/>
            <w:vAlign w:val="bottom"/>
          </w:tcPr>
          <w:p>
            <w:pPr>
              <w:spacing w:after="0"/>
              <w:rPr>
                <w:sz w:val="20"/>
                <w:szCs w:val="20"/>
                <w:color w:val="auto"/>
              </w:rPr>
            </w:pPr>
            <w:r>
              <w:rPr>
                <w:rFonts w:ascii="Arial" w:cs="Arial" w:eastAsia="Arial" w:hAnsi="Arial"/>
                <w:sz w:val="18"/>
                <w:szCs w:val="18"/>
                <w:color w:val="auto"/>
              </w:rPr>
              <w:t>___________________</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4820" w:type="dxa"/>
            <w:vAlign w:val="bottom"/>
            <w:gridSpan w:val="4"/>
          </w:tcPr>
          <w:p>
            <w:pPr>
              <w:spacing w:after="0"/>
              <w:rPr>
                <w:sz w:val="20"/>
                <w:szCs w:val="20"/>
                <w:color w:val="auto"/>
              </w:rPr>
            </w:pPr>
            <w:r>
              <w:rPr>
                <w:rFonts w:ascii="Arial" w:cs="Arial" w:eastAsia="Arial" w:hAnsi="Arial"/>
                <w:sz w:val="18"/>
                <w:szCs w:val="18"/>
                <w:color w:val="auto"/>
              </w:rPr>
              <w:t>(1) Includes share-based compensation expense as follows:</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64"/>
        </w:trPr>
        <w:tc>
          <w:tcPr>
            <w:tcW w:w="3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3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2"/>
              </w:rPr>
              <w:t>Year Ended 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r>
      <w:tr>
        <w:trPr>
          <w:trHeight w:val="223"/>
        </w:trPr>
        <w:tc>
          <w:tcPr>
            <w:tcW w:w="3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3"/>
        </w:trPr>
        <w:tc>
          <w:tcPr>
            <w:tcW w:w="3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6"/>
          </w:tcPr>
          <w:p>
            <w:pPr>
              <w:ind w:left="3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Cost of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3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38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r>
      <w:tr>
        <w:trPr>
          <w:trHeight w:val="224"/>
        </w:trPr>
        <w:tc>
          <w:tcPr>
            <w:tcW w:w="342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9"/>
                <w:szCs w:val="19"/>
                <w:color w:val="auto"/>
              </w:rPr>
            </w:pPr>
          </w:p>
        </w:tc>
      </w:tr>
    </w:tbl>
    <w:p>
      <w:pPr>
        <w:spacing w:after="0" w:line="120" w:lineRule="exact"/>
        <w:rPr>
          <w:sz w:val="20"/>
          <w:szCs w:val="20"/>
          <w:color w:val="auto"/>
        </w:rPr>
      </w:pPr>
    </w:p>
    <w:p>
      <w:pPr>
        <w:ind w:left="580" w:right="259" w:hanging="329"/>
        <w:spacing w:after="0" w:line="286" w:lineRule="auto"/>
        <w:tabs>
          <w:tab w:leader="none" w:pos="5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Basic and diluted net earnings per ordinary share is computed based on the basic and diluted weighted average number of ordinary shares outstanding during each period. For additional information, see notes 2w and 10 to our consolidated financial statements included elsewhere in this prospectus.</w:t>
      </w:r>
    </w:p>
    <w:p>
      <w:pPr>
        <w:spacing w:after="0" w:line="165" w:lineRule="exact"/>
        <w:rPr>
          <w:rFonts w:ascii="Arial" w:cs="Arial" w:eastAsia="Arial" w:hAnsi="Arial"/>
          <w:sz w:val="17"/>
          <w:szCs w:val="17"/>
          <w:color w:val="auto"/>
        </w:rPr>
      </w:pPr>
    </w:p>
    <w:p>
      <w:pPr>
        <w:ind w:left="580" w:right="319" w:hanging="329"/>
        <w:spacing w:after="0" w:line="297" w:lineRule="auto"/>
        <w:tabs>
          <w:tab w:leader="none" w:pos="5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 forma basic and diluted net earnings per ordinary share and pro forma weighted average shares outstanding assumes the conversion of all of our outstanding Series A-1 preferred shares into ordinary shares, which will occur upon the closing of this offering, but does not give effect to the issuance of ordinary shares in connection with this offering. For additional information on the conversion of the Series A-1 preferred shares, see note 2d to our consolidated financial statements included elsewhere in this prospectus.</w:t>
      </w:r>
    </w:p>
    <w:p>
      <w:pPr>
        <w:ind w:left="560" w:hanging="309"/>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 forma gives effect to the conversion into ordinary shares of all of our outstanding Series A-1 preferred shares.</w:t>
      </w:r>
    </w:p>
    <w:p>
      <w:pPr>
        <w:spacing w:after="0" w:line="200" w:lineRule="exact"/>
        <w:rPr>
          <w:sz w:val="20"/>
          <w:szCs w:val="20"/>
          <w:color w:val="auto"/>
        </w:rPr>
      </w:pPr>
    </w:p>
    <w:p>
      <w:pPr>
        <w:ind w:left="580" w:right="279"/>
        <w:spacing w:after="0" w:line="274" w:lineRule="auto"/>
        <w:rPr>
          <w:sz w:val="20"/>
          <w:szCs w:val="20"/>
          <w:color w:val="auto"/>
        </w:rPr>
      </w:pPr>
      <w:r>
        <w:rPr>
          <w:rFonts w:ascii="Arial" w:cs="Arial" w:eastAsia="Arial" w:hAnsi="Arial"/>
          <w:sz w:val="17"/>
          <w:szCs w:val="17"/>
          <w:color w:val="auto"/>
        </w:rPr>
        <w:t>Pro forma as adjusted gives effect to (a) the same item as “pro forma,” (b) the issuance and sale of ordinary shares in this offering at an assumed initial public offering price of $ per ordinary share, the midpoint of the</w:t>
      </w:r>
    </w:p>
    <w:p>
      <w:pPr>
        <w:ind w:left="580"/>
        <w:spacing w:after="0"/>
        <w:rPr>
          <w:sz w:val="20"/>
          <w:szCs w:val="20"/>
          <w:color w:val="auto"/>
        </w:rPr>
      </w:pPr>
      <w:r>
        <w:rPr>
          <w:rFonts w:ascii="Arial" w:cs="Arial" w:eastAsia="Arial" w:hAnsi="Arial"/>
          <w:sz w:val="16"/>
          <w:szCs w:val="16"/>
          <w:color w:val="auto"/>
        </w:rPr>
        <w:t>price range set forth on the cover page of this prospectus, after deducting underwriting discounts and commissions</w:t>
      </w:r>
    </w:p>
    <w:p>
      <w:pPr>
        <w:spacing w:after="0" w:line="32" w:lineRule="exact"/>
        <w:rPr>
          <w:sz w:val="20"/>
          <w:szCs w:val="20"/>
          <w:color w:val="auto"/>
        </w:rPr>
      </w:pPr>
    </w:p>
    <w:p>
      <w:pPr>
        <w:jc w:val="both"/>
        <w:ind w:left="580" w:right="359"/>
        <w:spacing w:after="0" w:line="254" w:lineRule="auto"/>
        <w:rPr>
          <w:sz w:val="20"/>
          <w:szCs w:val="20"/>
          <w:color w:val="auto"/>
        </w:rPr>
      </w:pPr>
      <w:r>
        <w:rPr>
          <w:rFonts w:ascii="Arial" w:cs="Arial" w:eastAsia="Arial" w:hAnsi="Arial"/>
          <w:sz w:val="18"/>
          <w:szCs w:val="18"/>
          <w:color w:val="auto"/>
        </w:rPr>
        <w:t>and estimated offering expenses payable by us, (c) a one-time payment in the aggregate amount of $ to our sponsor, Fortissimo Capital, in connection with the termination of our existing management services agreement with them and (d) the payment of $250,000 in the aggregate to certain of our employees, including some of our executive officers, for their contribution to completing this offering.</w:t>
      </w:r>
    </w:p>
    <w:p>
      <w:pPr>
        <w:spacing w:after="0" w:line="190" w:lineRule="exact"/>
        <w:rPr>
          <w:sz w:val="20"/>
          <w:szCs w:val="20"/>
          <w:color w:val="auto"/>
        </w:rPr>
      </w:pPr>
    </w:p>
    <w:p>
      <w:pPr>
        <w:ind w:left="560" w:hanging="30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25" w:lineRule="exact"/>
        <w:rPr>
          <w:rFonts w:ascii="Arial" w:cs="Arial" w:eastAsia="Arial" w:hAnsi="Arial"/>
          <w:sz w:val="18"/>
          <w:szCs w:val="18"/>
          <w:color w:val="auto"/>
        </w:rPr>
      </w:pPr>
    </w:p>
    <w:p>
      <w:pPr>
        <w:ind w:left="560" w:hanging="30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table reconciles net income to Adjusted EBITDA for the periods presented:</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1" w:name="page12"/>
    <w:bookmarkEnd w:id="11"/>
    <w:tbl>
      <w:tblPr>
        <w:tblLayout w:type="fixed"/>
        <w:tblInd w:w="2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2"/>
              </w:rPr>
              <w:t>Year Ended December 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r>
      <w:tr>
        <w:trPr>
          <w:trHeight w:val="223"/>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0"/>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4"/>
          </w:tcPr>
          <w:p>
            <w:pPr>
              <w:jc w:val="right"/>
              <w:ind w:right="473"/>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35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Reconciliation of Net Income to Adjusted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2,314</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1,134</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586</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18"/>
                <w:szCs w:val="18"/>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Taxes on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8"/>
                <w:szCs w:val="18"/>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bottom w:val="single" w:sz="8" w:color="CCEEFF"/>
            </w:tcBorders>
          </w:tcPr>
          <w:p>
            <w:pPr>
              <w:spacing w:after="0"/>
              <w:rPr>
                <w:sz w:val="18"/>
                <w:szCs w:val="18"/>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40" w:type="dxa"/>
            <w:vAlign w:val="bottom"/>
            <w:shd w:val="clear" w:color="auto" w:fill="CCEEFF"/>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5569585" cy="5647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69585" cy="5647055"/>
                    </a:xfrm>
                    <a:prstGeom prst="rect">
                      <a:avLst/>
                    </a:prstGeom>
                    <a:noFill/>
                  </pic:spPr>
                </pic:pic>
              </a:graphicData>
            </a:graphic>
          </wp:anchor>
        </w:drawing>
      </w:r>
    </w:p>
    <w:p>
      <w:pPr>
        <w:ind w:left="260" w:right="239" w:firstLine="216"/>
        <w:spacing w:after="0" w:line="288"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3" w:lineRule="exact"/>
        <w:rPr>
          <w:sz w:val="20"/>
          <w:szCs w:val="20"/>
          <w:color w:val="auto"/>
        </w:rPr>
      </w:pPr>
    </w:p>
    <w:p>
      <w:pPr>
        <w:ind w:left="680" w:right="599" w:hanging="213"/>
        <w:spacing w:after="0" w:line="232" w:lineRule="auto"/>
        <w:tabs>
          <w:tab w:leader="none" w:pos="692" w:val="left"/>
        </w:tabs>
        <w:numPr>
          <w:ilvl w:val="0"/>
          <w:numId w:val="13"/>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06" w:lineRule="exact"/>
        <w:rPr>
          <w:rFonts w:ascii="Arial" w:cs="Arial" w:eastAsia="Arial" w:hAnsi="Arial"/>
          <w:sz w:val="22"/>
          <w:szCs w:val="22"/>
          <w:color w:val="auto"/>
        </w:rPr>
      </w:pPr>
    </w:p>
    <w:p>
      <w:pPr>
        <w:ind w:left="700" w:hanging="233"/>
        <w:spacing w:after="0"/>
        <w:tabs>
          <w:tab w:leader="none" w:pos="700" w:val="left"/>
        </w:tabs>
        <w:numPr>
          <w:ilvl w:val="0"/>
          <w:numId w:val="13"/>
        </w:numPr>
        <w:rPr>
          <w:rFonts w:ascii="Arial" w:cs="Arial" w:eastAsia="Arial" w:hAnsi="Arial"/>
          <w:sz w:val="21"/>
          <w:szCs w:val="21"/>
          <w:color w:val="auto"/>
        </w:rPr>
      </w:pPr>
      <w:r>
        <w:rPr>
          <w:rFonts w:ascii="Arial" w:cs="Arial" w:eastAsia="Arial" w:hAnsi="Arial"/>
          <w:sz w:val="17"/>
          <w:szCs w:val="17"/>
          <w:color w:val="auto"/>
        </w:rPr>
        <w:t>Adjusted EBITDA does not reflect changes in, or cash requirements for, our working capital needs; and</w:t>
      </w:r>
    </w:p>
    <w:p>
      <w:pPr>
        <w:spacing w:after="0" w:line="215" w:lineRule="exact"/>
        <w:rPr>
          <w:rFonts w:ascii="Arial" w:cs="Arial" w:eastAsia="Arial" w:hAnsi="Arial"/>
          <w:sz w:val="21"/>
          <w:szCs w:val="21"/>
          <w:color w:val="auto"/>
        </w:rPr>
      </w:pPr>
    </w:p>
    <w:p>
      <w:pPr>
        <w:ind w:left="680" w:right="199" w:hanging="213"/>
        <w:spacing w:after="0" w:line="251" w:lineRule="auto"/>
        <w:tabs>
          <w:tab w:leader="none" w:pos="733" w:val="left"/>
        </w:tabs>
        <w:numPr>
          <w:ilvl w:val="0"/>
          <w:numId w:val="13"/>
        </w:numPr>
        <w:rPr>
          <w:rFonts w:ascii="Arial" w:cs="Arial" w:eastAsia="Arial" w:hAnsi="Arial"/>
          <w:sz w:val="21"/>
          <w:szCs w:val="21"/>
          <w:color w:val="auto"/>
        </w:rPr>
      </w:pPr>
      <w:r>
        <w:rPr>
          <w:rFonts w:ascii="Arial" w:cs="Arial" w:eastAsia="Arial" w:hAnsi="Arial"/>
          <w:sz w:val="17"/>
          <w:szCs w:val="17"/>
          <w:color w:val="auto"/>
        </w:rPr>
        <w:t>Although depreciation is a non-cash charge, the assets being depreciated will often have to be replaced in the future, and Adjusted EBITDA does not reflect any cash requirements for such replacements.</w:t>
      </w:r>
    </w:p>
    <w:p>
      <w:pPr>
        <w:spacing w:after="0" w:line="191" w:lineRule="exact"/>
        <w:rPr>
          <w:sz w:val="20"/>
          <w:szCs w:val="20"/>
          <w:color w:val="auto"/>
        </w:rPr>
      </w:pPr>
    </w:p>
    <w:p>
      <w:pPr>
        <w:ind w:left="260" w:right="199" w:firstLine="216"/>
        <w:spacing w:after="0" w:line="293"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i w:val="1"/>
          <w:iCs w:val="1"/>
          <w:color w:val="auto"/>
        </w:rPr>
        <w:t>Investing in our ordinary shares involves a high degree of risk. You should carefully consider the risks and uncertainties described below, in addition to the other information set forth in this prospectus, including the consolidated financial statements and the related notes included elsewhere in this prospectus, before purchasing our ordinary shares. If any of the following risks actually occur, our business, financial condition, cash flows, and results of operations could be materially adversely affected. In that case, the trading price of our ordinary shares would likely decline and you might lose all or part of your investment.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120" w:right="719"/>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80" w:lineRule="exact"/>
        <w:rPr>
          <w:sz w:val="20"/>
          <w:szCs w:val="20"/>
          <w:color w:val="auto"/>
        </w:rPr>
      </w:pPr>
    </w:p>
    <w:p>
      <w:pPr>
        <w:ind w:left="120" w:right="1099"/>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170"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Our business model benefits significantly from recurring sales of our ink and other consumables for our existing and growing installed base of systems. Third parties sell, and purchasers of our systems can seek to buy, alternative versions of our ink or other consumables. We are aware of a small number of instances in which customers are using such third party inks in our systems. These third-party ink and other consumables may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189"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compete successfully could cause our revenues and demand for our solutions to decline.</w:t>
      </w:r>
    </w:p>
    <w:p>
      <w:pPr>
        <w:spacing w:after="0" w:line="237"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The principal competition for our digital printing systems comes from manufacturers of screen printing systems. Our principal competitor in the high throughput digital direct-to-garment, or DTG, market is Aeoon Technologies GmbH. We also face competition from Brother International Corporation, Seiko Epson Corporation and a number of smaller competitors with respect to our entry level systems. Some of our current and potential competitors have larger overall installed bases of customers, longer operating histories and greater name recognition than we have. In addition, many of these competitors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120" w:right="219"/>
        <w:spacing w:after="0" w:line="271" w:lineRule="auto"/>
        <w:rPr>
          <w:sz w:val="20"/>
          <w:szCs w:val="20"/>
          <w:color w:val="auto"/>
        </w:rPr>
      </w:pPr>
      <w:r>
        <w:rPr>
          <w:rFonts w:ascii="Arial" w:cs="Arial" w:eastAsia="Arial" w:hAnsi="Arial"/>
          <w:sz w:val="17"/>
          <w:szCs w:val="17"/>
          <w:color w:val="auto"/>
        </w:rPr>
        <w:t>have greater sales and marketing resources, more advanced manufacturing operations, broader distribution channels and established relationships with channel partners, and greater customer support resources than we have. Current and future competitors may be able to respond more quickly to changes in customer demands and devote greater resources to the development, promotion and sale of their printers and ink and other consumables than we can. Our current and potential competitors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79" w:lineRule="exact"/>
        <w:rPr>
          <w:sz w:val="20"/>
          <w:szCs w:val="20"/>
          <w:color w:val="auto"/>
        </w:rPr>
      </w:pPr>
    </w:p>
    <w:p>
      <w:pPr>
        <w:ind w:left="120" w:right="259"/>
        <w:spacing w:after="0" w:line="342" w:lineRule="auto"/>
        <w:rPr>
          <w:sz w:val="20"/>
          <w:szCs w:val="20"/>
          <w:color w:val="auto"/>
        </w:rPr>
      </w:pPr>
      <w:r>
        <w:rPr>
          <w:rFonts w:ascii="Arial" w:cs="Arial" w:eastAsia="Arial" w:hAnsi="Arial"/>
          <w:sz w:val="16"/>
          <w:szCs w:val="16"/>
          <w:b w:val="1"/>
          <w:bCs w:val="1"/>
          <w:i w:val="1"/>
          <w:iCs w:val="1"/>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24"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We are subject to revenue concentration with respect to two of our independent distributors. In 2013 and during the nine months ended September 30, 2014, Hirsch International Corporation and SPSI, Inc., both distributors in the United States, accounted for 20% and 24% of our revenues in each such period, respectively, in the case of Hirsch, and 13% and 16% of our revenues in each such period in the case of SPSI, respectively. We have entered into non-exclusive distributor agreements with each of these distributors with a term that ends in April 2017 subject to automatic renewal for successive one-year periods unless one party notifies the other party that it does not wish to renew the agreement. These distributors may fail to devote the same level of attention to our solutions as they currently do, elect to distribute competitors’ products or be less successful than distributors of competitors’ products in their territories and, as a result, sales of our solutions may suffer. In addition, our relationships with these distributors could be terminated with little or no notice if these distributors become subject to bankruptcy or other similar proceedings or otherwise become unable or unwilling to continue their business relationship with us and we may not be able to find qualified and successful replacements for our distributors in a timely manner. Due to the concentration of our revenues with these distributors, any such event could have a material adverse effect on our results of operations. Additionally, a default by one or more independent distributors that has a significant receivables balance could harm our financial condition.</w:t>
      </w:r>
    </w:p>
    <w:p>
      <w:pPr>
        <w:spacing w:after="0" w:line="172" w:lineRule="exact"/>
        <w:rPr>
          <w:sz w:val="20"/>
          <w:szCs w:val="20"/>
          <w:color w:val="auto"/>
        </w:rPr>
      </w:pPr>
    </w:p>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170"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 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Moreover, the closing of an especially large transaction in a particular quarter may make it more difficult for us to meet market expectations in subsequent quarters, and our failure to close a large transaction in a particular quarter could adversely impact our revenues for that quarter.</w:t>
      </w:r>
    </w:p>
    <w:p>
      <w:pPr>
        <w:spacing w:after="0" w:line="169"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In addition, while we recently started implementing a means of collecting real time data about our customers’ consumption of ink and other consumables when using our systems, we have thus far done so only to a limited extent and, accordingly, our ability to predict consumption is limited. 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78"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Furthermore, we base our current and future expense levels on our revenue forecasts and operating plans, and our expenses are relatively fixed in the short term, due in part to long lead times required for ordering certain components of our systems and ordering assembly of our systems by third-party manufacturers. Accordingly, we would likely not be able to reduce our</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120" w:right="239"/>
        <w:spacing w:after="0" w:line="259" w:lineRule="auto"/>
        <w:rPr>
          <w:sz w:val="20"/>
          <w:szCs w:val="20"/>
          <w:color w:val="auto"/>
        </w:rPr>
      </w:pPr>
      <w:r>
        <w:rPr>
          <w:rFonts w:ascii="Arial" w:cs="Arial" w:eastAsia="Arial" w:hAnsi="Arial"/>
          <w:sz w:val="18"/>
          <w:szCs w:val="18"/>
          <w:color w:val="auto"/>
        </w:rPr>
        <w:t>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87" w:lineRule="exact"/>
        <w:rPr>
          <w:sz w:val="20"/>
          <w:szCs w:val="20"/>
          <w:color w:val="auto"/>
        </w:rPr>
      </w:pPr>
    </w:p>
    <w:p>
      <w:pPr>
        <w:ind w:left="120" w:right="599"/>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especially with single source suppliers of components, were to terminate, our business could be harmed.</w:t>
      </w:r>
    </w:p>
    <w:p>
      <w:pPr>
        <w:spacing w:after="0" w:line="170"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such as our print heads and emulsion, are only available from single or limited sources as described below.</w:t>
      </w:r>
    </w:p>
    <w:p>
      <w:pPr>
        <w:spacing w:after="0" w:line="200" w:lineRule="exact"/>
        <w:rPr>
          <w:sz w:val="20"/>
          <w:szCs w:val="20"/>
          <w:color w:val="auto"/>
        </w:rPr>
      </w:pPr>
    </w:p>
    <w:p>
      <w:pPr>
        <w:ind w:left="560" w:right="119" w:hanging="219"/>
        <w:spacing w:after="0" w:line="283" w:lineRule="auto"/>
        <w:tabs>
          <w:tab w:leader="none" w:pos="572" w:val="left"/>
        </w:tabs>
        <w:numPr>
          <w:ilvl w:val="0"/>
          <w:numId w:val="14"/>
        </w:numPr>
        <w:rPr>
          <w:rFonts w:ascii="Arial" w:cs="Arial" w:eastAsia="Arial" w:hAnsi="Arial"/>
          <w:sz w:val="19"/>
          <w:szCs w:val="19"/>
          <w:color w:val="auto"/>
        </w:rPr>
      </w:pPr>
      <w:r>
        <w:rPr>
          <w:rFonts w:ascii="Arial" w:cs="Arial" w:eastAsia="Arial" w:hAnsi="Arial"/>
          <w:sz w:val="16"/>
          <w:szCs w:val="16"/>
          <w:color w:val="auto"/>
        </w:rPr>
        <w:t>The print heads for our systems are supplied by a sole supplier, FujiFilm Dimatix, Inc., or FDMX. We entered into an agreement with FDMX in 2006, pursuant to which FDMX sells us certain off-the-shelf print heads and additional products, including ink, all of which FDMX regularly sells to providers of inkjet systems. The agreement renews automatically for successive one-year periods, but FDMX or we can terminate the agreement upon 90 days’ notice prior to the end of the current term, which currently ends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82" w:lineRule="exact"/>
        <w:rPr>
          <w:rFonts w:ascii="Arial" w:cs="Arial" w:eastAsia="Arial" w:hAnsi="Arial"/>
          <w:sz w:val="19"/>
          <w:szCs w:val="19"/>
          <w:color w:val="auto"/>
        </w:rPr>
      </w:pPr>
    </w:p>
    <w:p>
      <w:pPr>
        <w:ind w:left="560" w:right="119" w:hanging="219"/>
        <w:spacing w:after="0" w:line="232" w:lineRule="auto"/>
        <w:tabs>
          <w:tab w:leader="none" w:pos="626"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204"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The loss of either of these suppliers, or of a supplier for which there are limited other sources, could result in the delay of the manufacture and delivery of our systems. For instance, FDMX has from time to time indicated that it may discontinue manufacturing the print head that we currently source from it and use in our systems, which would require us to qualify a new print head for our systems. In order to minimize the risk of any impact from a disruption or discontinuation in the supply of print heads, emulsion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39" w:lineRule="exact"/>
        <w:rPr>
          <w:sz w:val="20"/>
          <w:szCs w:val="20"/>
          <w:color w:val="auto"/>
        </w:rPr>
      </w:pPr>
    </w:p>
    <w:p>
      <w:pPr>
        <w:ind w:left="560" w:right="639" w:hanging="219"/>
        <w:spacing w:after="0" w:line="232"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w:t>
      </w:r>
    </w:p>
    <w:p>
      <w:pPr>
        <w:spacing w:after="0" w:line="217" w:lineRule="exact"/>
        <w:rPr>
          <w:rFonts w:ascii="Arial" w:cs="Arial" w:eastAsia="Arial" w:hAnsi="Arial"/>
          <w:sz w:val="22"/>
          <w:szCs w:val="22"/>
          <w:color w:val="auto"/>
        </w:rPr>
      </w:pPr>
    </w:p>
    <w:p>
      <w:pPr>
        <w:ind w:left="560" w:right="159" w:hanging="219"/>
        <w:spacing w:after="0" w:line="232"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217"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19"/>
          <w:szCs w:val="19"/>
          <w:color w:val="auto"/>
        </w:rPr>
      </w:pPr>
      <w:r>
        <w:rPr>
          <w:rFonts w:ascii="Arial" w:cs="Arial" w:eastAsia="Arial" w:hAnsi="Arial"/>
          <w:sz w:val="16"/>
          <w:szCs w:val="16"/>
          <w:color w:val="auto"/>
        </w:rPr>
        <w:t>we may experience production delays related to the evaluation and testing of products from alternative suppliers;</w:t>
      </w:r>
    </w:p>
    <w:p>
      <w:pPr>
        <w:spacing w:after="0" w:line="216" w:lineRule="exact"/>
        <w:rPr>
          <w:rFonts w:ascii="Arial" w:cs="Arial" w:eastAsia="Arial" w:hAnsi="Arial"/>
          <w:sz w:val="19"/>
          <w:szCs w:val="19"/>
          <w:color w:val="auto"/>
        </w:rPr>
      </w:pPr>
    </w:p>
    <w:p>
      <w:pPr>
        <w:ind w:left="560" w:hanging="219"/>
        <w:spacing w:after="0"/>
        <w:tabs>
          <w:tab w:leader="none" w:pos="5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we may be subject to price fluctuations due to a lack of long-term supply arrangements for key components;</w:t>
      </w:r>
    </w:p>
    <w:p>
      <w:pPr>
        <w:spacing w:after="0" w:line="215" w:lineRule="exact"/>
        <w:rPr>
          <w:rFonts w:ascii="Arial" w:cs="Arial" w:eastAsia="Arial" w:hAnsi="Arial"/>
          <w:sz w:val="21"/>
          <w:szCs w:val="21"/>
          <w:color w:val="auto"/>
        </w:rPr>
      </w:pPr>
    </w:p>
    <w:p>
      <w:pPr>
        <w:ind w:left="560" w:right="839" w:hanging="219"/>
        <w:spacing w:after="0" w:line="232"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67" w:val="left"/>
        </w:tabs>
        <w:numPr>
          <w:ilvl w:val="0"/>
          <w:numId w:val="15"/>
        </w:numPr>
        <w:rPr>
          <w:rFonts w:ascii="Arial" w:cs="Arial" w:eastAsia="Arial" w:hAnsi="Arial"/>
          <w:sz w:val="22"/>
          <w:szCs w:val="22"/>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204" w:lineRule="exact"/>
        <w:rPr>
          <w:sz w:val="20"/>
          <w:szCs w:val="20"/>
          <w:color w:val="auto"/>
        </w:rPr>
      </w:pPr>
    </w:p>
    <w:p>
      <w:pPr>
        <w:ind w:left="120" w:right="159" w:firstLine="216"/>
        <w:spacing w:after="0" w:line="291" w:lineRule="auto"/>
        <w:rPr>
          <w:sz w:val="20"/>
          <w:szCs w:val="20"/>
          <w:color w:val="auto"/>
        </w:rPr>
      </w:pPr>
      <w:r>
        <w:rPr>
          <w:rFonts w:ascii="Arial" w:cs="Arial" w:eastAsia="Arial" w:hAnsi="Arial"/>
          <w:sz w:val="16"/>
          <w:szCs w:val="16"/>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120" w:right="399"/>
        <w:spacing w:after="0" w:line="277" w:lineRule="auto"/>
        <w:rPr>
          <w:sz w:val="20"/>
          <w:szCs w:val="20"/>
          <w:color w:val="auto"/>
        </w:rPr>
      </w:pPr>
      <w:r>
        <w:rPr>
          <w:rFonts w:ascii="Arial" w:cs="Arial" w:eastAsia="Arial" w:hAnsi="Arial"/>
          <w:sz w:val="18"/>
          <w:szCs w:val="18"/>
          <w:b w:val="1"/>
          <w:bCs w:val="1"/>
          <w:i w:val="1"/>
          <w:iCs w:val="1"/>
          <w:color w:val="auto"/>
        </w:rPr>
        <w:t>If we cannot successfully market our systems to major brand owners and fashion designers, our future growth and prospects could be harmed.</w:t>
      </w:r>
    </w:p>
    <w:p>
      <w:pPr>
        <w:spacing w:after="0" w:line="170" w:lineRule="exact"/>
        <w:rPr>
          <w:sz w:val="20"/>
          <w:szCs w:val="20"/>
          <w:color w:val="auto"/>
        </w:rPr>
      </w:pPr>
    </w:p>
    <w:p>
      <w:pPr>
        <w:ind w:left="120" w:right="299" w:firstLine="216"/>
        <w:spacing w:after="0" w:line="270" w:lineRule="auto"/>
        <w:rPr>
          <w:sz w:val="20"/>
          <w:szCs w:val="20"/>
          <w:color w:val="auto"/>
        </w:rPr>
      </w:pPr>
      <w:r>
        <w:rPr>
          <w:rFonts w:ascii="Arial" w:cs="Arial" w:eastAsia="Arial" w:hAnsi="Arial"/>
          <w:sz w:val="17"/>
          <w:szCs w:val="17"/>
          <w:color w:val="auto"/>
        </w:rPr>
        <w:t>A key element of our strategy for growing our business is to market and sell digital printing systems to contract printers that serve major textile brand owners and fashion designers. Accordingly, we are investing in efforts to educate leading textile brand owners and fashion designers about the potential benefits of digital textile printing. Although we have successfully marketed our systems to online businesses and custom decorators, we have limited experience marketing our systems to brand owners and fashion designers. If our efforts to expand awareness of our systems do not succeed or do not influence major brand owners and fashion designers to adopt our digital printing technologies, or if there is a significant reduction in the popularity of printed textiles, especially those that are customized or personalized, among the consumers to whom such brand owners and fashion designers cater, our future growth and prospects could suffer.</w:t>
      </w:r>
    </w:p>
    <w:p>
      <w:pPr>
        <w:spacing w:after="0" w:line="182" w:lineRule="exact"/>
        <w:rPr>
          <w:sz w:val="20"/>
          <w:szCs w:val="20"/>
          <w:color w:val="auto"/>
        </w:rPr>
      </w:pPr>
    </w:p>
    <w:p>
      <w:pPr>
        <w:ind w:left="120" w:right="139"/>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70"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color w:val="auto"/>
        </w:rPr>
        <w:t>We manufacture our ink and other consumables at our facility in Kiryat Gat, Israel. We also rely on contract manufacturing services provided by ITS Industrial Techno Logic Solutions Ltd. in Israel to assemble the majority of our systems and receive contract manufacturing services from IFAT Technologies Ltd. with respect to certain of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we currently have only a limited inventory of our systems and ink and other consumables that we can supply to our customers in the event that our manufacturing is disrupted.</w:t>
      </w:r>
    </w:p>
    <w:p>
      <w:pPr>
        <w:spacing w:after="0" w:line="188"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may not be able to introduce new systems or other technological enhancements to the market on the timescales that we project.</w:t>
      </w:r>
    </w:p>
    <w:p>
      <w:pPr>
        <w:spacing w:after="0" w:line="170" w:lineRule="exact"/>
        <w:rPr>
          <w:sz w:val="20"/>
          <w:szCs w:val="20"/>
          <w:color w:val="auto"/>
        </w:rPr>
      </w:pPr>
    </w:p>
    <w:p>
      <w:pPr>
        <w:ind w:left="120" w:right="139" w:firstLine="216"/>
        <w:spacing w:after="0" w:line="253" w:lineRule="auto"/>
        <w:rPr>
          <w:sz w:val="20"/>
          <w:szCs w:val="20"/>
          <w:color w:val="auto"/>
        </w:rPr>
      </w:pPr>
      <w:r>
        <w:rPr>
          <w:rFonts w:ascii="Arial" w:cs="Arial" w:eastAsia="Arial" w:hAnsi="Arial"/>
          <w:sz w:val="18"/>
          <w:szCs w:val="18"/>
          <w:color w:val="auto"/>
        </w:rPr>
        <w:t>Our growth plan includes the introduction of new systems. For example, we are seeking to penetrate the roll-to-roll, or R2R, market with the commercial launch of our Allegro system, which is targeted to occur within the next 18 months. We are also seeking to expand our presence in the industrial market with the commercial launch of our Vulcan system, which is targeted to occur within the next 24 months. The process of developing new or improved solutions is expensive, complex and involves uncertainties. The success of new or improved solutions depends on several factors, including appropriate component and raw materials costs, timely completion and introduction, reliability and stability, differentiation of new or improved solutions, and market acceptance. There can be no assurance that we will be successful in developing and marketing our new or improved solutions in a timely manner or that our new or improved solutions will adequately address market demands. Furthermore, we may experience unanticipated delays in the availability of new or improved solutions, and may fail to meet customer expectations with respect to the timing of such availability.</w:t>
      </w:r>
    </w:p>
    <w:p>
      <w:pPr>
        <w:spacing w:after="0" w:line="193" w:lineRule="exact"/>
        <w:rPr>
          <w:sz w:val="20"/>
          <w:szCs w:val="20"/>
          <w:color w:val="auto"/>
        </w:rPr>
      </w:pPr>
    </w:p>
    <w:p>
      <w:pPr>
        <w:ind w:left="120" w:right="859"/>
        <w:spacing w:after="0" w:line="277" w:lineRule="auto"/>
        <w:rPr>
          <w:sz w:val="20"/>
          <w:szCs w:val="20"/>
          <w:color w:val="auto"/>
        </w:rPr>
      </w:pPr>
      <w:r>
        <w:rPr>
          <w:rFonts w:ascii="Arial" w:cs="Arial" w:eastAsia="Arial" w:hAnsi="Arial"/>
          <w:sz w:val="18"/>
          <w:szCs w:val="18"/>
          <w:b w:val="1"/>
          <w:bCs w:val="1"/>
          <w:i w:val="1"/>
          <w:iCs w:val="1"/>
          <w:color w:val="auto"/>
        </w:rPr>
        <w:t>Our Allegro system, which we expect to launch commercially in the next 18 months, may not achieve market acceptance or gain adequate market share.</w:t>
      </w:r>
    </w:p>
    <w:p>
      <w:pPr>
        <w:spacing w:after="0" w:line="170"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Our Allegro system, which is currently in beta testing, is our first R2R printing system. Although the Allegro is based on the technology used in our DTG printing systems and we have experience in marketing our systems and ink and other consumables to the DTG printing market, the Allegro is our first R2R system. The market for digital R2R printers is more mature than the market for digital DTG printers, and we expect to face significant competition from major textile printer and ink manufacturers in the R2R market, such as MS Printing Solutions SRL, Reggiani Macchine S.P.A., and Durst Phototechnik AG. In addition, we expect to focus marketing efforts for our R2R systems towards customers with more capital-intensive operations, such as fabric converters, who source large quantities of fabric and convert untreated fabrics into finished materials to be sold to garment and home décor manufacturers. This differs from the customer base that we currently serve in the DTG market. We cannot ensure that the significant investments that we have made in distribution, sales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120" w:right="219"/>
        <w:spacing w:after="0" w:line="255" w:lineRule="auto"/>
        <w:rPr>
          <w:sz w:val="20"/>
          <w:szCs w:val="20"/>
          <w:color w:val="auto"/>
        </w:rPr>
      </w:pPr>
      <w:r>
        <w:rPr>
          <w:rFonts w:ascii="Arial" w:cs="Arial" w:eastAsia="Arial" w:hAnsi="Arial"/>
          <w:sz w:val="18"/>
          <w:szCs w:val="18"/>
          <w:color w:val="auto"/>
        </w:rPr>
        <w:t>customer service teams in preparation for the launch of the Allegro will enable us to market, sell and distribute the Allegro as planned. Market acceptance of the Allegro will depend on, among other things, the system demonstrating a real advantage over existing printers, the success of our sales and marketing teams in creating awareness of the Allegro, the sales price of the Allegro relative to alternative printers, customer recognition of the value of our technology, the effectiveness of our marketing campaigns, and the general willingness of potential customers to try new technologies. In the event that we are unable to achieve market acceptance of the Allegro, our growth and future prospects may be adversely affected.</w:t>
      </w:r>
    </w:p>
    <w:p>
      <w:pPr>
        <w:spacing w:after="0" w:line="189" w:lineRule="exact"/>
        <w:rPr>
          <w:sz w:val="20"/>
          <w:szCs w:val="20"/>
          <w:color w:val="auto"/>
        </w:rPr>
      </w:pPr>
    </w:p>
    <w:p>
      <w:pPr>
        <w:ind w:left="120" w:right="119"/>
        <w:spacing w:after="0" w:line="308" w:lineRule="auto"/>
        <w:rPr>
          <w:sz w:val="20"/>
          <w:szCs w:val="20"/>
          <w:color w:val="auto"/>
        </w:rPr>
      </w:pPr>
      <w:r>
        <w:rPr>
          <w:rFonts w:ascii="Arial" w:cs="Arial" w:eastAsia="Arial" w:hAnsi="Arial"/>
          <w:sz w:val="17"/>
          <w:szCs w:val="17"/>
          <w:b w:val="1"/>
          <w:bCs w:val="1"/>
          <w:i w:val="1"/>
          <w:iCs w:val="1"/>
          <w:color w:val="auto"/>
        </w:rPr>
        <w:t>If we fail to effectively manage our growth, our business and operations will be negatively affected, and as we invest in the growth of our business, our operating and net profit margins could decline in the near-term.</w:t>
      </w:r>
    </w:p>
    <w:p>
      <w:pPr>
        <w:spacing w:after="0" w:line="147" w:lineRule="exact"/>
        <w:rPr>
          <w:sz w:val="20"/>
          <w:szCs w:val="20"/>
          <w:color w:val="auto"/>
        </w:rPr>
      </w:pPr>
    </w:p>
    <w:p>
      <w:pPr>
        <w:ind w:left="120" w:right="199" w:firstLine="216"/>
        <w:spacing w:after="0" w:line="287" w:lineRule="auto"/>
        <w:rPr>
          <w:sz w:val="20"/>
          <w:szCs w:val="20"/>
          <w:color w:val="auto"/>
        </w:rPr>
      </w:pPr>
      <w:r>
        <w:rPr>
          <w:rFonts w:ascii="Arial" w:cs="Arial" w:eastAsia="Arial" w:hAnsi="Arial"/>
          <w:sz w:val="16"/>
          <w:szCs w:val="16"/>
          <w:color w:val="auto"/>
        </w:rPr>
        <w:t>We have experienced significant growth in a relatively short period of time and intend to continue to grow our business. Our revenues grew from $39.2 million in 2012 to $49.4 million in 2013 and from $34.2 million in the nine months ended September 30, 2013 to $47.5 million in nine months ended September 30, 2014. Our headcount increased from 109 as of December 31, 2011 to 254 as of September 30, 2014, and during such period we hired our current Chief Executive Officer and Chief Financial Officer. We plan to hire additional employees in 2015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and in connection with our transition to a public company, we must continue to improve and expand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73" w:lineRule="exact"/>
        <w:rPr>
          <w:sz w:val="20"/>
          <w:szCs w:val="20"/>
          <w:color w:val="auto"/>
        </w:rPr>
      </w:pPr>
    </w:p>
    <w:p>
      <w:pPr>
        <w:ind w:left="120" w:right="519"/>
        <w:spacing w:after="0" w:line="308" w:lineRule="auto"/>
        <w:rPr>
          <w:sz w:val="20"/>
          <w:szCs w:val="20"/>
          <w:color w:val="auto"/>
        </w:rPr>
      </w:pPr>
      <w:r>
        <w:rPr>
          <w:rFonts w:ascii="Arial" w:cs="Arial" w:eastAsia="Arial" w:hAnsi="Arial"/>
          <w:sz w:val="17"/>
          <w:szCs w:val="17"/>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147" w:lineRule="exact"/>
        <w:rPr>
          <w:sz w:val="20"/>
          <w:szCs w:val="20"/>
          <w:color w:val="auto"/>
        </w:rPr>
      </w:pPr>
    </w:p>
    <w:p>
      <w:pPr>
        <w:ind w:left="120" w:right="199" w:firstLine="216"/>
        <w:spacing w:after="0" w:line="285" w:lineRule="auto"/>
        <w:rPr>
          <w:sz w:val="20"/>
          <w:szCs w:val="20"/>
          <w:color w:val="auto"/>
        </w:rPr>
      </w:pPr>
      <w:r>
        <w:rPr>
          <w:rFonts w:ascii="Arial" w:cs="Arial" w:eastAsia="Arial" w:hAnsi="Arial"/>
          <w:sz w:val="16"/>
          <w:szCs w:val="16"/>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75"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Exchange rate fluctuations between the U.S. dollar and the Israeli shekel, the Euro and other non-U.S. currencies may negatively affect our earnings.</w:t>
      </w:r>
    </w:p>
    <w:p>
      <w:pPr>
        <w:spacing w:after="0" w:line="170"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once implemented, will be successful in protecting us in full from adverse impacts from currency exchange rate fluctuations since we only plan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120" w:right="159"/>
        <w:spacing w:after="0" w:line="291" w:lineRule="auto"/>
        <w:rPr>
          <w:sz w:val="20"/>
          <w:szCs w:val="20"/>
          <w:color w:val="auto"/>
        </w:rPr>
      </w:pPr>
      <w:r>
        <w:rPr>
          <w:rFonts w:ascii="Arial" w:cs="Arial" w:eastAsia="Arial" w:hAnsi="Arial"/>
          <w:sz w:val="16"/>
          <w:szCs w:val="16"/>
          <w:color w:val="auto"/>
        </w:rPr>
        <w:t>hedge a portion of our foreign currency exposure, and we cannot predict any future trends in the rate of inflation in Israel or the rate of devaluation (if any) of the NIS against the dollar. For example, based on annual average exchange rates, the dollar appreciated by 7.8% against the NIS in 2012, but depreciated by 6.4% against the NIS in 2013 and by 3.3% in the nine months ended September 30, 2014. This depreciation was further compounded by inflation in Israel of 1.8% in 2013 and deflation in Israel of 0.2% in 2014. If the dollar cost of our operations increases, our dollar-measured results of operations will be adversely affected. See “Management’s Discussion and Analysis of Financial Condition and Results of Operations—Quantitative and Qualitative Disclosure About Market Risk—Foreign Currency Risk.”</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225"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167"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develop and commercialize our solutions or new applications for our existing systems. Further, any failure to effectively integrate new personnel could prevent us from successfully growing our company.</w:t>
      </w:r>
    </w:p>
    <w:p>
      <w:pPr>
        <w:spacing w:after="0" w:line="178" w:lineRule="exact"/>
        <w:rPr>
          <w:sz w:val="20"/>
          <w:szCs w:val="20"/>
          <w:color w:val="auto"/>
        </w:rPr>
      </w:pPr>
    </w:p>
    <w:p>
      <w:pPr>
        <w:ind w:left="120" w:right="479"/>
        <w:spacing w:after="0" w:line="381" w:lineRule="auto"/>
        <w:rPr>
          <w:sz w:val="20"/>
          <w:szCs w:val="20"/>
          <w:color w:val="auto"/>
        </w:rPr>
      </w:pPr>
      <w:r>
        <w:rPr>
          <w:rFonts w:ascii="Arial" w:cs="Arial" w:eastAsia="Arial" w:hAnsi="Arial"/>
          <w:sz w:val="15"/>
          <w:szCs w:val="15"/>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01"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79" w:lineRule="exact"/>
        <w:rPr>
          <w:sz w:val="20"/>
          <w:szCs w:val="20"/>
          <w:color w:val="auto"/>
        </w:rPr>
      </w:pPr>
    </w:p>
    <w:p>
      <w:pPr>
        <w:ind w:left="120" w:right="219"/>
        <w:spacing w:after="0" w:line="312" w:lineRule="auto"/>
        <w:rPr>
          <w:sz w:val="20"/>
          <w:szCs w:val="20"/>
          <w:color w:val="auto"/>
        </w:rPr>
      </w:pPr>
      <w:r>
        <w:rPr>
          <w:rFonts w:ascii="Arial" w:cs="Arial" w:eastAsia="Arial" w:hAnsi="Arial"/>
          <w:sz w:val="16"/>
          <w:szCs w:val="16"/>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47"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Based on our current business plan, we believe our cash flows from operating activities, our existing cash resources and the net proceeds to us from this offering will be sufficient to meet our currently anticipated cash requirements through the next 12 months without drawing on our lines of credit however,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92" w:lineRule="exact"/>
        <w:rPr>
          <w:sz w:val="20"/>
          <w:szCs w:val="20"/>
          <w:color w:val="auto"/>
        </w:rPr>
      </w:pPr>
    </w:p>
    <w:p>
      <w:pPr>
        <w:ind w:left="120" w:right="319" w:firstLine="216"/>
        <w:spacing w:after="0" w:line="255"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120" w:right="179"/>
        <w:spacing w:after="0" w:line="277" w:lineRule="auto"/>
        <w:rPr>
          <w:sz w:val="20"/>
          <w:szCs w:val="20"/>
          <w:color w:val="auto"/>
        </w:rPr>
      </w:pPr>
      <w:r>
        <w:rPr>
          <w:rFonts w:ascii="Arial" w:cs="Arial" w:eastAsia="Arial" w:hAnsi="Arial"/>
          <w:sz w:val="18"/>
          <w:szCs w:val="18"/>
          <w:color w:val="auto"/>
        </w:rPr>
        <w:t>adversely impact our ability to conduct our business. In addition, the issuance of additional equity securities by us, or the possibility of such issuance, may cause the market price of our ordinary shares to decline.</w:t>
      </w:r>
    </w:p>
    <w:p>
      <w:pPr>
        <w:spacing w:after="0" w:line="170"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Further, while we have two lines of credit from Israeli banks in a total amount of up to $3.0 million, all of which is undrawn as of December 31, 2014, the lines of credit contain change of control provisions that, absent a waiver or amendment, could cause us to be in default or require us to repay any amounts borrowed under certain circumstances. Specifically, we would be in default under one of our lines of credit if our controlling shareholder, Fortissimo Capital, ceases to control us. However, because the agreement provides an exception for changes of control that occur as a result of a listing on a stock exchange, such as the NASDAQ, we do not expect to be in default under this line of credit for this reason following the closing of this offering. Any borrowings under our second line of credit would become repayable if Fortissimo Capital ceases to hold 25.0% of our issued and outstanding shares or the right to appoint a director. We do not anticipate either of these events to occur immediately following the closing of this offering, although they may occur in the future.</w:t>
      </w:r>
    </w:p>
    <w:p>
      <w:pPr>
        <w:spacing w:after="0" w:line="178"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If we are unable to raise additional capital when required and on acceptable terms, we may be required to delay, scale back or discontinue the development, manufacturing scale-up or commercialization of our current and future solutions, which would have a material adverse effect on our business, operating results and prospects and on our ability to develop our solutions.</w:t>
      </w:r>
    </w:p>
    <w:p>
      <w:pPr>
        <w:spacing w:after="0" w:line="187"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70" w:lineRule="exact"/>
        <w:rPr>
          <w:sz w:val="20"/>
          <w:szCs w:val="20"/>
          <w:color w:val="auto"/>
        </w:rPr>
      </w:pPr>
    </w:p>
    <w:p>
      <w:pPr>
        <w:ind w:left="560" w:hanging="219"/>
        <w:spacing w:after="0"/>
        <w:tabs>
          <w:tab w:leader="none" w:pos="560" w:val="left"/>
        </w:tabs>
        <w:numPr>
          <w:ilvl w:val="0"/>
          <w:numId w:val="16"/>
        </w:numPr>
        <w:rPr>
          <w:rFonts w:ascii="Arial" w:cs="Arial" w:eastAsia="Arial" w:hAnsi="Arial"/>
          <w:sz w:val="21"/>
          <w:szCs w:val="21"/>
          <w:color w:val="auto"/>
        </w:rPr>
      </w:pPr>
      <w:r>
        <w:rPr>
          <w:rFonts w:ascii="Arial" w:cs="Arial" w:eastAsia="Arial" w:hAnsi="Arial"/>
          <w:sz w:val="17"/>
          <w:szCs w:val="17"/>
          <w:color w:val="auto"/>
        </w:rPr>
        <w:t>greater difficulty in enforcing contracts and accounts receivable collection, as well as longer collection periods;</w:t>
      </w:r>
    </w:p>
    <w:p>
      <w:pPr>
        <w:spacing w:after="0" w:line="215" w:lineRule="exact"/>
        <w:rPr>
          <w:rFonts w:ascii="Arial" w:cs="Arial" w:eastAsia="Arial" w:hAnsi="Arial"/>
          <w:sz w:val="21"/>
          <w:szCs w:val="21"/>
          <w:color w:val="auto"/>
        </w:rPr>
      </w:pPr>
    </w:p>
    <w:p>
      <w:pPr>
        <w:ind w:left="560" w:right="619" w:hanging="219"/>
        <w:spacing w:after="0" w:line="232" w:lineRule="auto"/>
        <w:tabs>
          <w:tab w:leader="none" w:pos="572"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17"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fluctuations in exchange rates between the U.S. dollar and foreign currencies in markets where we do business;</w:t>
      </w:r>
    </w:p>
    <w:p>
      <w:pPr>
        <w:spacing w:after="0" w:line="227" w:lineRule="exact"/>
        <w:rPr>
          <w:rFonts w:ascii="Arial" w:cs="Arial" w:eastAsia="Arial" w:hAnsi="Arial"/>
          <w:sz w:val="19"/>
          <w:szCs w:val="19"/>
          <w:color w:val="auto"/>
        </w:rPr>
      </w:pPr>
    </w:p>
    <w:p>
      <w:pPr>
        <w:ind w:left="560" w:right="719" w:hanging="219"/>
        <w:spacing w:after="0" w:line="232" w:lineRule="auto"/>
        <w:tabs>
          <w:tab w:leader="none" w:pos="572" w:val="left"/>
        </w:tabs>
        <w:numPr>
          <w:ilvl w:val="0"/>
          <w:numId w:val="16"/>
        </w:numPr>
        <w:rPr>
          <w:rFonts w:ascii="Arial" w:cs="Arial" w:eastAsia="Arial" w:hAnsi="Arial"/>
          <w:sz w:val="22"/>
          <w:szCs w:val="22"/>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general economic and political conditions in these foreign markets;</w:t>
      </w:r>
    </w:p>
    <w:p>
      <w:pPr>
        <w:spacing w:after="0" w:line="215" w:lineRule="exact"/>
        <w:rPr>
          <w:rFonts w:ascii="Arial" w:cs="Arial" w:eastAsia="Arial" w:hAnsi="Arial"/>
          <w:sz w:val="22"/>
          <w:szCs w:val="22"/>
          <w:color w:val="auto"/>
        </w:rPr>
      </w:pPr>
    </w:p>
    <w:p>
      <w:pPr>
        <w:ind w:left="560" w:right="439" w:hanging="219"/>
        <w:spacing w:after="0" w:line="232" w:lineRule="auto"/>
        <w:tabs>
          <w:tab w:leader="none" w:pos="572" w:val="left"/>
        </w:tabs>
        <w:numPr>
          <w:ilvl w:val="0"/>
          <w:numId w:val="16"/>
        </w:numPr>
        <w:rPr>
          <w:rFonts w:ascii="Arial" w:cs="Arial" w:eastAsia="Arial" w:hAnsi="Arial"/>
          <w:sz w:val="22"/>
          <w:szCs w:val="22"/>
          <w:color w:val="auto"/>
        </w:rPr>
      </w:pPr>
      <w:r>
        <w:rPr>
          <w:rFonts w:ascii="Arial" w:cs="Arial" w:eastAsia="Arial" w:hAnsi="Arial"/>
          <w:sz w:val="18"/>
          <w:szCs w:val="18"/>
          <w:color w:val="auto"/>
        </w:rPr>
        <w:t>economic uncertainty around the world, including continued economic uncertainty as a result of sovereign debt issues in Europe and Latin America;</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management communication and integration problems resulting from cultural and geographic dispersion;</w:t>
      </w:r>
    </w:p>
    <w:p>
      <w:pPr>
        <w:spacing w:after="0" w:line="215" w:lineRule="exact"/>
        <w:rPr>
          <w:rFonts w:ascii="Arial" w:cs="Arial" w:eastAsia="Arial" w:hAnsi="Arial"/>
          <w:sz w:val="22"/>
          <w:szCs w:val="22"/>
          <w:color w:val="auto"/>
        </w:rPr>
      </w:pPr>
    </w:p>
    <w:p>
      <w:pPr>
        <w:ind w:left="560" w:right="239" w:hanging="219"/>
        <w:spacing w:after="0" w:line="238" w:lineRule="auto"/>
        <w:tabs>
          <w:tab w:leader="none" w:pos="572" w:val="left"/>
        </w:tabs>
        <w:numPr>
          <w:ilvl w:val="0"/>
          <w:numId w:val="16"/>
        </w:numPr>
        <w:rPr>
          <w:rFonts w:ascii="Arial" w:cs="Arial" w:eastAsia="Arial" w:hAnsi="Arial"/>
          <w:sz w:val="22"/>
          <w:szCs w:val="22"/>
          <w:color w:val="auto"/>
        </w:rPr>
      </w:pPr>
      <w:r>
        <w:rPr>
          <w:rFonts w:ascii="Arial" w:cs="Arial" w:eastAsia="Arial" w:hAnsi="Arial"/>
          <w:sz w:val="18"/>
          <w:szCs w:val="18"/>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93"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greater risk of unexpected changes in regulatory practices, tariffs, and tax laws and treaties;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uncertainty of protection for intellectual property rights in some countries;</w:t>
      </w:r>
    </w:p>
    <w:p>
      <w:pPr>
        <w:spacing w:after="0" w:line="215" w:lineRule="exact"/>
        <w:rPr>
          <w:rFonts w:ascii="Arial" w:cs="Arial" w:eastAsia="Arial" w:hAnsi="Arial"/>
          <w:sz w:val="22"/>
          <w:szCs w:val="22"/>
          <w:color w:val="auto"/>
        </w:rPr>
      </w:pPr>
    </w:p>
    <w:p>
      <w:pPr>
        <w:ind w:left="560" w:right="119" w:hanging="219"/>
        <w:spacing w:after="0" w:line="251" w:lineRule="auto"/>
        <w:tabs>
          <w:tab w:leader="none" w:pos="572" w:val="left"/>
        </w:tabs>
        <w:numPr>
          <w:ilvl w:val="0"/>
          <w:numId w:val="16"/>
        </w:numPr>
        <w:rPr>
          <w:rFonts w:ascii="Arial" w:cs="Arial" w:eastAsia="Arial" w:hAnsi="Arial"/>
          <w:sz w:val="21"/>
          <w:szCs w:val="21"/>
          <w:color w:val="auto"/>
        </w:rPr>
      </w:pPr>
      <w:r>
        <w:rPr>
          <w:rFonts w:ascii="Arial" w:cs="Arial" w:eastAsia="Arial" w:hAnsi="Arial"/>
          <w:sz w:val="17"/>
          <w:szCs w:val="17"/>
          <w:color w:val="auto"/>
        </w:rPr>
        <w:t>greater risk of a failure of employees to comply with both U.S. and foreign laws, including antitrust regulations, the U.S. Foreign Corrupt Practices Act (FCPA), and any trade regulations ensuring fair trade practices; and</w:t>
      </w:r>
    </w:p>
    <w:p>
      <w:pPr>
        <w:spacing w:after="0" w:line="204" w:lineRule="exact"/>
        <w:rPr>
          <w:rFonts w:ascii="Arial" w:cs="Arial" w:eastAsia="Arial" w:hAnsi="Arial"/>
          <w:sz w:val="21"/>
          <w:szCs w:val="21"/>
          <w:color w:val="auto"/>
        </w:rPr>
      </w:pPr>
    </w:p>
    <w:p>
      <w:pPr>
        <w:jc w:val="both"/>
        <w:ind w:left="560" w:right="119" w:hanging="219"/>
        <w:spacing w:after="0" w:line="238" w:lineRule="auto"/>
        <w:tabs>
          <w:tab w:leader="none" w:pos="663" w:val="left"/>
        </w:tabs>
        <w:numPr>
          <w:ilvl w:val="0"/>
          <w:numId w:val="16"/>
        </w:numPr>
        <w:rPr>
          <w:rFonts w:ascii="Arial" w:cs="Arial" w:eastAsia="Arial" w:hAnsi="Arial"/>
          <w:sz w:val="22"/>
          <w:szCs w:val="22"/>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ectPr>
          <w:pgSz w:w="11900" w:h="16838" w:orient="portrait"/>
          <w:cols w:equalWidth="0" w:num="1">
            <w:col w:w="9019"/>
          </w:cols>
          <w:pgMar w:left="1440" w:top="125" w:right="1440"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9" w:name="page20"/>
    <w:bookmarkEnd w:id="19"/>
    <w:p>
      <w:pPr>
        <w:ind w:left="120" w:right="139" w:firstLine="216"/>
        <w:spacing w:after="0" w:line="272" w:lineRule="auto"/>
        <w:rPr>
          <w:sz w:val="20"/>
          <w:szCs w:val="20"/>
          <w:color w:val="auto"/>
        </w:rPr>
      </w:pPr>
      <w:r>
        <w:rPr>
          <w:rFonts w:ascii="Arial" w:cs="Arial" w:eastAsia="Arial" w:hAnsi="Arial"/>
          <w:sz w:val="17"/>
          <w:szCs w:val="17"/>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78" w:lineRule="exact"/>
        <w:rPr>
          <w:sz w:val="20"/>
          <w:szCs w:val="20"/>
          <w:color w:val="auto"/>
        </w:rPr>
      </w:pPr>
    </w:p>
    <w:p>
      <w:pPr>
        <w:ind w:left="120" w:right="199"/>
        <w:spacing w:after="0" w:line="277" w:lineRule="auto"/>
        <w:rPr>
          <w:sz w:val="20"/>
          <w:szCs w:val="20"/>
          <w:color w:val="auto"/>
        </w:rPr>
      </w:pPr>
      <w:r>
        <w:rPr>
          <w:rFonts w:ascii="Arial" w:cs="Arial" w:eastAsia="Arial" w:hAnsi="Arial"/>
          <w:sz w:val="18"/>
          <w:szCs w:val="18"/>
          <w:b w:val="1"/>
          <w:bCs w:val="1"/>
          <w:i w:val="1"/>
          <w:iCs w:val="1"/>
          <w:color w:val="auto"/>
        </w:rPr>
        <w:t>If we are unable to obtain patent protection for our solutions or otherwise protect our intellectual property rights, our business could suffer.</w:t>
      </w:r>
    </w:p>
    <w:p>
      <w:pPr>
        <w:spacing w:after="0" w:line="170"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1, 2014, we owned seven issued patents in the United States and five provisional or pending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 patent applications. We also had 10 patents issued in non-U.S. jurisdictions, and two pending Patent Cooperation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Treaty patent applications, which are counterparts of our U.S. patent applications. The non-U.S. jurisdictions in which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issued patents are China, the European Union, Hong Kong and Japan. We may file additional patent applications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future. The process of obtaining patent protection is expensive, time-consuming, and uncertain, and we may not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able to prosecute all necessary or desirable patent applications at a reasonable cost or in a timely manner all the way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through to the successful issuance of a patent. We may choose not to seek patent protection for certain innovations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choose not to pursue patent protection in certain jurisdictions. Furthermore, it is possible that our patent applications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not issue as granted patents, that the scope of our issued patents will be insufficient or not have the coverage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originally sought, that our issued patents will not provide us with any competitive advantages, and that our patents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intellectual property rights may be challenged by others through administrative processes or litigation resulting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patent claims being narrowed, invalidated, or unenforceable. In addition, issuance of a patent does not guarantee that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an absolute right to practice the patented invention. Our policy is to require our employees (and our consultants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service providers, including third-party manufacturers of our systems and components, that develop intellectual property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included in our systems) to execute written agreements in which they assign to us their rights in potential inventions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intellectual property created within the scope of their employment (or, with respect to consultants and service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providers, their engagement to develop such intellectual property), but we cannot assure you that we have adequately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protected our rights in every such agreement or that we have executed an agreement with every such party. Finally,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order to benefit from the protection of patents and other intellectual property rights, we must monitor and</w:t>
      </w:r>
    </w:p>
    <w:p>
      <w:pPr>
        <w:spacing w:after="0" w:line="9" w:lineRule="exact"/>
        <w:rPr>
          <w:sz w:val="20"/>
          <w:szCs w:val="20"/>
          <w:color w:val="auto"/>
        </w:rPr>
      </w:pPr>
    </w:p>
    <w:p>
      <w:pPr>
        <w:jc w:val="both"/>
        <w:ind w:left="120" w:right="399"/>
        <w:spacing w:after="0" w:line="255" w:lineRule="auto"/>
        <w:rPr>
          <w:sz w:val="20"/>
          <w:szCs w:val="20"/>
          <w:color w:val="auto"/>
        </w:rPr>
      </w:pPr>
      <w:r>
        <w:rPr>
          <w:rFonts w:ascii="Arial" w:cs="Arial" w:eastAsia="Arial" w:hAnsi="Arial"/>
          <w:sz w:val="18"/>
          <w:szCs w:val="18"/>
          <w:color w:val="auto"/>
        </w:rPr>
        <w:t>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90"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120"/>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ind w:left="120" w:right="239" w:firstLine="216"/>
        <w:spacing w:after="0" w:line="257"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 our trademark rights. Any unauthorized use of our trademarks could harm our reputation or commercial interests. In addition, efforts to enforce our trademarks may be expensive and time-consuming, and may not effectively prevent infringement.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substantial costs responding to third-party claims of intellectual property infringement.</w:t>
      </w:r>
    </w:p>
    <w:p>
      <w:pPr>
        <w:spacing w:after="0" w:line="225" w:lineRule="exact"/>
        <w:rPr>
          <w:sz w:val="20"/>
          <w:szCs w:val="20"/>
          <w:color w:val="auto"/>
        </w:rPr>
      </w:pPr>
    </w:p>
    <w:p>
      <w:pPr>
        <w:ind w:left="120" w:right="199" w:firstLine="216"/>
        <w:spacing w:after="0" w:line="276" w:lineRule="auto"/>
        <w:rPr>
          <w:sz w:val="20"/>
          <w:szCs w:val="20"/>
          <w:color w:val="auto"/>
        </w:rPr>
      </w:pPr>
      <w:r>
        <w:rPr>
          <w:rFonts w:ascii="Arial" w:cs="Arial" w:eastAsia="Arial" w:hAnsi="Arial"/>
          <w:sz w:val="17"/>
          <w:szCs w:val="17"/>
          <w:color w:val="auto"/>
        </w:rPr>
        <w:t>We may in the future be subject to claims that we have infringed third-party intellectual property rights. Intellectual property disputes can be costly and disruptive to our business operations by diverting the attention and energies of management and key technical personnel, and by increasing our costs of doing business. We may not prevail in any such dispute or litigation, and an adverse decision in any legal action involving intellectual property rights could harm our intellectual property rights and the value of any related technology.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39" w:lineRule="exact"/>
        <w:rPr>
          <w:sz w:val="20"/>
          <w:szCs w:val="20"/>
          <w:color w:val="auto"/>
        </w:rPr>
      </w:pPr>
    </w:p>
    <w:p>
      <w:pPr>
        <w:ind w:left="560" w:right="179" w:hanging="219"/>
        <w:spacing w:after="0" w:line="232" w:lineRule="auto"/>
        <w:tabs>
          <w:tab w:leader="none" w:pos="572"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require us to redesign our technology or force us to enter into costly settlement or license agreements on terms that are unfavorable to us;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prevent us from manufacturing, importing, using, or selling some or all of our solutions;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disrupt our operations or the markets in which we compete;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impose costly damage awards;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require us to indemnify our distributors and customers.</w:t>
      </w:r>
    </w:p>
    <w:p>
      <w:pPr>
        <w:spacing w:after="0" w:line="202" w:lineRule="exact"/>
        <w:rPr>
          <w:sz w:val="20"/>
          <w:szCs w:val="20"/>
          <w:color w:val="auto"/>
        </w:rPr>
      </w:pPr>
    </w:p>
    <w:p>
      <w:pPr>
        <w:ind w:left="120" w:right="119"/>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ind w:left="120" w:right="179" w:firstLine="216"/>
        <w:spacing w:after="0" w:line="285"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decisions by the Committee (which have been upheld by the Israeli Supreme Court on appeal) have created uncertainty in this area, as it held that employees may be entitled to remuneration for their service inventions despite having specifically waived any such rights. However, a recent decision by the Committee held that such right can be waived by the employee. The Committee further held that an explicit reference to the waived right is not necessary in every circumstance in order for the employee’s waiver of such right to be valid. Such waiver can be formalized in writing or orally or be implied by the actions of the parties in accordance with the rules of interpretation of Israeli contract law.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Undetected defects in the design or manufacturing of our products may harm our business and results of operations.</w:t>
      </w:r>
    </w:p>
    <w:p>
      <w:pPr>
        <w:spacing w:after="0" w:line="260"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120" w:right="219"/>
        <w:spacing w:after="0" w:line="254" w:lineRule="auto"/>
        <w:rPr>
          <w:sz w:val="20"/>
          <w:szCs w:val="20"/>
          <w:color w:val="auto"/>
        </w:rPr>
      </w:pPr>
      <w:r>
        <w:rPr>
          <w:rFonts w:ascii="Arial" w:cs="Arial" w:eastAsia="Arial" w:hAnsi="Arial"/>
          <w:sz w:val="18"/>
          <w:szCs w:val="18"/>
          <w:color w:val="auto"/>
        </w:rPr>
        <w:t>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w:t>
      </w:r>
    </w:p>
    <w:p>
      <w:pPr>
        <w:spacing w:after="0" w:line="192" w:lineRule="exact"/>
        <w:rPr>
          <w:sz w:val="20"/>
          <w:szCs w:val="20"/>
          <w:color w:val="auto"/>
        </w:rPr>
      </w:pPr>
    </w:p>
    <w:p>
      <w:pPr>
        <w:ind w:left="120" w:right="299"/>
        <w:spacing w:after="0" w:line="277" w:lineRule="auto"/>
        <w:rPr>
          <w:sz w:val="20"/>
          <w:szCs w:val="20"/>
          <w:color w:val="auto"/>
        </w:rPr>
      </w:pPr>
      <w:r>
        <w:rPr>
          <w:rFonts w:ascii="Arial" w:cs="Arial" w:eastAsia="Arial" w:hAnsi="Arial"/>
          <w:sz w:val="18"/>
          <w:szCs w:val="18"/>
          <w:color w:val="auto"/>
        </w:rPr>
        <w:t>In addition, costs or payments made in connection with warranty and product liability claims and system recalls could materially affect our financial condition and results of operations.</w:t>
      </w:r>
    </w:p>
    <w:p>
      <w:pPr>
        <w:spacing w:after="0" w:line="170"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shareholder value, and adversely affect our results of operations.</w:t>
      </w:r>
    </w:p>
    <w:p>
      <w:pPr>
        <w:spacing w:after="0" w:line="170" w:lineRule="exact"/>
        <w:rPr>
          <w:sz w:val="20"/>
          <w:szCs w:val="20"/>
          <w:color w:val="auto"/>
        </w:rPr>
      </w:pPr>
    </w:p>
    <w:p>
      <w:pPr>
        <w:ind w:left="120" w:right="559" w:firstLine="216"/>
        <w:spacing w:after="0" w:line="264" w:lineRule="auto"/>
        <w:rPr>
          <w:sz w:val="20"/>
          <w:szCs w:val="20"/>
          <w:color w:val="auto"/>
        </w:rPr>
      </w:pPr>
      <w:r>
        <w:rPr>
          <w:rFonts w:ascii="Arial" w:cs="Arial" w:eastAsia="Arial" w:hAnsi="Arial"/>
          <w:sz w:val="18"/>
          <w:szCs w:val="18"/>
          <w:color w:val="auto"/>
        </w:rPr>
        <w:t>As part of our business strategy and in order to remain competitive, we may acquire or make investments in complementary companies, products or technologies. However, we have not made any acquisitions to date, and as a result,</w:t>
      </w:r>
    </w:p>
    <w:p>
      <w:pPr>
        <w:spacing w:after="0" w:line="181" w:lineRule="exact"/>
        <w:rPr>
          <w:sz w:val="20"/>
          <w:szCs w:val="20"/>
          <w:color w:val="auto"/>
        </w:rPr>
      </w:pPr>
    </w:p>
    <w:p>
      <w:pPr>
        <w:ind w:left="120" w:right="119"/>
        <w:spacing w:after="0" w:line="286" w:lineRule="auto"/>
        <w:rPr>
          <w:sz w:val="20"/>
          <w:szCs w:val="20"/>
          <w:color w:val="auto"/>
        </w:rPr>
      </w:pPr>
      <w:r>
        <w:rPr>
          <w:rFonts w:ascii="Arial" w:cs="Arial" w:eastAsia="Arial" w:hAnsi="Arial"/>
          <w:sz w:val="16"/>
          <w:szCs w:val="16"/>
          <w:color w:val="auto"/>
        </w:rPr>
        <w:t>our ability as an organization to acquire and integrate other companies, products or technologies in a successful manner is unproven. We may not be able to find suitable acquisition candidates, and we may not be able to complete such acquisitions on favorable terms, if at all. If we do complete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There has been no prior public market for our ordinary shares, and an active trading market may not develop.</w:t>
      </w:r>
    </w:p>
    <w:p>
      <w:pPr>
        <w:spacing w:after="0" w:line="248" w:lineRule="exact"/>
        <w:rPr>
          <w:sz w:val="20"/>
          <w:szCs w:val="20"/>
          <w:color w:val="auto"/>
        </w:rPr>
      </w:pPr>
    </w:p>
    <w:p>
      <w:pPr>
        <w:ind w:left="120" w:right="319" w:firstLine="216"/>
        <w:spacing w:after="0" w:line="273" w:lineRule="auto"/>
        <w:rPr>
          <w:sz w:val="20"/>
          <w:szCs w:val="20"/>
          <w:color w:val="auto"/>
        </w:rPr>
      </w:pPr>
      <w:r>
        <w:rPr>
          <w:rFonts w:ascii="Arial" w:cs="Arial" w:eastAsia="Arial" w:hAnsi="Arial"/>
          <w:sz w:val="17"/>
          <w:szCs w:val="17"/>
          <w:color w:val="auto"/>
        </w:rPr>
        <w:t>Prior to this offering, there has been no public market for our ordinary shares. An active trading market may not develop following completion of this offering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225" w:lineRule="exact"/>
        <w:rPr>
          <w:sz w:val="20"/>
          <w:szCs w:val="20"/>
          <w:color w:val="auto"/>
        </w:rPr>
      </w:pPr>
    </w:p>
    <w:p>
      <w:pPr>
        <w:ind w:left="120" w:right="159" w:firstLine="216"/>
        <w:spacing w:after="0" w:line="279" w:lineRule="auto"/>
        <w:rPr>
          <w:sz w:val="20"/>
          <w:szCs w:val="20"/>
          <w:color w:val="auto"/>
        </w:rPr>
      </w:pPr>
      <w:r>
        <w:rPr>
          <w:rFonts w:ascii="Arial" w:cs="Arial" w:eastAsia="Arial" w:hAnsi="Arial"/>
          <w:sz w:val="17"/>
          <w:szCs w:val="17"/>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174" w:lineRule="exact"/>
        <w:rPr>
          <w:sz w:val="20"/>
          <w:szCs w:val="20"/>
          <w:color w:val="auto"/>
        </w:rPr>
      </w:pPr>
    </w:p>
    <w:p>
      <w:pPr>
        <w:ind w:left="560" w:hanging="219"/>
        <w:spacing w:after="0"/>
        <w:tabs>
          <w:tab w:leader="none" w:pos="5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actual or anticipated variations in our and/or our competitors’ results of operations and financial condition;</w:t>
      </w:r>
    </w:p>
    <w:p>
      <w:pPr>
        <w:spacing w:after="0" w:line="192" w:lineRule="exact"/>
        <w:rPr>
          <w:rFonts w:ascii="Arial" w:cs="Arial" w:eastAsia="Arial" w:hAnsi="Arial"/>
          <w:sz w:val="21"/>
          <w:szCs w:val="21"/>
          <w:color w:val="auto"/>
        </w:rPr>
      </w:pPr>
    </w:p>
    <w:p>
      <w:pPr>
        <w:ind w:left="560" w:hanging="219"/>
        <w:spacing w:after="0"/>
        <w:tabs>
          <w:tab w:leader="none" w:pos="5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variance in our financial performance from the expectations of market analysts;</w:t>
      </w:r>
    </w:p>
    <w:p>
      <w:pPr>
        <w:spacing w:after="0" w:line="215" w:lineRule="exact"/>
        <w:rPr>
          <w:rFonts w:ascii="Arial" w:cs="Arial" w:eastAsia="Arial" w:hAnsi="Arial"/>
          <w:sz w:val="22"/>
          <w:szCs w:val="22"/>
          <w:color w:val="auto"/>
        </w:rPr>
      </w:pPr>
    </w:p>
    <w:p>
      <w:pPr>
        <w:ind w:left="560" w:right="759" w:hanging="219"/>
        <w:spacing w:after="0" w:line="232" w:lineRule="auto"/>
        <w:tabs>
          <w:tab w:leader="none" w:pos="572" w:val="left"/>
        </w:tabs>
        <w:numPr>
          <w:ilvl w:val="0"/>
          <w:numId w:val="18"/>
        </w:numPr>
        <w:rPr>
          <w:rFonts w:ascii="Arial" w:cs="Arial" w:eastAsia="Arial" w:hAnsi="Arial"/>
          <w:sz w:val="22"/>
          <w:szCs w:val="22"/>
          <w:color w:val="auto"/>
        </w:rPr>
      </w:pPr>
      <w:r>
        <w:rPr>
          <w:rFonts w:ascii="Arial" w:cs="Arial" w:eastAsia="Arial" w:hAnsi="Arial"/>
          <w:sz w:val="18"/>
          <w:szCs w:val="18"/>
          <w:color w:val="auto"/>
        </w:rPr>
        <w:t>announcements by us or our competitors of significant business developments, changes in service provider relationships, acquisitions or expansion plans;</w:t>
      </w:r>
    </w:p>
    <w:p>
      <w:pPr>
        <w:spacing w:after="0" w:line="194" w:lineRule="exact"/>
        <w:rPr>
          <w:rFonts w:ascii="Arial" w:cs="Arial" w:eastAsia="Arial" w:hAnsi="Arial"/>
          <w:sz w:val="22"/>
          <w:szCs w:val="22"/>
          <w:color w:val="auto"/>
        </w:rPr>
      </w:pPr>
    </w:p>
    <w:p>
      <w:pPr>
        <w:ind w:left="580" w:hanging="239"/>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changes in the prices of our solutions;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involvement in litigation;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sale of ordinary shares or other securities in the future;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market conditions in our industry;</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changes in key personnel;</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trading volume of our ordinary shares;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changes in the estimation of the future size and growth rate of our markets;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general economic and market conditions.</w:t>
      </w:r>
    </w:p>
    <w:p>
      <w:pPr>
        <w:spacing w:after="0" w:line="161"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98" w:lineRule="exact"/>
        <w:rPr>
          <w:sz w:val="20"/>
          <w:szCs w:val="20"/>
          <w:color w:val="auto"/>
        </w:rPr>
      </w:pPr>
    </w:p>
    <w:p>
      <w:pPr>
        <w:ind w:left="120" w:right="179" w:firstLine="216"/>
        <w:spacing w:after="0" w:line="284" w:lineRule="auto"/>
        <w:rPr>
          <w:sz w:val="20"/>
          <w:szCs w:val="20"/>
          <w:color w:val="auto"/>
        </w:rPr>
      </w:pPr>
      <w:r>
        <w:rPr>
          <w:rFonts w:ascii="Arial" w:cs="Arial" w:eastAsia="Arial" w:hAnsi="Arial"/>
          <w:sz w:val="16"/>
          <w:szCs w:val="16"/>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 Substantially all of our shares outstanding prior to this offering and our shares issuable upon the exercise of options are subject to lock-up agreements with the underwriters that restrict the ability of their holders to transfer such shares without the prior written consent of Barclays Capital Inc. and Citigroup Global Markets Inc. for 180 days after the date of this prospectus. Consequently, upon expiration of the lock-up agreements, an additional</w:t>
      </w:r>
    </w:p>
    <w:p>
      <w:pPr>
        <w:spacing w:after="0" w:line="1" w:lineRule="exact"/>
        <w:rPr>
          <w:sz w:val="20"/>
          <w:szCs w:val="20"/>
          <w:color w:val="auto"/>
        </w:rPr>
      </w:pPr>
    </w:p>
    <w:p>
      <w:pPr>
        <w:ind w:left="120"/>
        <w:spacing w:after="0"/>
        <w:tabs>
          <w:tab w:leader="none" w:pos="2040" w:val="left"/>
          <w:tab w:leader="none" w:pos="478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outstanding ordinary shares and</w:t>
      </w:r>
      <w:r>
        <w:rPr>
          <w:sz w:val="20"/>
          <w:szCs w:val="20"/>
          <w:color w:val="auto"/>
        </w:rPr>
        <w:tab/>
      </w:r>
      <w:r>
        <w:rPr>
          <w:rFonts w:ascii="Arial" w:cs="Arial" w:eastAsia="Arial" w:hAnsi="Arial"/>
          <w:sz w:val="16"/>
          <w:szCs w:val="16"/>
          <w:color w:val="auto"/>
        </w:rPr>
        <w:t>shares underlying vested options will be eligible for sale</w:t>
      </w:r>
    </w:p>
    <w:p>
      <w:pPr>
        <w:spacing w:after="0" w:line="9" w:lineRule="exact"/>
        <w:rPr>
          <w:sz w:val="20"/>
          <w:szCs w:val="20"/>
          <w:color w:val="auto"/>
        </w:rPr>
      </w:pPr>
    </w:p>
    <w:p>
      <w:pPr>
        <w:ind w:left="120"/>
        <w:spacing w:after="0"/>
        <w:tabs>
          <w:tab w:leader="none" w:pos="3760" w:val="left"/>
        </w:tabs>
        <w:rPr>
          <w:sz w:val="20"/>
          <w:szCs w:val="20"/>
          <w:color w:val="auto"/>
        </w:rPr>
      </w:pPr>
      <w:r>
        <w:rPr>
          <w:rFonts w:ascii="Arial" w:cs="Arial" w:eastAsia="Arial" w:hAnsi="Arial"/>
          <w:sz w:val="18"/>
          <w:szCs w:val="18"/>
          <w:color w:val="auto"/>
        </w:rPr>
        <w:t>in the public market of which approximately</w:t>
      </w:r>
      <w:r>
        <w:rPr>
          <w:sz w:val="20"/>
          <w:szCs w:val="20"/>
          <w:color w:val="auto"/>
        </w:rPr>
        <w:tab/>
      </w:r>
      <w:r>
        <w:rPr>
          <w:rFonts w:ascii="Arial" w:cs="Arial" w:eastAsia="Arial" w:hAnsi="Arial"/>
          <w:sz w:val="16"/>
          <w:szCs w:val="16"/>
          <w:color w:val="auto"/>
        </w:rPr>
        <w:t>will be subject to restrictions on volume and manner of sale pursuant</w:t>
      </w:r>
    </w:p>
    <w:p>
      <w:pPr>
        <w:spacing w:after="0" w:line="9" w:lineRule="exact"/>
        <w:rPr>
          <w:sz w:val="20"/>
          <w:szCs w:val="20"/>
          <w:color w:val="auto"/>
        </w:rPr>
      </w:pPr>
    </w:p>
    <w:p>
      <w:pPr>
        <w:ind w:left="120" w:right="139"/>
        <w:spacing w:after="0" w:line="268" w:lineRule="auto"/>
        <w:rPr>
          <w:sz w:val="20"/>
          <w:szCs w:val="20"/>
          <w:color w:val="auto"/>
        </w:rPr>
      </w:pPr>
      <w:r>
        <w:rPr>
          <w:rFonts w:ascii="Arial" w:cs="Arial" w:eastAsia="Arial" w:hAnsi="Arial"/>
          <w:sz w:val="17"/>
          <w:szCs w:val="17"/>
          <w:color w:val="auto"/>
        </w:rPr>
        <w:t>to Rule 144 under the Securities Act of 1933, as amended. However, we intend to file one or more registration statements on Form S-8 with the U.S. Securities and Exchange Commission, or the Commission, covering all of the ordinary shares issuable under our share incentive plans and such shares will be available for resale following the expiration of the restrictions on transfer. The market price of our ordinary shares may drop significantly when the restrictions on resale by our existing shareholders lapse and these shareholders are able to sell our ordinary shares into the market. In addition, a sale by us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in this offering will experience immediate substantial dilution in net tangible book value.</w:t>
      </w:r>
    </w:p>
    <w:p>
      <w:pPr>
        <w:spacing w:after="0" w:line="185" w:lineRule="exact"/>
        <w:rPr>
          <w:sz w:val="20"/>
          <w:szCs w:val="20"/>
          <w:color w:val="auto"/>
        </w:rPr>
      </w:pPr>
    </w:p>
    <w:p>
      <w:pPr>
        <w:ind w:left="120" w:right="199" w:firstLine="216"/>
        <w:spacing w:after="0" w:line="291" w:lineRule="auto"/>
        <w:rPr>
          <w:sz w:val="20"/>
          <w:szCs w:val="20"/>
          <w:color w:val="auto"/>
        </w:rPr>
      </w:pPr>
      <w:r>
        <w:rPr>
          <w:rFonts w:ascii="Arial" w:cs="Arial" w:eastAsia="Arial" w:hAnsi="Arial"/>
          <w:sz w:val="16"/>
          <w:szCs w:val="16"/>
          <w:color w:val="auto"/>
        </w:rPr>
        <w:t>The initial public offering price of our ordinary shares in this offering is considerably greater than the net tangible book value per share of our outstanding ordinary shares immediately after this offering. Accordingly, investors in this offering</w:t>
      </w:r>
    </w:p>
    <w:p>
      <w:pPr>
        <w:ind w:left="120" w:right="139"/>
        <w:spacing w:after="0" w:line="254" w:lineRule="auto"/>
        <w:rPr>
          <w:sz w:val="20"/>
          <w:szCs w:val="20"/>
          <w:color w:val="auto"/>
        </w:rPr>
      </w:pPr>
      <w:r>
        <w:rPr>
          <w:rFonts w:ascii="Arial" w:cs="Arial" w:eastAsia="Arial" w:hAnsi="Arial"/>
          <w:sz w:val="18"/>
          <w:szCs w:val="18"/>
          <w:color w:val="auto"/>
        </w:rPr>
        <w:t>will incur immediate dilution of $ per share, based on an assumed initial public offering price of $ per share, the midpoint of the estimated initial public offering price range set forth on the cover of this prospectus. In addition, if outstanding options to purchase our ordinary shares are exercised in the future, you will experience additional dilution. See “Dilution.”</w:t>
      </w:r>
    </w:p>
    <w:p>
      <w:pPr>
        <w:spacing w:after="0" w:line="190" w:lineRule="exact"/>
        <w:rPr>
          <w:sz w:val="20"/>
          <w:szCs w:val="20"/>
          <w:color w:val="auto"/>
        </w:rPr>
      </w:pPr>
    </w:p>
    <w:p>
      <w:pPr>
        <w:ind w:left="120" w:right="199"/>
        <w:spacing w:after="0" w:line="264" w:lineRule="auto"/>
        <w:rPr>
          <w:sz w:val="20"/>
          <w:szCs w:val="20"/>
          <w:color w:val="auto"/>
        </w:rPr>
      </w:pPr>
      <w:r>
        <w:rPr>
          <w:rFonts w:ascii="Arial" w:cs="Arial" w:eastAsia="Arial" w:hAnsi="Arial"/>
          <w:sz w:val="18"/>
          <w:szCs w:val="18"/>
          <w:b w:val="1"/>
          <w:bCs w:val="1"/>
          <w:i w:val="1"/>
          <w:iCs w:val="1"/>
          <w:color w:val="auto"/>
        </w:rPr>
        <w:t>Following the closing of this offering, entities and individuals affiliated with Fortissimo Capital Fund II (Israel) L.P., or Fortissimo Capital, will have a controlling influence over matters requiring shareholder approval, which could delay or prevent a change of control.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closing of this offering, entities and individuals affiliated with Fortissimo Capital will beneficially</w:t>
      </w:r>
    </w:p>
    <w:p>
      <w:pPr>
        <w:spacing w:after="0" w:line="35" w:lineRule="exact"/>
        <w:rPr>
          <w:sz w:val="20"/>
          <w:szCs w:val="20"/>
          <w:color w:val="auto"/>
        </w:rPr>
      </w:pPr>
    </w:p>
    <w:p>
      <w:pPr>
        <w:ind w:left="120" w:right="299"/>
        <w:spacing w:after="0" w:line="254" w:lineRule="auto"/>
        <w:rPr>
          <w:sz w:val="20"/>
          <w:szCs w:val="20"/>
          <w:color w:val="auto"/>
        </w:rPr>
      </w:pPr>
      <w:r>
        <w:rPr>
          <w:rFonts w:ascii="Arial" w:cs="Arial" w:eastAsia="Arial" w:hAnsi="Arial"/>
          <w:sz w:val="18"/>
          <w:szCs w:val="18"/>
          <w:color w:val="auto"/>
        </w:rPr>
        <w:t>own % of our ordinary shares or % if the underwriters exercise their option to purchase additional ordinary shares. As a result, this shareholder could exert significant influence over our operations and business strategy and will have sufficient voting power to control the outcome of matters requiring shareholder approval. These matters may include:</w:t>
      </w:r>
    </w:p>
    <w:p>
      <w:pPr>
        <w:sectPr>
          <w:pgSz w:w="11900" w:h="16838" w:orient="portrait"/>
          <w:cols w:equalWidth="0" w:num="1">
            <w:col w:w="9019"/>
          </w:cols>
          <w:pgMar w:left="1440" w:top="332"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type w:val="continuous"/>
        </w:sectPr>
      </w:pPr>
    </w:p>
    <w:bookmarkStart w:id="23" w:name="page24"/>
    <w:bookmarkEnd w:id="23"/>
    <w:p>
      <w:pPr>
        <w:ind w:left="560" w:right="179" w:hanging="219"/>
        <w:spacing w:after="0" w:line="232" w:lineRule="auto"/>
        <w:tabs>
          <w:tab w:leader="none" w:pos="572"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approving or rejecting a merger, consolidation or other business combination;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raising future capital;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amending our articles of association, which govern the rights attached to our ordinary shares.</w:t>
      </w:r>
    </w:p>
    <w:p>
      <w:pPr>
        <w:spacing w:after="0" w:line="202" w:lineRule="exact"/>
        <w:rPr>
          <w:sz w:val="20"/>
          <w:szCs w:val="20"/>
          <w:color w:val="auto"/>
        </w:rPr>
      </w:pPr>
    </w:p>
    <w:p>
      <w:pPr>
        <w:jc w:val="both"/>
        <w:ind w:left="120" w:right="239" w:firstLine="216"/>
        <w:spacing w:after="0" w:line="259"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187" w:lineRule="exact"/>
        <w:rPr>
          <w:sz w:val="20"/>
          <w:szCs w:val="20"/>
          <w:color w:val="auto"/>
        </w:rPr>
      </w:pPr>
    </w:p>
    <w:p>
      <w:pPr>
        <w:ind w:left="120" w:right="299"/>
        <w:spacing w:after="0" w:line="308" w:lineRule="auto"/>
        <w:rPr>
          <w:sz w:val="20"/>
          <w:szCs w:val="20"/>
          <w:color w:val="auto"/>
        </w:rPr>
      </w:pPr>
      <w:r>
        <w:rPr>
          <w:rFonts w:ascii="Arial" w:cs="Arial" w:eastAsia="Arial" w:hAnsi="Arial"/>
          <w:sz w:val="17"/>
          <w:szCs w:val="17"/>
          <w:b w:val="1"/>
          <w:bCs w:val="1"/>
          <w:i w:val="1"/>
          <w:iCs w:val="1"/>
          <w:color w:val="auto"/>
        </w:rPr>
        <w:t>We will be a “controlled company” within the meaning of NASDAQ Stock Market rules and, as a result, will qualify for, and intend to rely on, certain exemptions from certain corporate governance requirements.</w:t>
      </w:r>
    </w:p>
    <w:p>
      <w:pPr>
        <w:spacing w:after="0" w:line="147"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As a result of the number of shares beneficially owned by Fortissimo Capital, after the completion of this offering, we will be a “controlled company” under the NASDAQ Stock Market rules. A controlled company is a company of which more than 50% of the voting power is held by an individual, group or another company. Pursuant to the controlled company exemption, we are not required to, and do not currently intend to comply with the requirements that (1) a majority of our board of directors consist of independent directors, and (2) we have a nominating committee composed entirely of independent directors. See “Management—Corporate Governance Practices.” Accordingly, you will not have the same protections afforded to shareholders of companies that are not controlled companies and are therefore subject to all of the corporate governance requirements of the NASDAQ Stock Market.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broad discretion as to the use of the net proceeds from this offering and may not use them effectively.</w:t>
      </w:r>
    </w:p>
    <w:p>
      <w:pPr>
        <w:spacing w:after="0" w:line="248"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We intend to use the net proceeds from this offering for general corporate purposes, including working capital, sales and marketing activities, research and development, and general and administrative matters.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operations. Pending our use of the net proceeds from this offering, we may invest the proceeds in a manner that does not produce income.</w:t>
      </w:r>
    </w:p>
    <w:p>
      <w:pPr>
        <w:spacing w:after="0" w:line="189"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left="120" w:right="119" w:firstLine="216"/>
        <w:spacing w:after="0" w:line="288" w:lineRule="auto"/>
        <w:rPr>
          <w:sz w:val="20"/>
          <w:szCs w:val="20"/>
          <w:color w:val="auto"/>
        </w:rPr>
      </w:pPr>
      <w:r>
        <w:rPr>
          <w:rFonts w:ascii="Arial" w:cs="Arial" w:eastAsia="Arial" w:hAnsi="Arial"/>
          <w:sz w:val="16"/>
          <w:szCs w:val="16"/>
          <w:color w:val="auto"/>
        </w:rPr>
        <w:t>As a public company whose ordinary shares are listed in the United States, we will incur accounting, legal and other expenses that we did not incur as a private company, including costs associated with our reporting requirements under the U.S. Securities Exchange Act of 1934, as amended, or the Exchange Act. We also anticipate that we will incur costs associated with corporate governance requirements, including requirements under Section 404 and other provisions of the Sarbanes-Oxley Act of 2002, or the Sarbanes-Oxley Act, as well as rules implemented by the Commission and the NASDAQ Stock Market, and provisions of Israeli corporate and securities laws applicable to public companies. We expect that these rules and regulations will increase our legal and financial compliance costs, introduce new costs such as investor relations and stock exchange listing fees, and will make some activities more time-consuming and costly. We are currently evaluating and monitoring developments with respect to these rules, and we cannot predict or estimate the amount of additional costs we may incur or the timing of such costs.</w:t>
      </w:r>
    </w:p>
    <w:p>
      <w:pPr>
        <w:spacing w:after="0" w:line="169"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in order to comply with such requirements.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24" w:name="page25"/>
    <w:bookmarkEnd w:id="24"/>
    <w:p>
      <w:pPr>
        <w:jc w:val="both"/>
        <w:ind w:left="120" w:right="119" w:firstLine="45"/>
        <w:spacing w:after="0" w:line="277"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70"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w:t>
      </w:r>
    </w:p>
    <w:p>
      <w:pPr>
        <w:spacing w:after="0" w:line="187" w:lineRule="exact"/>
        <w:rPr>
          <w:sz w:val="20"/>
          <w:szCs w:val="20"/>
          <w:color w:val="auto"/>
        </w:rPr>
      </w:pPr>
    </w:p>
    <w:p>
      <w:pPr>
        <w:jc w:val="both"/>
        <w:ind w:left="120" w:right="119"/>
        <w:spacing w:after="0" w:line="259" w:lineRule="auto"/>
        <w:rPr>
          <w:sz w:val="20"/>
          <w:szCs w:val="20"/>
          <w:color w:val="auto"/>
        </w:rPr>
      </w:pPr>
      <w:r>
        <w:rPr>
          <w:rFonts w:ascii="Arial" w:cs="Arial" w:eastAsia="Arial" w:hAnsi="Arial"/>
          <w:sz w:val="18"/>
          <w:szCs w:val="18"/>
          <w:color w:val="auto"/>
        </w:rPr>
        <w:t>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7" w:lineRule="exact"/>
        <w:rPr>
          <w:sz w:val="20"/>
          <w:szCs w:val="20"/>
          <w:color w:val="auto"/>
        </w:rPr>
      </w:pPr>
    </w:p>
    <w:p>
      <w:pPr>
        <w:jc w:val="both"/>
        <w:ind w:left="120" w:right="119"/>
        <w:spacing w:after="0" w:line="312" w:lineRule="auto"/>
        <w:rPr>
          <w:sz w:val="20"/>
          <w:szCs w:val="20"/>
          <w:color w:val="auto"/>
        </w:rPr>
      </w:pPr>
      <w:r>
        <w:rPr>
          <w:rFonts w:ascii="Arial" w:cs="Arial" w:eastAsia="Arial" w:hAnsi="Arial"/>
          <w:sz w:val="16"/>
          <w:szCs w:val="16"/>
          <w:b w:val="1"/>
          <w:bCs w:val="1"/>
          <w:i w:val="1"/>
          <w:iCs w:val="1"/>
          <w:color w:val="auto"/>
        </w:rPr>
        <w:t>As a foreign private issuer, we are permitted, and intend, to follow certain home country corporate governance practices instead of otherwise applicable SEC and NASDAQ Stock Market, or NASDAQ, requirements, which may result in less protection than is accorded to investors under rules applicable to domestic U.S. issuers.</w:t>
      </w:r>
    </w:p>
    <w:p>
      <w:pPr>
        <w:spacing w:after="0" w:line="147" w:lineRule="exact"/>
        <w:rPr>
          <w:sz w:val="20"/>
          <w:szCs w:val="20"/>
          <w:color w:val="auto"/>
        </w:rPr>
      </w:pPr>
    </w:p>
    <w:p>
      <w:pPr>
        <w:jc w:val="both"/>
        <w:ind w:left="120" w:right="119" w:firstLine="216"/>
        <w:spacing w:after="0" w:line="284" w:lineRule="auto"/>
        <w:rPr>
          <w:sz w:val="20"/>
          <w:szCs w:val="20"/>
          <w:color w:val="auto"/>
        </w:rPr>
      </w:pPr>
      <w:r>
        <w:rPr>
          <w:rFonts w:ascii="Arial" w:cs="Arial" w:eastAsia="Arial" w:hAnsi="Arial"/>
          <w:sz w:val="16"/>
          <w:szCs w:val="16"/>
          <w:color w:val="auto"/>
        </w:rPr>
        <w:t>As a foreign private issuer, in reliance on Rule 5615(a)(3) of the NASDAQ Listing Rules, which permits a foreign private issuer to follow the corporate governance practices of its home country, we will be permitted to follow certain Israeli corporate governance practices instead of those otherwise required under the corporate governance standards for U.S. domestic issuers. Following the listing of our ordinary shares on the NASDAQ Global Market, we intend to follow Israeli home country practices with regard to the quorum requirement for shareholder meetings. As permitted under the Israeli Companies Law, our articles of association to be effective upon the closing of this offering will provide that the quorum for any meeting of shareholders shall be the presence of at least two shareholders present in person, by proxy or</w:t>
      </w:r>
    </w:p>
    <w:p>
      <w:pPr>
        <w:spacing w:after="0" w:line="3"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6"/>
          <w:szCs w:val="16"/>
          <w:color w:val="auto"/>
        </w:rPr>
        <w:t xml:space="preserve">by a voting instrument, who hold at least 25% of the voting power of our shares instead of 33 </w:t>
      </w:r>
      <w:r>
        <w:rPr>
          <w:rFonts w:ascii="Arial" w:cs="Arial" w:eastAsia="Arial" w:hAnsi="Arial"/>
          <w:sz w:val="26"/>
          <w:szCs w:val="26"/>
          <w:color w:val="auto"/>
          <w:vertAlign w:val="superscript"/>
        </w:rPr>
        <w:t>1</w:t>
      </w:r>
      <w:r>
        <w:rPr>
          <w:rFonts w:ascii="Arial" w:cs="Arial" w:eastAsia="Arial" w:hAnsi="Arial"/>
          <w:sz w:val="13"/>
          <w:szCs w:val="13"/>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issued share capital. We may in the future elect to follow Israeli home country practices with regard to other matters such as the requirement to have a nominating committee or a compensation committee,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“Management—Corporate Governance Practices.”</w:t>
      </w:r>
    </w:p>
    <w:p>
      <w:pPr>
        <w:spacing w:after="0" w:line="174" w:lineRule="exact"/>
        <w:rPr>
          <w:sz w:val="20"/>
          <w:szCs w:val="20"/>
          <w:color w:val="auto"/>
        </w:rPr>
      </w:pPr>
    </w:p>
    <w:p>
      <w:pPr>
        <w:jc w:val="both"/>
        <w:ind w:left="120" w:right="119"/>
        <w:spacing w:after="0" w:line="277" w:lineRule="auto"/>
        <w:rPr>
          <w:sz w:val="20"/>
          <w:szCs w:val="20"/>
          <w:color w:val="auto"/>
        </w:rPr>
      </w:pPr>
      <w:r>
        <w:rPr>
          <w:rFonts w:ascii="Arial" w:cs="Arial" w:eastAsia="Arial" w:hAnsi="Arial"/>
          <w:sz w:val="18"/>
          <w:szCs w:val="18"/>
          <w:b w:val="1"/>
          <w:bCs w:val="1"/>
          <w:i w:val="1"/>
          <w:iCs w:val="1"/>
          <w:color w:val="auto"/>
        </w:rPr>
        <w:t>As a foreign private issuer, we will not be subject to the provisions of Regulation FD or U.S. proxy rules and will be exempt from filing certain Exchange Act reports.</w:t>
      </w:r>
    </w:p>
    <w:p>
      <w:pPr>
        <w:spacing w:after="0" w:line="170"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As a foreign private issuer, we will be exempt from a number of requirements under U.S. securities laws that apply to public companies that are not foreign private issuers. In particular,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Even though we intend to comply voluntarily with Regulation FD, these exemptions and leniencies will reduce the frequency and scope of information and protections to which you are entitled as an investor.</w:t>
      </w:r>
    </w:p>
    <w:p>
      <w:pPr>
        <w:spacing w:after="0" w:line="16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a recent amendment to the regulations promulgated under the Israeli Companies Law will require us, after we become a public company,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w:t>
      </w:r>
    </w:p>
    <w:p>
      <w:pPr>
        <w:sectPr>
          <w:pgSz w:w="11900" w:h="16838" w:orient="portrait"/>
          <w:cols w:equalWidth="0" w:num="1">
            <w:col w:w="9019"/>
          </w:cols>
          <w:pgMar w:left="1440" w:top="125"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5" w:name="page26"/>
    <w:bookmarkEnd w:id="25"/>
    <w:p>
      <w:pPr>
        <w:jc w:val="both"/>
        <w:ind w:left="120" w:right="119"/>
        <w:spacing w:after="0" w:line="277" w:lineRule="auto"/>
        <w:rPr>
          <w:sz w:val="20"/>
          <w:szCs w:val="20"/>
          <w:color w:val="auto"/>
        </w:rPr>
      </w:pPr>
      <w:r>
        <w:rPr>
          <w:rFonts w:ascii="Arial" w:cs="Arial" w:eastAsia="Arial" w:hAnsi="Arial"/>
          <w:sz w:val="18"/>
          <w:szCs w:val="18"/>
          <w:color w:val="auto"/>
        </w:rPr>
        <w:t>shareholders, which will be furnished under cover of a Form 6-K, and we may elect to provide such information at an earlier date.</w:t>
      </w:r>
    </w:p>
    <w:p>
      <w:pPr>
        <w:spacing w:after="0" w:line="170"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80" w:lineRule="exact"/>
        <w:rPr>
          <w:sz w:val="20"/>
          <w:szCs w:val="20"/>
          <w:color w:val="auto"/>
        </w:rPr>
      </w:pPr>
    </w:p>
    <w:p>
      <w:pPr>
        <w:jc w:val="both"/>
        <w:ind w:left="120" w:right="11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70"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for up to five fiscal years after the date of this offering. We will remain an emerging growth company until the earliest of: (a) 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3" w:lineRule="exact"/>
        <w:rPr>
          <w:sz w:val="20"/>
          <w:szCs w:val="20"/>
          <w:color w:val="auto"/>
        </w:rPr>
      </w:pPr>
    </w:p>
    <w:p>
      <w:pPr>
        <w:jc w:val="both"/>
        <w:ind w:left="120" w:right="119"/>
        <w:spacing w:after="0" w:line="264" w:lineRule="auto"/>
        <w:rPr>
          <w:sz w:val="20"/>
          <w:szCs w:val="20"/>
          <w:color w:val="auto"/>
        </w:rPr>
      </w:pPr>
      <w:r>
        <w:rPr>
          <w:rFonts w:ascii="Arial" w:cs="Arial" w:eastAsia="Arial" w:hAnsi="Arial"/>
          <w:sz w:val="18"/>
          <w:szCs w:val="18"/>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181" w:lineRule="exact"/>
        <w:rPr>
          <w:sz w:val="20"/>
          <w:szCs w:val="20"/>
          <w:color w:val="auto"/>
        </w:rPr>
      </w:pPr>
    </w:p>
    <w:p>
      <w:pPr>
        <w:jc w:val="both"/>
        <w:ind w:left="120" w:right="119" w:firstLine="216"/>
        <w:spacing w:after="0" w:line="267" w:lineRule="auto"/>
        <w:rPr>
          <w:sz w:val="20"/>
          <w:szCs w:val="20"/>
          <w:color w:val="auto"/>
        </w:rPr>
      </w:pPr>
      <w:r>
        <w:rPr>
          <w:rFonts w:ascii="Arial" w:cs="Arial" w:eastAsia="Arial" w:hAnsi="Arial"/>
          <w:sz w:val="17"/>
          <w:szCs w:val="17"/>
          <w:color w:val="auto"/>
        </w:rPr>
        <w:t>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In addition, we cannot predict the outcome of this determination and whether we will need to implement remedial actions in order to implement effective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jc w:val="both"/>
        <w:ind w:left="120" w:right="119"/>
        <w:spacing w:after="0" w:line="277" w:lineRule="auto"/>
        <w:rPr>
          <w:sz w:val="20"/>
          <w:szCs w:val="20"/>
          <w:color w:val="auto"/>
        </w:rPr>
      </w:pPr>
      <w:r>
        <w:rPr>
          <w:rFonts w:ascii="Arial" w:cs="Arial" w:eastAsia="Arial" w:hAnsi="Arial"/>
          <w:sz w:val="18"/>
          <w:szCs w:val="18"/>
          <w:b w:val="1"/>
          <w:bCs w:val="1"/>
          <w:i w:val="1"/>
          <w:iCs w:val="1"/>
          <w:color w:val="auto"/>
        </w:rPr>
        <w:t>Our U.S. shareholders may suffer adverse tax consequences if we are characterized as a passive foreign investment company.</w:t>
      </w:r>
    </w:p>
    <w:p>
      <w:pPr>
        <w:spacing w:after="0" w:line="170"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Our status as a PFIC may also depend on how quickly we use the cash proceeds from this offering in our business. Based on certain estimates of our gross income and gross assets, our intended use of proceeds of this offering, and the nature of our business, we do not expect that we will be classified as a PFIC for the taxable year ending December 31, 2014.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“U.S. and Israeli Tax Consequences for our Shareholders—United States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jc w:val="both"/>
        <w:ind w:left="120" w:right="119"/>
        <w:spacing w:after="0" w:line="277" w:lineRule="auto"/>
        <w:rPr>
          <w:sz w:val="20"/>
          <w:szCs w:val="20"/>
          <w:color w:val="auto"/>
        </w:rPr>
      </w:pPr>
      <w:r>
        <w:rPr>
          <w:rFonts w:ascii="Arial" w:cs="Arial" w:eastAsia="Arial" w:hAnsi="Arial"/>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 involving Israel could adversely affect our operations and results of operations.</w:t>
      </w:r>
    </w:p>
    <w:p>
      <w:pPr>
        <w:spacing w:after="0" w:line="188"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color w:val="auto"/>
        </w:rPr>
        <w:t>Further, our operations could be disrupted by the obligations of personnel to perform military service. As of September 30, 2014, we had 169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67"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88" w:lineRule="exact"/>
        <w:rPr>
          <w:sz w:val="20"/>
          <w:szCs w:val="20"/>
          <w:color w:val="auto"/>
        </w:rPr>
      </w:pPr>
    </w:p>
    <w:p>
      <w:pPr>
        <w:jc w:val="both"/>
        <w:ind w:left="120" w:right="119" w:firstLine="216"/>
        <w:spacing w:after="0" w:line="297" w:lineRule="auto"/>
        <w:rPr>
          <w:sz w:val="20"/>
          <w:szCs w:val="20"/>
          <w:color w:val="auto"/>
        </w:rPr>
      </w:pPr>
      <w:r>
        <w:rPr>
          <w:rFonts w:ascii="Arial" w:cs="Arial" w:eastAsia="Arial" w:hAnsi="Arial"/>
          <w:sz w:val="16"/>
          <w:szCs w:val="16"/>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jc w:val="both"/>
        <w:ind w:left="120" w:right="119"/>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70"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We and our wholly-owned Israeli subsidiary, Kornit Digital Technologies Ltd., or Kornit Technologies, are entitled to various tax benefits under the Israeli Law for the Encouragement of Capital Investments, 1959, or the Investment Law. As a result of this status, the effective tax rate for our taxable income generated in Israel is expected to be between zero and 5% starting in 2014. However, if we do not meet the requirements for maintaining these benefits, they may be reduced or cancelled and the relevant operations would be subject to Israeli corporate tax at the standard rate, which is currently set at 26.5% for 2014 and onwards. In addition to being subject to the standard corporate tax rate, we could be required to refund any tax benefits that we have already received,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via acquisitions, our increased activities may not be eligible for inclusion in Israeli tax benefit programs. See “Taxation and Israeli Government Programs Applicable to our Company—Law for the Encouragement of Capital Investments, 5719-1959.”</w:t>
      </w:r>
    </w:p>
    <w:p>
      <w:pPr>
        <w:spacing w:after="0" w:line="185" w:lineRule="exact"/>
        <w:rPr>
          <w:sz w:val="20"/>
          <w:szCs w:val="20"/>
          <w:color w:val="auto"/>
        </w:rPr>
      </w:pPr>
    </w:p>
    <w:p>
      <w:pPr>
        <w:jc w:val="both"/>
        <w:ind w:left="120" w:right="119"/>
        <w:spacing w:after="0" w:line="264" w:lineRule="auto"/>
        <w:rPr>
          <w:sz w:val="20"/>
          <w:szCs w:val="20"/>
          <w:color w:val="auto"/>
        </w:rPr>
      </w:pPr>
      <w:r>
        <w:rPr>
          <w:rFonts w:ascii="Arial" w:cs="Arial" w:eastAsia="Arial" w:hAnsi="Arial"/>
          <w:sz w:val="18"/>
          <w:szCs w:val="18"/>
          <w:b w:val="1"/>
          <w:bCs w:val="1"/>
          <w:i w:val="1"/>
          <w:iCs w:val="1"/>
          <w:color w:val="auto"/>
        </w:rPr>
        <w:t>We received Israeli government grants for certain research and development activities. The terms of those grants require us to satisfy specified conditions and to pay penalties in addition to repayment of the grants upon certain events.</w:t>
      </w:r>
    </w:p>
    <w:p>
      <w:pPr>
        <w:spacing w:after="0" w:line="181"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Our research and development efforts were financed in part through grants from the Israeli Office of the Chief Scientist, or OCS. As of December 31, 2013, the balance of the principal and interest in respect of our commitments for future payments to the OCS totals approximately $0.2 million. Even following full repayment of any OCS grants, we must nevertheless continue to comply with the requirements of the Israeli Law for the Encouragement of Industrial Research and Development, 5744-1984, and related regulations, or collectively, the R&amp;D Law.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We may not receive those approvals. Furthermore, the OCS may impose certain conditions on any arrangement under which it permits us to transfer technology out of Israel.</w:t>
      </w:r>
    </w:p>
    <w:p>
      <w:pPr>
        <w:spacing w:after="0" w:line="180" w:lineRule="exact"/>
        <w:rPr>
          <w:sz w:val="20"/>
          <w:szCs w:val="20"/>
          <w:color w:val="auto"/>
        </w:rPr>
      </w:pPr>
    </w:p>
    <w:p>
      <w:pPr>
        <w:jc w:val="both"/>
        <w:ind w:left="120" w:right="119" w:firstLine="216"/>
        <w:spacing w:after="0" w:line="254" w:lineRule="auto"/>
        <w:rPr>
          <w:sz w:val="20"/>
          <w:szCs w:val="20"/>
          <w:color w:val="auto"/>
        </w:rPr>
      </w:pPr>
      <w:r>
        <w:rPr>
          <w:rFonts w:ascii="Arial" w:cs="Arial" w:eastAsia="Arial" w:hAnsi="Arial"/>
          <w:sz w:val="18"/>
          <w:szCs w:val="18"/>
          <w:color w:val="auto"/>
        </w:rPr>
        <w:t>The transfer of OCS-supported technology or know-how outside of Israel may involve the payment of significant penalties and other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92" w:lineRule="exact"/>
        <w:rPr>
          <w:sz w:val="20"/>
          <w:szCs w:val="20"/>
          <w:color w:val="auto"/>
        </w:rPr>
      </w:pPr>
    </w:p>
    <w:p>
      <w:pPr>
        <w:jc w:val="both"/>
        <w:ind w:left="120" w:right="119"/>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otherwise impede a merger with, or an acquisition of, our company, even when the terms of such a transaction are favorable to us and our shareholders.</w:t>
      </w:r>
    </w:p>
    <w:p>
      <w:pPr>
        <w:spacing w:after="0" w:line="181"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“Description of Share Capital—Acquisitions under Israeli Law” for additional information.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jc w:val="both"/>
        <w:ind w:left="120" w:right="119" w:firstLine="216"/>
        <w:spacing w:after="0" w:line="264" w:lineRule="auto"/>
        <w:rPr>
          <w:sz w:val="20"/>
          <w:szCs w:val="20"/>
          <w:color w:val="auto"/>
        </w:rPr>
      </w:pPr>
      <w:r>
        <w:rPr>
          <w:rFonts w:ascii="Arial" w:cs="Arial" w:eastAsia="Arial" w:hAnsi="Arial"/>
          <w:sz w:val="18"/>
          <w:szCs w:val="18"/>
          <w:color w:val="auto"/>
        </w:rPr>
        <w:t>Our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181"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78" w:lineRule="exact"/>
        <w:rPr>
          <w:sz w:val="20"/>
          <w:szCs w:val="20"/>
          <w:color w:val="auto"/>
        </w:rPr>
      </w:pPr>
    </w:p>
    <w:p>
      <w:pPr>
        <w:jc w:val="both"/>
        <w:ind w:left="120" w:right="119"/>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181"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We are incorporated in Israel. The majority of our directors and executive officers,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183" w:lineRule="exact"/>
        <w:rPr>
          <w:sz w:val="20"/>
          <w:szCs w:val="20"/>
          <w:color w:val="auto"/>
        </w:rPr>
      </w:pPr>
    </w:p>
    <w:p>
      <w:pPr>
        <w:jc w:val="both"/>
        <w:ind w:left="120" w:right="119"/>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184" w:lineRule="exact"/>
        <w:rPr>
          <w:sz w:val="20"/>
          <w:szCs w:val="20"/>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future gross margins and operating expenses;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growth and overall profitability;</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impacts of variability on our future revenues;</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expand into new product markets;</w:t>
      </w:r>
    </w:p>
    <w:p>
      <w:pPr>
        <w:spacing w:after="0" w:line="204"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1"/>
          <w:szCs w:val="21"/>
          <w:color w:val="auto"/>
        </w:rPr>
      </w:pPr>
      <w:r>
        <w:rPr>
          <w:rFonts w:ascii="Arial" w:cs="Arial" w:eastAsia="Arial" w:hAnsi="Arial"/>
          <w:sz w:val="17"/>
          <w:szCs w:val="17"/>
          <w:color w:val="auto"/>
        </w:rPr>
        <w:t>our plans to continue to invest in research and develop to introduce new systems and improved solutions;</w:t>
      </w:r>
    </w:p>
    <w:p>
      <w:pPr>
        <w:spacing w:after="0" w:line="192" w:lineRule="exact"/>
        <w:rPr>
          <w:rFonts w:ascii="Arial" w:cs="Arial" w:eastAsia="Arial" w:hAnsi="Arial"/>
          <w:sz w:val="21"/>
          <w:szCs w:val="21"/>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success of our new products and systems;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impact of government laws and regulations;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tax classifications and reserves;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anticipated cash requirements for the next 12 months;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expand our international operations and increase our global operations;</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67"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file and procure additional patents relating to our intellectual property rights and the adequate protection of these rights;</w:t>
      </w:r>
    </w:p>
    <w:p>
      <w:pPr>
        <w:spacing w:after="0" w:line="206"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1"/>
          <w:szCs w:val="21"/>
          <w:color w:val="auto"/>
        </w:rPr>
      </w:pPr>
      <w:r>
        <w:rPr>
          <w:rFonts w:ascii="Arial" w:cs="Arial" w:eastAsia="Arial" w:hAnsi="Arial"/>
          <w:sz w:val="17"/>
          <w:szCs w:val="17"/>
          <w:color w:val="auto"/>
        </w:rPr>
        <w:t>our plans to pursue strategic acquisitions or invest in complementary companies, products or technologies;</w:t>
      </w:r>
    </w:p>
    <w:p>
      <w:pPr>
        <w:spacing w:after="0" w:line="215" w:lineRule="exact"/>
        <w:rPr>
          <w:rFonts w:ascii="Arial" w:cs="Arial" w:eastAsia="Arial" w:hAnsi="Arial"/>
          <w:sz w:val="21"/>
          <w:szCs w:val="21"/>
          <w:color w:val="auto"/>
        </w:rPr>
      </w:pPr>
    </w:p>
    <w:p>
      <w:pPr>
        <w:ind w:left="560" w:right="119" w:hanging="219"/>
        <w:spacing w:after="0" w:line="232" w:lineRule="auto"/>
        <w:tabs>
          <w:tab w:leader="none" w:pos="586"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use of proceeds from this offering.</w:t>
      </w:r>
    </w:p>
    <w:p>
      <w:pPr>
        <w:spacing w:after="0" w:line="202"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w:t>
      </w:r>
    </w:p>
    <w:p>
      <w:pPr>
        <w:spacing w:after="0" w:line="18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 that we will receive net proceeds from this offering, after deducting underwriting discounts and</w:t>
      </w:r>
    </w:p>
    <w:p>
      <w:pPr>
        <w:spacing w:after="0" w:line="23" w:lineRule="exact"/>
        <w:rPr>
          <w:sz w:val="20"/>
          <w:szCs w:val="20"/>
          <w:color w:val="auto"/>
        </w:rPr>
      </w:pPr>
    </w:p>
    <w:p>
      <w:pPr>
        <w:jc w:val="both"/>
        <w:ind w:left="120" w:right="119"/>
        <w:spacing w:after="0" w:line="265" w:lineRule="auto"/>
        <w:rPr>
          <w:sz w:val="20"/>
          <w:szCs w:val="20"/>
          <w:color w:val="auto"/>
        </w:rPr>
      </w:pPr>
      <w:r>
        <w:rPr>
          <w:rFonts w:ascii="Arial" w:cs="Arial" w:eastAsia="Arial" w:hAnsi="Arial"/>
          <w:sz w:val="17"/>
          <w:szCs w:val="17"/>
          <w:color w:val="auto"/>
        </w:rPr>
        <w:t>commissions and estimated offering expenses payable by us, of approximately $ million, or approximately $ million if the underwriters exercise in full their option to purchase additional ordinary shares, based on an assumed initial</w:t>
      </w:r>
    </w:p>
    <w:p>
      <w:pPr>
        <w:ind w:left="120"/>
        <w:spacing w:after="0"/>
        <w:tabs>
          <w:tab w:leader="none" w:pos="236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6"/>
          <w:szCs w:val="16"/>
          <w:color w:val="auto"/>
        </w:rPr>
        <w:t>per ordinary share.</w:t>
      </w:r>
    </w:p>
    <w:p>
      <w:pPr>
        <w:spacing w:after="0" w:line="211" w:lineRule="exact"/>
        <w:rPr>
          <w:sz w:val="20"/>
          <w:szCs w:val="20"/>
          <w:color w:val="auto"/>
        </w:rPr>
      </w:pPr>
    </w:p>
    <w:p>
      <w:pPr>
        <w:jc w:val="both"/>
        <w:ind w:left="120" w:right="119" w:firstLine="216"/>
        <w:spacing w:after="0" w:line="274" w:lineRule="auto"/>
        <w:rPr>
          <w:sz w:val="20"/>
          <w:szCs w:val="20"/>
          <w:color w:val="auto"/>
        </w:rPr>
      </w:pPr>
      <w:r>
        <w:rPr>
          <w:rFonts w:ascii="Arial" w:cs="Arial" w:eastAsia="Arial" w:hAnsi="Arial"/>
          <w:sz w:val="17"/>
          <w:szCs w:val="17"/>
          <w:color w:val="auto"/>
        </w:rPr>
        <w:t>A $1.00 increase (decrease) in the assumed initial public offering price of $ per ordinary share would increase (decrease) the net proceeds that we receive from this offering by approximately $ million, assuming that the number</w:t>
      </w:r>
    </w:p>
    <w:p>
      <w:pPr>
        <w:jc w:val="both"/>
        <w:ind w:left="120" w:right="119"/>
        <w:spacing w:after="0" w:line="281" w:lineRule="auto"/>
        <w:rPr>
          <w:sz w:val="20"/>
          <w:szCs w:val="20"/>
          <w:color w:val="auto"/>
        </w:rPr>
      </w:pPr>
      <w:r>
        <w:rPr>
          <w:rFonts w:ascii="Arial" w:cs="Arial" w:eastAsia="Arial" w:hAnsi="Arial"/>
          <w:sz w:val="16"/>
          <w:szCs w:val="16"/>
          <w:color w:val="auto"/>
        </w:rPr>
        <w:t>of ordinary shares offered, as set forth on the cover page of this prospectus, remains the same and after deducting underwriting discounts and commissions and estimated offering expenses payable by us. Similarly, each increase (decrease) of 100,000 shares in the number of ordinary shares offered by us would increase (decrease) the net proceeds to</w:t>
      </w:r>
    </w:p>
    <w:p>
      <w:pPr>
        <w:spacing w:after="0" w:line="2" w:lineRule="exact"/>
        <w:rPr>
          <w:sz w:val="20"/>
          <w:szCs w:val="20"/>
          <w:color w:val="auto"/>
        </w:rPr>
      </w:pPr>
    </w:p>
    <w:p>
      <w:pPr>
        <w:jc w:val="both"/>
        <w:ind w:left="120" w:right="119"/>
        <w:spacing w:after="0" w:line="323" w:lineRule="auto"/>
        <w:rPr>
          <w:sz w:val="20"/>
          <w:szCs w:val="20"/>
          <w:color w:val="auto"/>
        </w:rPr>
      </w:pPr>
      <w:r>
        <w:rPr>
          <w:rFonts w:ascii="Arial" w:cs="Arial" w:eastAsia="Arial" w:hAnsi="Arial"/>
          <w:sz w:val="16"/>
          <w:szCs w:val="16"/>
          <w:color w:val="auto"/>
        </w:rPr>
        <w:t>us from this offering by approximately $ million, assuming that the assumed initial public offering price remains the same, and after deducting the underwriting discounts and commissions and estimated offering expenses payable by us.</w:t>
      </w:r>
    </w:p>
    <w:p>
      <w:pPr>
        <w:spacing w:after="0" w:line="13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The principal purposes of this offering are to obtain additional capital, to increase our financial flexibility and visibility in the marketplace, to create a public market for our ordinary shares and to facilitate our future access to the public equity markets. We intend to use the net proceeds from this offering for general corporate purposes, including working capital, sales and marketing activities, research and development, and general and administrative matters. We do not currently have any material acquisitions or investments planned however we may use a portion of the net proceeds to acquire or invest in complementary companies, products or technologies. We will have broad discretion over the uses of the net proceeds in this offering, and, as of the date of this prospectus, we have not allocated the net proceeds to particular uses. Until we use the proceeds we receive from this offering for the above mentioned purposes, we intend to invest the net proceeds in short-term, investment-grade interest-bearing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We have never declared or paid cash dividends to our shareholders and we do not intend to pay cash dividends in the foreseeable future. We currently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193"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capitalization as of September 30, 2014:</w:t>
      </w:r>
    </w:p>
    <w:p>
      <w:pPr>
        <w:spacing w:after="0" w:line="216" w:lineRule="exact"/>
        <w:rPr>
          <w:sz w:val="20"/>
          <w:szCs w:val="20"/>
          <w:color w:val="auto"/>
        </w:rPr>
      </w:pPr>
    </w:p>
    <w:p>
      <w:pPr>
        <w:ind w:left="560" w:hanging="219"/>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on an actual basis;</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22"/>
        </w:numPr>
        <w:rPr>
          <w:rFonts w:ascii="Arial" w:cs="Arial" w:eastAsia="Arial" w:hAnsi="Arial"/>
          <w:sz w:val="22"/>
          <w:szCs w:val="22"/>
          <w:color w:val="auto"/>
        </w:rPr>
      </w:pPr>
      <w:r>
        <w:rPr>
          <w:rFonts w:ascii="Arial" w:cs="Arial" w:eastAsia="Arial" w:hAnsi="Arial"/>
          <w:sz w:val="18"/>
          <w:szCs w:val="18"/>
          <w:color w:val="auto"/>
        </w:rPr>
        <w:t>on a pro forma basis, to give effect to the conversion of all outstanding Series A-1 preferred shares into an equal number of ordinary shares immediately prior to the closing of this offering; and</w:t>
      </w:r>
    </w:p>
    <w:p>
      <w:pPr>
        <w:spacing w:after="0" w:line="206" w:lineRule="exact"/>
        <w:rPr>
          <w:rFonts w:ascii="Arial" w:cs="Arial" w:eastAsia="Arial" w:hAnsi="Arial"/>
          <w:sz w:val="22"/>
          <w:szCs w:val="22"/>
          <w:color w:val="auto"/>
        </w:rPr>
      </w:pPr>
    </w:p>
    <w:p>
      <w:pPr>
        <w:ind w:left="640" w:hanging="299"/>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7"/>
          <w:szCs w:val="17"/>
          <w:color w:val="auto"/>
        </w:rPr>
        <w:t>on a pro forma as adjusted basis, to give further effect to the issuance of ordinary shares in this offering, at an</w:t>
      </w:r>
    </w:p>
    <w:p>
      <w:pPr>
        <w:spacing w:after="0" w:line="1" w:lineRule="exact"/>
        <w:rPr>
          <w:rFonts w:ascii="Arial" w:cs="Arial" w:eastAsia="Arial" w:hAnsi="Arial"/>
          <w:sz w:val="21"/>
          <w:szCs w:val="21"/>
          <w:color w:val="auto"/>
        </w:rPr>
      </w:pPr>
    </w:p>
    <w:p>
      <w:pPr>
        <w:ind w:left="560" w:right="119"/>
        <w:spacing w:after="0" w:line="259" w:lineRule="auto"/>
        <w:rPr>
          <w:rFonts w:ascii="Arial" w:cs="Arial" w:eastAsia="Arial" w:hAnsi="Arial"/>
          <w:sz w:val="21"/>
          <w:szCs w:val="21"/>
          <w:color w:val="auto"/>
        </w:rPr>
      </w:pPr>
      <w:r>
        <w:rPr>
          <w:rFonts w:ascii="Arial" w:cs="Arial" w:eastAsia="Arial" w:hAnsi="Arial"/>
          <w:sz w:val="18"/>
          <w:szCs w:val="18"/>
          <w:color w:val="auto"/>
        </w:rPr>
        <w:t>assumed initial public offering price of $ per share, after deducting underwriting discounts and commissions and estimated offering expenses payable by us.</w:t>
      </w:r>
    </w:p>
    <w:p>
      <w:pPr>
        <w:spacing w:after="0" w:line="186" w:lineRule="exact"/>
        <w:rPr>
          <w:sz w:val="20"/>
          <w:szCs w:val="20"/>
          <w:color w:val="auto"/>
        </w:rPr>
      </w:pPr>
    </w:p>
    <w:p>
      <w:pPr>
        <w:jc w:val="both"/>
        <w:ind w:left="120" w:right="119" w:firstLine="216"/>
        <w:spacing w:after="0" w:line="342" w:lineRule="auto"/>
        <w:rPr>
          <w:sz w:val="20"/>
          <w:szCs w:val="20"/>
          <w:color w:val="auto"/>
        </w:rPr>
      </w:pPr>
      <w:r>
        <w:rPr>
          <w:rFonts w:ascii="Arial" w:cs="Arial" w:eastAsia="Arial" w:hAnsi="Arial"/>
          <w:sz w:val="16"/>
          <w:szCs w:val="16"/>
          <w:color w:val="auto"/>
        </w:rPr>
        <w:t>You should read this table in conjunction with “Management’s Discussion and Analysis of Financial Condition and Results of Operations” and our consolidated financial statements and related notes included elsewhere in this prospectus.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8"/>
              </w:rPr>
              <w:t>As of September 30, 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Pro forma</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Pro forma</w:t>
            </w:r>
          </w:p>
        </w:tc>
        <w:tc>
          <w:tcPr>
            <w:tcW w:w="2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as adjusted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180" w:type="dxa"/>
            <w:vAlign w:val="bottom"/>
            <w:tcBorders>
              <w:top w:val="single" w:sz="8" w:color="auto"/>
            </w:tcBorders>
            <w:gridSpan w:val="7"/>
          </w:tcPr>
          <w:p>
            <w:pPr>
              <w:jc w:val="center"/>
              <w:ind w:right="140"/>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4"/>
          </w:tcPr>
          <w:p>
            <w:pPr>
              <w:spacing w:after="0" w:line="201" w:lineRule="exact"/>
              <w:rPr>
                <w:sz w:val="20"/>
                <w:szCs w:val="20"/>
                <w:color w:val="auto"/>
              </w:rPr>
            </w:pPr>
            <w:r>
              <w:rPr>
                <w:rFonts w:ascii="Arial" w:cs="Arial" w:eastAsia="Arial" w:hAnsi="Arial"/>
                <w:sz w:val="18"/>
                <w:szCs w:val="18"/>
                <w:color w:val="auto"/>
              </w:rPr>
              <w:t>Ordinary shares, NIS 0.01 par value: 4,020,280 shares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w w:val="99"/>
              </w:rPr>
              <w:t>authorized (actual and pro forma) and</w:t>
            </w:r>
          </w:p>
        </w:tc>
        <w:tc>
          <w:tcPr>
            <w:tcW w:w="1200" w:type="dxa"/>
            <w:vAlign w:val="bottom"/>
            <w:gridSpan w:val="3"/>
          </w:tcPr>
          <w:p>
            <w:pPr>
              <w:jc w:val="right"/>
              <w:ind w:right="525"/>
              <w:spacing w:after="0"/>
              <w:rPr>
                <w:sz w:val="20"/>
                <w:szCs w:val="20"/>
                <w:color w:val="auto"/>
              </w:rPr>
            </w:pPr>
            <w:r>
              <w:rPr>
                <w:rFonts w:ascii="Arial" w:cs="Arial" w:eastAsia="Arial" w:hAnsi="Arial"/>
                <w:sz w:val="18"/>
                <w:szCs w:val="18"/>
                <w:color w:val="auto"/>
              </w:rPr>
              <w:t>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ind w:left="200"/>
              <w:spacing w:after="0"/>
              <w:rPr>
                <w:sz w:val="20"/>
                <w:szCs w:val="20"/>
                <w:color w:val="auto"/>
              </w:rPr>
            </w:pPr>
            <w:r>
              <w:rPr>
                <w:rFonts w:ascii="Arial" w:cs="Arial" w:eastAsia="Arial" w:hAnsi="Arial"/>
                <w:sz w:val="18"/>
                <w:szCs w:val="18"/>
                <w:color w:val="auto"/>
                <w:w w:val="98"/>
              </w:rPr>
              <w:t>authorized (pro forma as adjusted); 1,369,310 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ind w:left="200"/>
              <w:spacing w:after="0"/>
              <w:rPr>
                <w:sz w:val="20"/>
                <w:szCs w:val="20"/>
                <w:color w:val="auto"/>
              </w:rPr>
            </w:pPr>
            <w:r>
              <w:rPr>
                <w:rFonts w:ascii="Arial" w:cs="Arial" w:eastAsia="Arial" w:hAnsi="Arial"/>
                <w:sz w:val="18"/>
                <w:szCs w:val="18"/>
                <w:color w:val="auto"/>
              </w:rPr>
              <w:t>issued and outstanding (actual), 3,296,450 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w w:val="93"/>
              </w:rPr>
              <w:t>issued and outstanding (pro forma), and</w:t>
            </w:r>
          </w:p>
        </w:tc>
        <w:tc>
          <w:tcPr>
            <w:tcW w:w="340" w:type="dxa"/>
            <w:vAlign w:val="bottom"/>
          </w:tcPr>
          <w:p>
            <w:pPr>
              <w:spacing w:after="0"/>
              <w:rPr>
                <w:sz w:val="18"/>
                <w:szCs w:val="18"/>
                <w:color w:val="auto"/>
              </w:rPr>
            </w:pPr>
          </w:p>
        </w:tc>
        <w:tc>
          <w:tcPr>
            <w:tcW w:w="860" w:type="dxa"/>
            <w:vAlign w:val="bottom"/>
            <w:gridSpan w:val="2"/>
          </w:tcPr>
          <w:p>
            <w:pPr>
              <w:jc w:val="right"/>
              <w:ind w:right="325"/>
              <w:spacing w:after="0"/>
              <w:rPr>
                <w:sz w:val="20"/>
                <w:szCs w:val="20"/>
                <w:color w:val="auto"/>
              </w:rPr>
            </w:pPr>
            <w:r>
              <w:rPr>
                <w:rFonts w:ascii="Arial" w:cs="Arial" w:eastAsia="Arial" w:hAnsi="Arial"/>
                <w:sz w:val="18"/>
                <w:szCs w:val="18"/>
                <w:color w:val="auto"/>
                <w:w w:val="81"/>
              </w:rPr>
              <w:t>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w w:val="88"/>
              </w:rPr>
              <w:t>issued and outstanding (pro forma as adjusted)</w:t>
            </w:r>
          </w:p>
        </w:tc>
        <w:tc>
          <w:tcPr>
            <w:tcW w:w="8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380" w:type="dxa"/>
            <w:vAlign w:val="bottom"/>
            <w:gridSpan w:val="2"/>
          </w:tcPr>
          <w:p>
            <w:pPr>
              <w:jc w:val="right"/>
              <w:ind w:right="10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0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Series A-1 preferred shares, NIS 0.01 par value:</w:t>
            </w:r>
          </w:p>
        </w:tc>
        <w:tc>
          <w:tcPr>
            <w:tcW w:w="6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1,927,220 shares authorized (actual) and no shares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authorized (pro forma and pro forma as adjusted);</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7"/>
              </w:rPr>
              <w:t>1,927,140 shares issued and outstanding (actual) and</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9"/>
              </w:rPr>
              <w:t>no shares issued and outstanding (pro forma and pro</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forma as adjusted)</w:t>
            </w: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Accumulated other comprehensive income (loss)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Total capitalization</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ind w:right="1075"/>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80"/>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preceding table excludes 402,149 ordinary shares reserved for issuance under our equity incentive plans as of September 30, 2014 in respect of which we had outstanding options to purchase 333,932 ordinary shares at a weighted average exercise price of $8.96 per share.</w:t>
      </w:r>
    </w:p>
    <w:p>
      <w:pPr>
        <w:spacing w:after="0" w:line="181" w:lineRule="exact"/>
        <w:rPr>
          <w:sz w:val="20"/>
          <w:szCs w:val="20"/>
          <w:color w:val="auto"/>
        </w:rPr>
      </w:pPr>
    </w:p>
    <w:p>
      <w:pPr>
        <w:jc w:val="both"/>
        <w:ind w:left="120" w:right="119" w:firstLine="216"/>
        <w:spacing w:after="0" w:line="274" w:lineRule="auto"/>
        <w:rPr>
          <w:sz w:val="20"/>
          <w:szCs w:val="20"/>
          <w:color w:val="auto"/>
        </w:rPr>
      </w:pPr>
      <w:r>
        <w:rPr>
          <w:rFonts w:ascii="Arial" w:cs="Arial" w:eastAsia="Arial" w:hAnsi="Arial"/>
          <w:sz w:val="17"/>
          <w:szCs w:val="17"/>
          <w:color w:val="auto"/>
        </w:rPr>
        <w:t>A $1.00 increase (decrease) in the assumed initial public offering price of $ would increase (decrease) the pro forma as adjusted amount of each of additional paid-in capital, total shareholders’ equity and total capitalization by</w:t>
      </w:r>
    </w:p>
    <w:p>
      <w:pPr>
        <w:jc w:val="both"/>
        <w:ind w:left="120" w:right="119"/>
        <w:spacing w:after="0" w:line="255" w:lineRule="auto"/>
        <w:rPr>
          <w:sz w:val="20"/>
          <w:szCs w:val="20"/>
          <w:color w:val="auto"/>
        </w:rPr>
      </w:pPr>
      <w:r>
        <w:rPr>
          <w:rFonts w:ascii="Arial" w:cs="Arial" w:eastAsia="Arial" w:hAnsi="Arial"/>
          <w:sz w:val="18"/>
          <w:szCs w:val="18"/>
          <w:color w:val="auto"/>
        </w:rPr>
        <w:t>approximately $ million, assuming that the number of ordinary shares offered, as set forth on the cover page of this prospectus, remains the same and after deducting underwriting discounts and commissions and estimated offering expenses payable by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color w:val="auto"/>
        </w:rPr>
        <w:t>If you invest in our ordinary shares in this offering, your ownership interest will be immediately diluted to the extent of the difference between the initial public offering price per share and the net tangible book value per ordinary share after this offering. On a pro forma basis, our consolidated net tangible book value as of September 30, 2014 was $</w:t>
      </w:r>
    </w:p>
    <w:p>
      <w:pPr>
        <w:jc w:val="both"/>
        <w:ind w:left="120" w:right="119"/>
        <w:spacing w:after="0" w:line="261" w:lineRule="auto"/>
        <w:rPr>
          <w:sz w:val="20"/>
          <w:szCs w:val="20"/>
          <w:color w:val="auto"/>
        </w:rPr>
      </w:pPr>
      <w:r>
        <w:rPr>
          <w:rFonts w:ascii="Arial" w:cs="Arial" w:eastAsia="Arial" w:hAnsi="Arial"/>
          <w:sz w:val="18"/>
          <w:szCs w:val="18"/>
          <w:color w:val="auto"/>
        </w:rPr>
        <w:t>million, or $ per ordinary share. Pro forma consolidated net tangible book value per ordinary share was calculated by:</w:t>
      </w:r>
    </w:p>
    <w:p>
      <w:pPr>
        <w:spacing w:after="0" w:line="175" w:lineRule="exact"/>
        <w:rPr>
          <w:sz w:val="20"/>
          <w:szCs w:val="20"/>
          <w:color w:val="auto"/>
        </w:rPr>
      </w:pPr>
    </w:p>
    <w:p>
      <w:pPr>
        <w:ind w:left="560" w:hanging="219"/>
        <w:spacing w:after="0"/>
        <w:tabs>
          <w:tab w:leader="none" w:pos="5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subtracting our consolidated liabilities from our consolidated tangible assets;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dividing the difference by the number of ordinary shares outstanding on a pro forma basis.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giving effect to adjustments relating to this offering, our pro forma as adjusted consolidated net tangible book</w:t>
      </w:r>
    </w:p>
    <w:p>
      <w:pPr>
        <w:spacing w:after="0" w:line="46" w:lineRule="exact"/>
        <w:rPr>
          <w:sz w:val="20"/>
          <w:szCs w:val="20"/>
          <w:color w:val="auto"/>
        </w:rPr>
      </w:pPr>
    </w:p>
    <w:p>
      <w:pPr>
        <w:jc w:val="both"/>
        <w:ind w:left="120" w:right="119"/>
        <w:spacing w:after="0" w:line="269" w:lineRule="auto"/>
        <w:rPr>
          <w:sz w:val="20"/>
          <w:szCs w:val="20"/>
          <w:color w:val="auto"/>
        </w:rPr>
      </w:pPr>
      <w:r>
        <w:rPr>
          <w:rFonts w:ascii="Arial" w:cs="Arial" w:eastAsia="Arial" w:hAnsi="Arial"/>
          <w:sz w:val="17"/>
          <w:szCs w:val="17"/>
          <w:color w:val="auto"/>
        </w:rPr>
        <w:t>value on September 30, 2014 would have been approximately $ million, equivalent to $ per ordinary share. The adjustments made to determine our pro forma as adjusted consolidated net tangible book value are: (1) the conversion of all outstanding Series A-1 preferred shares into an equal number of ordinary shares; (2) an increase in consolidated tangible assets to reflect the net proceeds of this offering received by us as described under “Use of</w:t>
      </w:r>
    </w:p>
    <w:p>
      <w:pPr>
        <w:spacing w:after="0" w:line="1" w:lineRule="exact"/>
        <w:rPr>
          <w:sz w:val="20"/>
          <w:szCs w:val="20"/>
          <w:color w:val="auto"/>
        </w:rPr>
      </w:pPr>
    </w:p>
    <w:p>
      <w:pPr>
        <w:jc w:val="both"/>
        <w:ind w:left="120" w:right="119"/>
        <w:spacing w:after="0" w:line="265" w:lineRule="auto"/>
        <w:rPr>
          <w:sz w:val="20"/>
          <w:szCs w:val="20"/>
          <w:color w:val="auto"/>
        </w:rPr>
      </w:pPr>
      <w:r>
        <w:rPr>
          <w:rFonts w:ascii="Arial" w:cs="Arial" w:eastAsia="Arial" w:hAnsi="Arial"/>
          <w:sz w:val="17"/>
          <w:szCs w:val="17"/>
          <w:color w:val="auto"/>
        </w:rPr>
        <w:t>Proceeds”; (3) the addition of the ordinary shares offered in this prospectus to the number of ordinary shares outstanding; (4) a one-time payment in the aggregate amount of $ to our sponsor, Fortissimo Capital, in connection</w:t>
      </w:r>
    </w:p>
    <w:p>
      <w:pPr>
        <w:jc w:val="both"/>
        <w:ind w:left="120" w:right="119"/>
        <w:spacing w:after="0" w:line="255" w:lineRule="auto"/>
        <w:rPr>
          <w:sz w:val="20"/>
          <w:szCs w:val="20"/>
          <w:color w:val="auto"/>
        </w:rPr>
      </w:pPr>
      <w:r>
        <w:rPr>
          <w:rFonts w:ascii="Arial" w:cs="Arial" w:eastAsia="Arial" w:hAnsi="Arial"/>
          <w:sz w:val="18"/>
          <w:szCs w:val="18"/>
          <w:color w:val="auto"/>
        </w:rPr>
        <w:t>with the termination of our existing management services agreement with them; and (5) a payment of $250,000 in the aggregate to certain of our employees, including some of our executive officers, for their contribution to completing this offering.</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immediate increase in our pro forma as adjusted consolidated net tangible book</w:t>
      </w:r>
    </w:p>
    <w:p>
      <w:pPr>
        <w:spacing w:after="0" w:line="35" w:lineRule="exact"/>
        <w:rPr>
          <w:sz w:val="20"/>
          <w:szCs w:val="20"/>
          <w:color w:val="auto"/>
        </w:rPr>
      </w:pPr>
    </w:p>
    <w:p>
      <w:pPr>
        <w:ind w:left="120"/>
        <w:spacing w:after="0"/>
        <w:tabs>
          <w:tab w:leader="none" w:pos="1280" w:val="left"/>
        </w:tabs>
        <w:rPr>
          <w:sz w:val="20"/>
          <w:szCs w:val="20"/>
          <w:color w:val="auto"/>
        </w:rPr>
      </w:pPr>
      <w:r>
        <w:rPr>
          <w:rFonts w:ascii="Arial" w:cs="Arial" w:eastAsia="Arial" w:hAnsi="Arial"/>
          <w:sz w:val="18"/>
          <w:szCs w:val="18"/>
          <w:color w:val="auto"/>
        </w:rPr>
        <w:t>value of $</w:t>
      </w:r>
      <w:r>
        <w:rPr>
          <w:sz w:val="20"/>
          <w:szCs w:val="20"/>
          <w:color w:val="auto"/>
        </w:rPr>
        <w:tab/>
      </w:r>
      <w:r>
        <w:rPr>
          <w:rFonts w:ascii="Arial" w:cs="Arial" w:eastAsia="Arial" w:hAnsi="Arial"/>
          <w:sz w:val="16"/>
          <w:szCs w:val="16"/>
          <w:color w:val="auto"/>
        </w:rPr>
        <w:t>per ordinary share and the immediate pro forma as adjusted dilution to new investors: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200"/>
              <w:spacing w:after="0" w:line="201" w:lineRule="exact"/>
              <w:rPr>
                <w:sz w:val="20"/>
                <w:szCs w:val="20"/>
                <w:color w:val="auto"/>
              </w:rPr>
            </w:pPr>
            <w:r>
              <w:rPr>
                <w:rFonts w:ascii="Arial" w:cs="Arial" w:eastAsia="Arial" w:hAnsi="Arial"/>
                <w:sz w:val="18"/>
                <w:szCs w:val="18"/>
                <w:color w:val="auto"/>
                <w:w w:val="96"/>
              </w:rPr>
              <w:t>Pro forma consolidated net tangible book value per ordinary share as of</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September 30, 2014</w:t>
            </w:r>
          </w:p>
        </w:tc>
        <w:tc>
          <w:tcPr>
            <w:tcW w:w="5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Increase in net tangible book value per ordinary share attributable to the</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w:t>
            </w:r>
          </w:p>
        </w:tc>
        <w:tc>
          <w:tcPr>
            <w:tcW w:w="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5720" w:type="dxa"/>
            <w:vAlign w:val="bottom"/>
          </w:tcPr>
          <w:p>
            <w:pPr>
              <w:spacing w:after="0" w:line="182" w:lineRule="exact"/>
              <w:rPr>
                <w:sz w:val="20"/>
                <w:szCs w:val="20"/>
                <w:color w:val="auto"/>
              </w:rPr>
            </w:pPr>
            <w:r>
              <w:rPr>
                <w:rFonts w:ascii="Arial" w:cs="Arial" w:eastAsia="Arial" w:hAnsi="Arial"/>
                <w:sz w:val="18"/>
                <w:szCs w:val="18"/>
                <w:color w:val="auto"/>
                <w:w w:val="93"/>
              </w:rPr>
              <w:t>Pro forma as adjusted net tangible book value per ordinary share after giving</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5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effect to the offering</w:t>
            </w:r>
          </w:p>
        </w:tc>
        <w:tc>
          <w:tcPr>
            <w:tcW w:w="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377"/>
        </w:trPr>
        <w:tc>
          <w:tcPr>
            <w:tcW w:w="20" w:type="dxa"/>
            <w:vAlign w:val="bottom"/>
          </w:tcPr>
          <w:p>
            <w:pPr>
              <w:spacing w:after="0"/>
              <w:rPr>
                <w:sz w:val="24"/>
                <w:szCs w:val="24"/>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w w:val="92"/>
              </w:rPr>
              <w:t>per ordinary share would increase</w:t>
            </w:r>
          </w:p>
        </w:tc>
      </w:tr>
      <w:tr>
        <w:trPr>
          <w:trHeight w:val="216"/>
        </w:trPr>
        <w:tc>
          <w:tcPr>
            <w:tcW w:w="6240" w:type="dxa"/>
            <w:vAlign w:val="bottom"/>
            <w:gridSpan w:val="4"/>
          </w:tcPr>
          <w:p>
            <w:pPr>
              <w:spacing w:after="0"/>
              <w:rPr>
                <w:sz w:val="20"/>
                <w:szCs w:val="20"/>
                <w:color w:val="auto"/>
              </w:rPr>
            </w:pPr>
            <w:r>
              <w:rPr>
                <w:rFonts w:ascii="Arial" w:cs="Arial" w:eastAsia="Arial" w:hAnsi="Arial"/>
                <w:sz w:val="18"/>
                <w:szCs w:val="18"/>
                <w:color w:val="auto"/>
                <w:w w:val="93"/>
              </w:rPr>
              <w:t>(decrease) the consolidated net tangible book value attributable to this offering by $</w:t>
            </w: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rPr>
              <w:t>per ordinary share, the pro</w:t>
            </w:r>
          </w:p>
        </w:tc>
      </w:tr>
      <w:tr>
        <w:trPr>
          <w:trHeight w:val="216"/>
        </w:trPr>
        <w:tc>
          <w:tcPr>
            <w:tcW w:w="7380" w:type="dxa"/>
            <w:vAlign w:val="bottom"/>
            <w:gridSpan w:val="6"/>
          </w:tcPr>
          <w:p>
            <w:pPr>
              <w:spacing w:after="0"/>
              <w:rPr>
                <w:sz w:val="20"/>
                <w:szCs w:val="20"/>
                <w:color w:val="auto"/>
              </w:rPr>
            </w:pPr>
            <w:r>
              <w:rPr>
                <w:rFonts w:ascii="Arial" w:cs="Arial" w:eastAsia="Arial" w:hAnsi="Arial"/>
                <w:sz w:val="18"/>
                <w:szCs w:val="18"/>
                <w:color w:val="auto"/>
                <w:w w:val="99"/>
              </w:rPr>
              <w:t>forma as adjusted consolidated net tangible book value after giving effect to this offering by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w w:val="94"/>
              </w:rPr>
              <w:t>per ordinary share</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and the dilution per ordinary share to new investors in this offering by $</w:t>
            </w:r>
          </w:p>
        </w:tc>
        <w:tc>
          <w:tcPr>
            <w:tcW w:w="60" w:type="dxa"/>
            <w:vAlign w:val="bottom"/>
          </w:tcPr>
          <w:p>
            <w:pPr>
              <w:spacing w:after="0"/>
              <w:rPr>
                <w:sz w:val="20"/>
                <w:szCs w:val="20"/>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color w:val="auto"/>
                <w:w w:val="96"/>
              </w:rPr>
              <w:t>, assuming that the number of ordinary</w:t>
            </w:r>
          </w:p>
        </w:tc>
      </w:tr>
    </w:tbl>
    <w:p>
      <w:pPr>
        <w:jc w:val="both"/>
        <w:ind w:left="120" w:right="119"/>
        <w:spacing w:after="0" w:line="261" w:lineRule="auto"/>
        <w:rPr>
          <w:sz w:val="20"/>
          <w:szCs w:val="20"/>
          <w:color w:val="auto"/>
        </w:rPr>
      </w:pPr>
      <w:r>
        <w:rPr>
          <w:rFonts w:ascii="Arial" w:cs="Arial" w:eastAsia="Arial" w:hAnsi="Arial"/>
          <w:sz w:val="18"/>
          <w:szCs w:val="18"/>
          <w:color w:val="auto"/>
        </w:rPr>
        <w:t>shares offered, as set forth on the cover page of this prospectus, remains the same and after deducting underwriting discounts and commissions and estimated offering expenses payable by us.</w:t>
      </w:r>
    </w:p>
    <w:p>
      <w:pPr>
        <w:spacing w:after="0" w:line="184" w:lineRule="exact"/>
        <w:rPr>
          <w:sz w:val="20"/>
          <w:szCs w:val="20"/>
          <w:color w:val="auto"/>
        </w:rPr>
      </w:pPr>
    </w:p>
    <w:p>
      <w:pPr>
        <w:jc w:val="both"/>
        <w:ind w:left="120" w:right="119" w:firstLine="216"/>
        <w:spacing w:after="0" w:line="288" w:lineRule="auto"/>
        <w:rPr>
          <w:sz w:val="20"/>
          <w:szCs w:val="20"/>
          <w:color w:val="auto"/>
        </w:rPr>
      </w:pPr>
      <w:r>
        <w:rPr>
          <w:rFonts w:ascii="Arial" w:cs="Arial" w:eastAsia="Arial" w:hAnsi="Arial"/>
          <w:sz w:val="16"/>
          <w:szCs w:val="16"/>
          <w:color w:val="auto"/>
        </w:rPr>
        <w:t>The table below summarizes, as of September 30, 2014, on the pro forma as adjusted basis described above, the differences between the number of ordinary shares purchased from us, the total consideration paid and the weighted average price per ordinary share paid by existing shareholders, on the one hand, and by new investors purchasing our</w:t>
      </w:r>
    </w:p>
    <w:p>
      <w:pPr>
        <w:jc w:val="both"/>
        <w:ind w:left="120" w:right="119"/>
        <w:spacing w:after="0" w:line="290" w:lineRule="auto"/>
        <w:rPr>
          <w:sz w:val="20"/>
          <w:szCs w:val="20"/>
          <w:color w:val="auto"/>
        </w:rPr>
      </w:pPr>
      <w:r>
        <w:rPr>
          <w:rFonts w:ascii="Arial" w:cs="Arial" w:eastAsia="Arial" w:hAnsi="Arial"/>
          <w:sz w:val="17"/>
          <w:szCs w:val="17"/>
          <w:color w:val="auto"/>
        </w:rPr>
        <w:t>ordinary shares in this offering, on the other hand, at an assumed initial public offering price of $ per ordinary share before deducting underwriting discounts and commissions and estimated offering expenses payable by us.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3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Average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880" w:type="dxa"/>
            <w:vAlign w:val="bottom"/>
            <w:tcBorders>
              <w:top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per Share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spacing w:after="0"/>
              <w:rPr>
                <w:sz w:val="20"/>
                <w:szCs w:val="20"/>
                <w:color w:val="auto"/>
              </w:rPr>
            </w:pPr>
            <w:r>
              <w:rPr>
                <w:rFonts w:ascii="Arial" w:cs="Arial" w:eastAsia="Arial" w:hAnsi="Arial"/>
                <w:sz w:val="18"/>
                <w:szCs w:val="18"/>
                <w:color w:val="auto"/>
              </w:rPr>
              <w:t>New investors</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w w:val="98"/>
              </w:rPr>
              <w:t>The above discussion and tables are based on</w:t>
            </w:r>
          </w:p>
        </w:tc>
        <w:tc>
          <w:tcPr>
            <w:tcW w:w="4860" w:type="dxa"/>
            <w:vAlign w:val="bottom"/>
            <w:gridSpan w:val="11"/>
          </w:tcPr>
          <w:p>
            <w:pPr>
              <w:ind w:left="100"/>
              <w:spacing w:after="0"/>
              <w:rPr>
                <w:sz w:val="20"/>
                <w:szCs w:val="20"/>
                <w:color w:val="auto"/>
              </w:rPr>
            </w:pPr>
            <w:r>
              <w:rPr>
                <w:rFonts w:ascii="Arial" w:cs="Arial" w:eastAsia="Arial" w:hAnsi="Arial"/>
                <w:sz w:val="18"/>
                <w:szCs w:val="18"/>
                <w:color w:val="auto"/>
                <w:w w:val="89"/>
              </w:rPr>
              <w:t>ordinary shares issued and outstanding as of September 30, 2014,</w:t>
            </w:r>
          </w:p>
        </w:tc>
        <w:tc>
          <w:tcPr>
            <w:tcW w:w="0" w:type="dxa"/>
            <w:vAlign w:val="bottom"/>
          </w:tcPr>
          <w:p>
            <w:pPr>
              <w:spacing w:after="0"/>
              <w:rPr>
                <w:sz w:val="1"/>
                <w:szCs w:val="1"/>
                <w:color w:val="auto"/>
              </w:rPr>
            </w:pPr>
          </w:p>
        </w:tc>
      </w:t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w w:val="91"/>
              </w:rPr>
              <w:t>on a pro forma as adjusted basis as described above.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34" w:name="page35"/>
    <w:bookmarkEnd w:id="34"/>
    <w:p>
      <w:pPr>
        <w:jc w:val="both"/>
        <w:ind w:left="120" w:right="119" w:firstLine="216"/>
        <w:spacing w:after="0" w:line="291" w:lineRule="auto"/>
        <w:rPr>
          <w:sz w:val="20"/>
          <w:szCs w:val="20"/>
          <w:color w:val="auto"/>
        </w:rPr>
      </w:pPr>
      <w:r>
        <w:rPr>
          <w:rFonts w:ascii="Arial" w:cs="Arial" w:eastAsia="Arial" w:hAnsi="Arial"/>
          <w:sz w:val="16"/>
          <w:szCs w:val="16"/>
          <w:color w:val="auto"/>
        </w:rPr>
        <w:t>The discussion and table above assume no exercise of the underwriters’ option to purchase additional ordinary shares. If the underwriters exercise their option to purchase additional ordinary shares in full, the pro forma number of our</w:t>
      </w:r>
    </w:p>
    <w:p>
      <w:pPr>
        <w:jc w:val="both"/>
        <w:ind w:left="120" w:right="119"/>
        <w:spacing w:after="0" w:line="261" w:lineRule="auto"/>
        <w:rPr>
          <w:sz w:val="20"/>
          <w:szCs w:val="20"/>
          <w:color w:val="auto"/>
        </w:rPr>
      </w:pPr>
      <w:r>
        <w:rPr>
          <w:rFonts w:ascii="Arial" w:cs="Arial" w:eastAsia="Arial" w:hAnsi="Arial"/>
          <w:sz w:val="18"/>
          <w:szCs w:val="18"/>
          <w:color w:val="auto"/>
        </w:rPr>
        <w:t>ordinary shares held by new investors will increase to , or approximately %, of the total pro forma number of our ordinary shares outstanding after this offering.</w:t>
      </w:r>
    </w:p>
    <w:p>
      <w:pPr>
        <w:spacing w:after="0" w:line="184"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preceding table excludes 402,149 ordinary shares reserved for issuance under our equity incentive plans as of September 30, 2014 in respect of which we had outstanding options to purchase 333,932 ordinary shares at a weighted average exercise price of $8.96 per share.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all of such outstanding options were exercised, pro forma as adjusted consolidated net tangible book value per share</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color w:val="auto"/>
              </w:rPr>
              <w:t>would be $</w:t>
            </w:r>
          </w:p>
        </w:tc>
        <w:tc>
          <w:tcPr>
            <w:tcW w:w="4800" w:type="dxa"/>
            <w:vAlign w:val="bottom"/>
            <w:gridSpan w:val="4"/>
          </w:tcPr>
          <w:p>
            <w:pPr>
              <w:jc w:val="right"/>
              <w:ind w:right="230"/>
              <w:spacing w:after="0"/>
              <w:rPr>
                <w:sz w:val="20"/>
                <w:szCs w:val="20"/>
                <w:color w:val="auto"/>
              </w:rPr>
            </w:pPr>
            <w:r>
              <w:rPr>
                <w:rFonts w:ascii="Arial" w:cs="Arial" w:eastAsia="Arial" w:hAnsi="Arial"/>
                <w:sz w:val="18"/>
                <w:szCs w:val="18"/>
                <w:color w:val="auto"/>
              </w:rPr>
              <w:t>, dilution per ordinary share to new investors would be $</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 the number of shares held by our</w:t>
            </w: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w w:val="93"/>
              </w:rPr>
              <w:t>existing shareholders would increase to</w:t>
            </w:r>
          </w:p>
        </w:tc>
        <w:tc>
          <w:tcPr>
            <w:tcW w:w="360" w:type="dxa"/>
            <w:vAlign w:val="bottom"/>
          </w:tcPr>
          <w:p>
            <w:pPr>
              <w:spacing w:after="0"/>
              <w:rPr>
                <w:sz w:val="18"/>
                <w:szCs w:val="18"/>
                <w:color w:val="auto"/>
              </w:rPr>
            </w:pPr>
          </w:p>
        </w:tc>
        <w:tc>
          <w:tcPr>
            <w:tcW w:w="1420" w:type="dxa"/>
            <w:vAlign w:val="bottom"/>
          </w:tcPr>
          <w:p>
            <w:pPr>
              <w:jc w:val="right"/>
              <w:ind w:right="294"/>
              <w:spacing w:after="0"/>
              <w:rPr>
                <w:sz w:val="20"/>
                <w:szCs w:val="20"/>
                <w:color w:val="auto"/>
              </w:rPr>
            </w:pPr>
            <w:r>
              <w:rPr>
                <w:rFonts w:ascii="Arial" w:cs="Arial" w:eastAsia="Arial" w:hAnsi="Arial"/>
                <w:sz w:val="18"/>
                <w:szCs w:val="18"/>
                <w:color w:val="auto"/>
              </w:rPr>
              <w:t>, constituting</w:t>
            </w:r>
          </w:p>
        </w:tc>
        <w:tc>
          <w:tcPr>
            <w:tcW w:w="4040" w:type="dxa"/>
            <w:vAlign w:val="bottom"/>
            <w:gridSpan w:val="3"/>
          </w:tcPr>
          <w:p>
            <w:pPr>
              <w:jc w:val="right"/>
              <w:spacing w:after="0"/>
              <w:rPr>
                <w:sz w:val="20"/>
                <w:szCs w:val="20"/>
                <w:color w:val="auto"/>
              </w:rPr>
            </w:pPr>
            <w:r>
              <w:rPr>
                <w:rFonts w:ascii="Arial" w:cs="Arial" w:eastAsia="Arial" w:hAnsi="Arial"/>
                <w:sz w:val="18"/>
                <w:szCs w:val="18"/>
                <w:color w:val="auto"/>
                <w:w w:val="95"/>
              </w:rPr>
              <w:t>% of our total issued shares (while new shareholders</w:t>
            </w: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in this offering would only hold</w:t>
            </w:r>
          </w:p>
        </w:tc>
        <w:tc>
          <w:tcPr>
            <w:tcW w:w="360" w:type="dxa"/>
            <w:vAlign w:val="bottom"/>
          </w:tcPr>
          <w:p>
            <w:pPr>
              <w:spacing w:after="0"/>
              <w:rPr>
                <w:sz w:val="18"/>
                <w:szCs w:val="18"/>
                <w:color w:val="auto"/>
              </w:rPr>
            </w:pPr>
          </w:p>
        </w:tc>
        <w:tc>
          <w:tcPr>
            <w:tcW w:w="5460" w:type="dxa"/>
            <w:vAlign w:val="bottom"/>
            <w:gridSpan w:val="4"/>
          </w:tcPr>
          <w:p>
            <w:pPr>
              <w:jc w:val="right"/>
              <w:spacing w:after="0"/>
              <w:rPr>
                <w:sz w:val="20"/>
                <w:szCs w:val="20"/>
                <w:color w:val="auto"/>
              </w:rPr>
            </w:pPr>
            <w:r>
              <w:rPr>
                <w:rFonts w:ascii="Arial" w:cs="Arial" w:eastAsia="Arial" w:hAnsi="Arial"/>
                <w:sz w:val="18"/>
                <w:szCs w:val="18"/>
                <w:color w:val="auto"/>
                <w:w w:val="95"/>
              </w:rPr>
              <w:t>% of our issued shares), the total consideration amount paid by existing</w:t>
            </w: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shareholders would increase to $</w:t>
            </w:r>
          </w:p>
        </w:tc>
        <w:tc>
          <w:tcPr>
            <w:tcW w:w="360" w:type="dxa"/>
            <w:vAlign w:val="bottom"/>
          </w:tcPr>
          <w:p>
            <w:pPr>
              <w:ind w:left="100"/>
              <w:spacing w:after="0"/>
              <w:rPr>
                <w:sz w:val="20"/>
                <w:szCs w:val="20"/>
                <w:color w:val="auto"/>
              </w:rPr>
            </w:pPr>
            <w:r>
              <w:rPr>
                <w:rFonts w:ascii="Arial" w:cs="Arial" w:eastAsia="Arial" w:hAnsi="Arial"/>
                <w:sz w:val="18"/>
                <w:szCs w:val="18"/>
                <w:color w:val="auto"/>
                <w:w w:val="92"/>
              </w:rPr>
              <w:t>, or</w:t>
            </w:r>
          </w:p>
        </w:tc>
        <w:tc>
          <w:tcPr>
            <w:tcW w:w="5460" w:type="dxa"/>
            <w:vAlign w:val="bottom"/>
            <w:gridSpan w:val="4"/>
          </w:tcPr>
          <w:p>
            <w:pPr>
              <w:jc w:val="right"/>
              <w:spacing w:after="0"/>
              <w:rPr>
                <w:sz w:val="20"/>
                <w:szCs w:val="20"/>
                <w:color w:val="auto"/>
              </w:rPr>
            </w:pPr>
            <w:r>
              <w:rPr>
                <w:rFonts w:ascii="Arial" w:cs="Arial" w:eastAsia="Arial" w:hAnsi="Arial"/>
                <w:sz w:val="18"/>
                <w:szCs w:val="18"/>
                <w:color w:val="auto"/>
              </w:rPr>
              <w:t>% of total consideration received by us for our shares (while the</w:t>
            </w:r>
          </w:p>
        </w:tc>
      </w:tr>
      <w:tr>
        <w:trPr>
          <w:trHeight w:val="216"/>
        </w:trPr>
        <w:tc>
          <w:tcPr>
            <w:tcW w:w="6680" w:type="dxa"/>
            <w:vAlign w:val="bottom"/>
            <w:gridSpan w:val="7"/>
          </w:tcPr>
          <w:p>
            <w:pPr>
              <w:spacing w:after="0"/>
              <w:rPr>
                <w:sz w:val="20"/>
                <w:szCs w:val="20"/>
                <w:color w:val="auto"/>
              </w:rPr>
            </w:pPr>
            <w:r>
              <w:rPr>
                <w:rFonts w:ascii="Arial" w:cs="Arial" w:eastAsia="Arial" w:hAnsi="Arial"/>
                <w:sz w:val="18"/>
                <w:szCs w:val="18"/>
                <w:color w:val="auto"/>
                <w:w w:val="95"/>
              </w:rPr>
              <w:t>percentage of consideration paid by new shareholders in this offering would decrease to</w:t>
            </w:r>
          </w:p>
        </w:tc>
        <w:tc>
          <w:tcPr>
            <w:tcW w:w="2100" w:type="dxa"/>
            <w:vAlign w:val="bottom"/>
          </w:tcPr>
          <w:p>
            <w:pPr>
              <w:jc w:val="right"/>
              <w:spacing w:after="0"/>
              <w:rPr>
                <w:sz w:val="20"/>
                <w:szCs w:val="20"/>
                <w:color w:val="auto"/>
              </w:rPr>
            </w:pPr>
            <w:r>
              <w:rPr>
                <w:rFonts w:ascii="Arial" w:cs="Arial" w:eastAsia="Arial" w:hAnsi="Arial"/>
                <w:sz w:val="18"/>
                <w:szCs w:val="18"/>
                <w:color w:val="auto"/>
              </w:rPr>
              <w:t>%) and the average price</w:t>
            </w:r>
          </w:p>
        </w:tc>
      </w:tr>
      <w:tr>
        <w:trPr>
          <w:trHeight w:val="230"/>
        </w:trPr>
        <w:tc>
          <w:tcPr>
            <w:tcW w:w="4740" w:type="dxa"/>
            <w:vAlign w:val="bottom"/>
            <w:gridSpan w:val="5"/>
          </w:tcPr>
          <w:p>
            <w:pPr>
              <w:spacing w:after="0"/>
              <w:rPr>
                <w:sz w:val="20"/>
                <w:szCs w:val="20"/>
                <w:color w:val="auto"/>
              </w:rPr>
            </w:pPr>
            <w:r>
              <w:rPr>
                <w:rFonts w:ascii="Arial" w:cs="Arial" w:eastAsia="Arial" w:hAnsi="Arial"/>
                <w:sz w:val="18"/>
                <w:szCs w:val="18"/>
                <w:color w:val="auto"/>
                <w:w w:val="94"/>
              </w:rPr>
              <w:t>per share paid by our existing shareholders would instead be $</w:t>
            </w:r>
          </w:p>
        </w:tc>
        <w:tc>
          <w:tcPr>
            <w:tcW w:w="12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31</w:t>
            </w:r>
          </w:p>
        </w:tc>
        <w:tc>
          <w:tcPr>
            <w:tcW w:w="1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prospectus, including “Management’s Discussion and Analysis of Financial Condition and Results of Operations” and our consolidated financial statements and the related notes appearing elsewhere in this prospectus.</w:t>
      </w:r>
    </w:p>
    <w:p>
      <w:pPr>
        <w:spacing w:after="0" w:line="188" w:lineRule="exact"/>
        <w:rPr>
          <w:sz w:val="20"/>
          <w:szCs w:val="20"/>
          <w:color w:val="auto"/>
        </w:rPr>
      </w:pPr>
    </w:p>
    <w:p>
      <w:pPr>
        <w:jc w:val="both"/>
        <w:ind w:left="120" w:right="119" w:firstLine="216"/>
        <w:spacing w:after="0" w:line="254" w:lineRule="auto"/>
        <w:rPr>
          <w:sz w:val="20"/>
          <w:szCs w:val="20"/>
          <w:color w:val="auto"/>
        </w:rPr>
      </w:pPr>
      <w:r>
        <w:rPr>
          <w:rFonts w:ascii="Arial" w:cs="Arial" w:eastAsia="Arial" w:hAnsi="Arial"/>
          <w:sz w:val="18"/>
          <w:szCs w:val="18"/>
          <w:color w:val="auto"/>
        </w:rPr>
        <w:t>The selected consolidated statements of income data for the years ended December 31, 2012 and 2013 and selected consolidated balance sheet data as of December 31, 2012 and 2013 are derived from our audited consolidated financial statements appearing elsewhere in this prospectus. The selected consolidated statements of income data for the nine months ended September 30, 2013 and 2014 and the selected consolidated balance sheet data as of September 30, 2014 are derived from our unaudited interim consolidated financial statements included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4"/>
          </w:tcPr>
          <w:p>
            <w:pPr>
              <w:jc w:val="right"/>
              <w:ind w:right="110"/>
              <w:spacing w:after="0"/>
              <w:rPr>
                <w:sz w:val="20"/>
                <w:szCs w:val="20"/>
                <w:color w:val="auto"/>
              </w:rPr>
            </w:pPr>
            <w:r>
              <w:rPr>
                <w:rFonts w:ascii="Arial" w:cs="Arial" w:eastAsia="Arial" w:hAnsi="Arial"/>
                <w:sz w:val="16"/>
                <w:szCs w:val="16"/>
                <w:b w:val="1"/>
                <w:bCs w:val="1"/>
                <w:color w:val="auto"/>
                <w:w w:val="93"/>
              </w:rPr>
              <w:t>Year Ended December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20" w:type="dxa"/>
            <w:vAlign w:val="bottom"/>
            <w:gridSpan w:val="11"/>
          </w:tcPr>
          <w:p>
            <w:pPr>
              <w:ind w:left="260"/>
              <w:spacing w:after="0"/>
              <w:rPr>
                <w:sz w:val="20"/>
                <w:szCs w:val="20"/>
                <w:color w:val="auto"/>
              </w:rPr>
            </w:pPr>
            <w:r>
              <w:rPr>
                <w:rFonts w:ascii="Arial" w:cs="Arial" w:eastAsia="Arial" w:hAnsi="Arial"/>
                <w:sz w:val="16"/>
                <w:szCs w:val="16"/>
                <w:b w:val="1"/>
                <w:bCs w:val="1"/>
                <w:color w:val="auto"/>
              </w:rPr>
              <w:t>(in thousands, except share amounts and per share data)</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39,167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49,395</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34,185</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Cost of revenues</w:t>
            </w:r>
            <w:r>
              <w:rPr>
                <w:rFonts w:ascii="Arial" w:cs="Arial" w:eastAsia="Arial" w:hAnsi="Arial"/>
                <w:sz w:val="28"/>
                <w:szCs w:val="28"/>
                <w:b w:val="1"/>
                <w:bCs w:val="1"/>
                <w:color w:val="auto"/>
                <w:vertAlign w:val="superscript"/>
              </w:rPr>
              <w:t>(1)</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3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Pr>
          <w:p>
            <w:pPr>
              <w:ind w:left="200"/>
              <w:spacing w:after="0" w:line="24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8"/>
                <w:szCs w:val="28"/>
                <w:b w:val="1"/>
                <w:bCs w:val="1"/>
                <w:color w:val="auto"/>
                <w:vertAlign w:val="superscript"/>
              </w:rPr>
              <w:t>(1)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line="243"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8"/>
                <w:szCs w:val="28"/>
                <w:b w:val="1"/>
                <w:bCs w:val="1"/>
                <w:color w:val="auto"/>
                <w:vertAlign w:val="superscript"/>
              </w:rPr>
              <w:t>(1)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Borders>
              <w:bottom w:val="single" w:sz="8" w:color="CCEEFF"/>
            </w:tcBorders>
          </w:tcPr>
          <w:p>
            <w:pPr>
              <w:ind w:left="200"/>
              <w:spacing w:after="0" w:line="24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8"/>
                <w:szCs w:val="28"/>
                <w:b w:val="1"/>
                <w:bCs w:val="1"/>
                <w:color w:val="auto"/>
                <w:vertAlign w:val="superscript"/>
              </w:rPr>
              <w:t>(1)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Income before taxes on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6"/>
                <w:szCs w:val="16"/>
                <w:color w:val="auto"/>
              </w:rPr>
              <w:t>Net earnings per ordinary share</w:t>
            </w:r>
            <w:r>
              <w:rPr>
                <w:rFonts w:ascii="Arial" w:cs="Arial" w:eastAsia="Arial" w:hAnsi="Arial"/>
                <w:sz w:val="25"/>
                <w:szCs w:val="25"/>
                <w:b w:val="1"/>
                <w:bCs w:val="1"/>
                <w:color w:val="auto"/>
                <w:vertAlign w:val="superscript"/>
              </w:rPr>
              <w:t>(2)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0.83</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spacing w:after="0" w:line="187" w:lineRule="exact"/>
              <w:rPr>
                <w:sz w:val="20"/>
                <w:szCs w:val="20"/>
                <w:color w:val="auto"/>
              </w:rPr>
            </w:pPr>
            <w:r>
              <w:rPr>
                <w:rFonts w:ascii="Arial" w:cs="Arial" w:eastAsia="Arial" w:hAnsi="Arial"/>
                <w:sz w:val="18"/>
                <w:szCs w:val="18"/>
                <w:color w:val="auto"/>
                <w:w w:val="91"/>
              </w:rPr>
              <w:t>Weighted average number of ordinary shares used</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3760" w:type="dxa"/>
            <w:vAlign w:val="bottom"/>
            <w:gridSpan w:val="2"/>
          </w:tcPr>
          <w:p>
            <w:pPr>
              <w:spacing w:after="0" w:line="266" w:lineRule="exact"/>
              <w:rPr>
                <w:sz w:val="20"/>
                <w:szCs w:val="20"/>
                <w:color w:val="auto"/>
              </w:rPr>
            </w:pPr>
            <w:r>
              <w:rPr>
                <w:rFonts w:ascii="Arial" w:cs="Arial" w:eastAsia="Arial" w:hAnsi="Arial"/>
                <w:sz w:val="18"/>
                <w:szCs w:val="18"/>
                <w:color w:val="auto"/>
              </w:rPr>
              <w:t>in computing income per ordinary share</w:t>
            </w:r>
            <w:r>
              <w:rPr>
                <w:rFonts w:ascii="Arial" w:cs="Arial" w:eastAsia="Arial" w:hAnsi="Arial"/>
                <w:sz w:val="28"/>
                <w:szCs w:val="28"/>
                <w:b w:val="1"/>
                <w:bCs w:val="1"/>
                <w:color w:val="auto"/>
                <w:vertAlign w:val="superscript"/>
              </w:rPr>
              <w:t>(2)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1,368,565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1,472,521</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1,507,690</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1,506,672</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1,547,013</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Pro forma net earnings per ordinary share</w:t>
            </w:r>
            <w:r>
              <w:rPr>
                <w:rFonts w:ascii="Arial" w:cs="Arial" w:eastAsia="Arial" w:hAnsi="Arial"/>
                <w:sz w:val="25"/>
                <w:szCs w:val="25"/>
                <w:b w:val="1"/>
                <w:bCs w:val="1"/>
                <w:color w:val="auto"/>
                <w:vertAlign w:val="superscript"/>
              </w:rPr>
              <w:t>(3)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Weighted average number of ordinary shares used</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spacing w:after="0"/>
              <w:rPr>
                <w:sz w:val="20"/>
                <w:szCs w:val="20"/>
                <w:color w:val="auto"/>
              </w:rPr>
            </w:pPr>
            <w:r>
              <w:rPr>
                <w:rFonts w:ascii="Arial" w:cs="Arial" w:eastAsia="Arial" w:hAnsi="Arial"/>
                <w:sz w:val="18"/>
                <w:szCs w:val="18"/>
                <w:color w:val="auto"/>
              </w:rPr>
              <w:t>in computing pro forma income per ordinary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760" w:type="dxa"/>
            <w:vAlign w:val="bottom"/>
            <w:gridSpan w:val="2"/>
          </w:tcPr>
          <w:p>
            <w:pPr>
              <w:spacing w:after="0" w:line="266" w:lineRule="exact"/>
              <w:rPr>
                <w:sz w:val="20"/>
                <w:szCs w:val="20"/>
                <w:color w:val="auto"/>
              </w:rPr>
            </w:pPr>
            <w:r>
              <w:rPr>
                <w:rFonts w:ascii="Arial" w:cs="Arial" w:eastAsia="Arial" w:hAnsi="Arial"/>
                <w:sz w:val="18"/>
                <w:szCs w:val="18"/>
                <w:color w:val="auto"/>
              </w:rPr>
              <w:t>share</w:t>
            </w:r>
            <w:r>
              <w:rPr>
                <w:rFonts w:ascii="Arial" w:cs="Arial" w:eastAsia="Arial" w:hAnsi="Arial"/>
                <w:sz w:val="28"/>
                <w:szCs w:val="28"/>
                <w:b w:val="1"/>
                <w:bCs w:val="1"/>
                <w:color w:val="auto"/>
                <w:vertAlign w:val="superscript"/>
              </w:rPr>
              <w:t>(3)</w:t>
            </w: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3,293,450</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3,295,705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3,434,830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3,474,153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restart"/>
          </w:tcPr>
          <w:p>
            <w:pPr>
              <w:ind w:left="260"/>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36" w:name="page37"/>
    <w:bookmarkEnd w:id="36"/>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w:t>
            </w: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3"/>
              </w:rPr>
              <w:t>30, 2014</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6"/>
                <w:szCs w:val="16"/>
                <w:b w:val="1"/>
                <w:bCs w:val="1"/>
                <w:color w:val="auto"/>
                <w:w w:val="88"/>
              </w:rPr>
              <w:t>(in thousands)</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4,663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5,329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Working capital</w:t>
            </w:r>
            <w:r>
              <w:rPr>
                <w:rFonts w:ascii="Arial" w:cs="Arial" w:eastAsia="Arial" w:hAnsi="Arial"/>
                <w:sz w:val="28"/>
                <w:szCs w:val="28"/>
                <w:color w:val="auto"/>
                <w:vertAlign w:val="superscript"/>
              </w:rPr>
              <w:t>(4)</w:t>
            </w: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12,193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24,407</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31,627</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1,372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14,311</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15,608</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17,799</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right"/>
              <w:ind w:right="76"/>
              <w:spacing w:after="0"/>
              <w:rPr>
                <w:sz w:val="20"/>
                <w:szCs w:val="20"/>
                <w:color w:val="auto"/>
              </w:rPr>
            </w:pPr>
            <w:r>
              <w:rPr>
                <w:rFonts w:ascii="Arial" w:cs="Arial" w:eastAsia="Arial" w:hAnsi="Arial"/>
                <w:sz w:val="16"/>
                <w:szCs w:val="16"/>
                <w:b w:val="1"/>
                <w:bCs w:val="1"/>
                <w:color w:val="auto"/>
                <w:w w:val="94"/>
              </w:rPr>
              <w:t>Year Ended 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4"/>
          </w:tcPr>
          <w:p>
            <w:pPr>
              <w:jc w:val="right"/>
              <w:ind w:right="657"/>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Financial Data:</w:t>
            </w: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140" w:type="dxa"/>
            <w:vAlign w:val="bottom"/>
          </w:tcPr>
          <w:p>
            <w:pPr>
              <w:spacing w:after="0" w:line="228" w:lineRule="exact"/>
              <w:rPr>
                <w:sz w:val="20"/>
                <w:szCs w:val="20"/>
                <w:color w:val="auto"/>
              </w:rPr>
            </w:pPr>
            <w:r>
              <w:rPr>
                <w:rFonts w:ascii="Arial" w:cs="Arial" w:eastAsia="Arial" w:hAnsi="Arial"/>
                <w:sz w:val="17"/>
                <w:szCs w:val="17"/>
                <w:color w:val="auto"/>
              </w:rPr>
              <w:t>Adjusted EBITDA</w:t>
            </w:r>
            <w:r>
              <w:rPr>
                <w:rFonts w:ascii="Arial" w:cs="Arial" w:eastAsia="Arial" w:hAnsi="Arial"/>
                <w:sz w:val="26"/>
                <w:szCs w:val="26"/>
                <w:color w:val="auto"/>
                <w:vertAlign w:val="superscript"/>
              </w:rPr>
              <w:t>(5)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4,690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4,281</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2,915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4,021</w:t>
            </w:r>
          </w:p>
        </w:tc>
        <w:tc>
          <w:tcPr>
            <w:tcW w:w="140" w:type="dxa"/>
            <w:vAlign w:val="bottom"/>
          </w:tcPr>
          <w:p>
            <w:pPr>
              <w:spacing w:after="0"/>
              <w:rPr>
                <w:sz w:val="19"/>
                <w:szCs w:val="19"/>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Includes share-based compensation expense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ind w:left="18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6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6"/>
                <w:szCs w:val="16"/>
                <w:b w:val="1"/>
                <w:bCs w:val="1"/>
                <w:color w:val="auto"/>
                <w:w w:val="99"/>
              </w:rPr>
              <w:t>Year Ended December 31,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3"/>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33"/>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4"/>
          </w:tcPr>
          <w:p>
            <w:pPr>
              <w:jc w:val="right"/>
              <w:ind w:right="513"/>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Cost of revenues</w:t>
            </w:r>
          </w:p>
        </w:tc>
        <w:tc>
          <w:tcPr>
            <w:tcW w:w="122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Total share-based compensation expense</w:t>
            </w:r>
          </w:p>
        </w:tc>
        <w:tc>
          <w:tcPr>
            <w:tcW w:w="540" w:type="dxa"/>
            <w:vAlign w:val="bottom"/>
          </w:tcPr>
          <w:p>
            <w:pPr>
              <w:spacing w:after="0"/>
              <w:rPr>
                <w:sz w:val="16"/>
                <w:szCs w:val="16"/>
                <w:color w:val="auto"/>
              </w:rPr>
            </w:pPr>
          </w:p>
        </w:tc>
        <w:tc>
          <w:tcPr>
            <w:tcW w:w="680" w:type="dxa"/>
            <w:vAlign w:val="bottom"/>
          </w:tcPr>
          <w:p>
            <w:pPr>
              <w:jc w:val="right"/>
              <w:ind w:right="522"/>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c>
          <w:tcPr>
            <w:tcW w:w="30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126</w:t>
            </w:r>
          </w:p>
        </w:tc>
        <w:tc>
          <w:tcPr>
            <w:tcW w:w="3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92</w:t>
            </w:r>
          </w:p>
        </w:tc>
        <w:tc>
          <w:tcPr>
            <w:tcW w:w="280" w:type="dxa"/>
            <w:vAlign w:val="bottom"/>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513</w:t>
            </w:r>
          </w:p>
        </w:tc>
        <w:tc>
          <w:tcPr>
            <w:tcW w:w="140" w:type="dxa"/>
            <w:vAlign w:val="bottom"/>
          </w:tcPr>
          <w:p>
            <w:pPr>
              <w:spacing w:after="0"/>
              <w:rPr>
                <w:sz w:val="16"/>
                <w:szCs w:val="16"/>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61" w:lineRule="exact"/>
        <w:rPr>
          <w:sz w:val="20"/>
          <w:szCs w:val="20"/>
          <w:color w:val="auto"/>
        </w:rPr>
      </w:pPr>
    </w:p>
    <w:p>
      <w:pPr>
        <w:jc w:val="both"/>
        <w:ind w:left="440" w:right="119" w:hanging="315"/>
        <w:spacing w:after="0" w:line="264" w:lineRule="auto"/>
        <w:tabs>
          <w:tab w:leader="none" w:pos="4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Basic and diluted net earnings per ordinary share is computed based on the basic and diluted weighted average number of ordinary shares outstanding during each period. For additional information, see note 2w and 10 to our consolidated financial statements included elsewhere in this prospectus.</w:t>
      </w:r>
    </w:p>
    <w:p>
      <w:pPr>
        <w:spacing w:after="0" w:line="181" w:lineRule="exact"/>
        <w:rPr>
          <w:rFonts w:ascii="Arial" w:cs="Arial" w:eastAsia="Arial" w:hAnsi="Arial"/>
          <w:sz w:val="18"/>
          <w:szCs w:val="18"/>
          <w:color w:val="auto"/>
        </w:rPr>
      </w:pPr>
    </w:p>
    <w:p>
      <w:pPr>
        <w:jc w:val="both"/>
        <w:ind w:left="440" w:right="119" w:hanging="315"/>
        <w:spacing w:after="0" w:line="257" w:lineRule="auto"/>
        <w:tabs>
          <w:tab w:leader="none" w:pos="4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 forma basic and diluted net earnings per ordinary share and pro forma weighted average shares outstanding assumes the conversion of all of our outstanding preferred shares into ordinary shares, which will occur upon the closing of this offering, but does not give effect to the issuance of shares in connection with this offering. For additional information on the conversion of the preferred shares see note 2d to our consolidated financial statements included elsewhere in this prospectus.</w:t>
      </w:r>
    </w:p>
    <w:p>
      <w:pPr>
        <w:spacing w:after="0" w:line="188" w:lineRule="exact"/>
        <w:rPr>
          <w:rFonts w:ascii="Arial" w:cs="Arial" w:eastAsia="Arial" w:hAnsi="Arial"/>
          <w:sz w:val="18"/>
          <w:szCs w:val="18"/>
          <w:color w:val="auto"/>
        </w:rPr>
      </w:pPr>
    </w:p>
    <w:p>
      <w:pPr>
        <w:ind w:left="420" w:hanging="295"/>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25" w:lineRule="exact"/>
        <w:rPr>
          <w:rFonts w:ascii="Arial" w:cs="Arial" w:eastAsia="Arial" w:hAnsi="Arial"/>
          <w:sz w:val="18"/>
          <w:szCs w:val="18"/>
          <w:color w:val="auto"/>
        </w:rPr>
      </w:pPr>
    </w:p>
    <w:p>
      <w:pPr>
        <w:ind w:left="420" w:hanging="295"/>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table reconciles net income to Adjusted EBITDA for the periods presented: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92"/>
              <w:spacing w:after="0"/>
              <w:rPr>
                <w:sz w:val="20"/>
                <w:szCs w:val="20"/>
                <w:color w:val="auto"/>
              </w:rPr>
            </w:pPr>
            <w:r>
              <w:rPr>
                <w:rFonts w:ascii="Arial" w:cs="Arial" w:eastAsia="Arial" w:hAnsi="Arial"/>
                <w:sz w:val="16"/>
                <w:szCs w:val="16"/>
                <w:b w:val="1"/>
                <w:bCs w:val="1"/>
                <w:color w:val="auto"/>
                <w:w w:val="92"/>
              </w:rPr>
              <w:t>Year Ended 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5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Reconciliation of Net Income to Adjusted</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2,314</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1,134</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586</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Taxes on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40" w:type="dxa"/>
            <w:vAlign w:val="bottom"/>
            <w:shd w:val="clear" w:color="auto" w:fill="CCEEFF"/>
          </w:tcPr>
          <w:p>
            <w:pPr>
              <w:spacing w:after="0"/>
              <w:rPr>
                <w:sz w:val="18"/>
                <w:szCs w:val="18"/>
                <w:color w:val="auto"/>
              </w:rPr>
            </w:pPr>
          </w:p>
        </w:tc>
      </w:tr>
    </w:tbl>
    <w:p>
      <w:pPr>
        <w:spacing w:after="0" w:line="116" w:lineRule="exact"/>
        <w:rPr>
          <w:sz w:val="20"/>
          <w:szCs w:val="20"/>
          <w:color w:val="auto"/>
        </w:rPr>
      </w:pPr>
    </w:p>
    <w:p>
      <w:pPr>
        <w:sectPr>
          <w:pgSz w:w="11900" w:h="16838" w:orient="portrait"/>
          <w:cols w:equalWidth="0" w:num="1">
            <w:col w:w="9019"/>
          </w:cols>
          <w:pgMar w:left="1440" w:top="126" w:right="1440" w:bottom="1440" w:gutter="0" w:footer="0" w:header="0"/>
        </w:sect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37" w:name="page38"/>
    <w:bookmarkEnd w:id="37"/>
    <w:p>
      <w:pPr>
        <w:jc w:val="both"/>
        <w:ind w:left="120" w:right="119" w:firstLine="216"/>
        <w:spacing w:after="0" w:line="288"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3" w:lineRule="exact"/>
        <w:rPr>
          <w:sz w:val="20"/>
          <w:szCs w:val="20"/>
          <w:color w:val="auto"/>
        </w:rPr>
      </w:pPr>
    </w:p>
    <w:p>
      <w:pPr>
        <w:ind w:left="560" w:right="119" w:hanging="219"/>
        <w:spacing w:after="0" w:line="232" w:lineRule="auto"/>
        <w:tabs>
          <w:tab w:leader="none" w:pos="667" w:val="left"/>
        </w:tabs>
        <w:numPr>
          <w:ilvl w:val="0"/>
          <w:numId w:val="25"/>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25"/>
        </w:numPr>
        <w:rPr>
          <w:rFonts w:ascii="Arial" w:cs="Arial" w:eastAsia="Arial" w:hAnsi="Arial"/>
          <w:sz w:val="22"/>
          <w:szCs w:val="22"/>
          <w:color w:val="auto"/>
        </w:rPr>
      </w:pPr>
      <w:r>
        <w:rPr>
          <w:rFonts w:ascii="Arial" w:cs="Arial" w:eastAsia="Arial" w:hAnsi="Arial"/>
          <w:sz w:val="18"/>
          <w:szCs w:val="18"/>
          <w:color w:val="auto"/>
        </w:rPr>
        <w:t>Although depreciation is a non-cash charge, the assets being depreciated will often have to be replaced in the future, and Adjusted EBITDA does not reflect any cash requirements for such replacements.</w:t>
      </w:r>
    </w:p>
    <w:p>
      <w:pPr>
        <w:spacing w:after="0" w:line="204"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consolidated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jc w:val="both"/>
        <w:ind w:left="120" w:right="119" w:firstLine="216"/>
        <w:spacing w:after="0" w:line="289" w:lineRule="auto"/>
        <w:rPr>
          <w:sz w:val="20"/>
          <w:szCs w:val="20"/>
          <w:color w:val="auto"/>
        </w:rPr>
      </w:pPr>
      <w:r>
        <w:rPr>
          <w:rFonts w:ascii="Arial" w:cs="Arial" w:eastAsia="Arial" w:hAnsi="Arial"/>
          <w:sz w:val="16"/>
          <w:szCs w:val="16"/>
          <w:color w:val="auto"/>
        </w:rPr>
        <w:t>Our business is driven by the changing dynamics in the global printed textile industry, which is undergoing a transition from analog to digital printing methods. Recent technological advancements in digital printing technology have enabled printing of high resolution images and designs on textiles in large volumes and at high throughput levels. For example, these capabilities have enabled online businesses, whose business models are tailored to the growing demand for customized and personalized goods, to cater to customers who order single units or small runs of a particular design. We have identified the high throughput segment of the DTG market as a high growth area and have therefore focused our solutions to primarily address that area. We believe our early innovation in digital printing solutions has enabled us to evolve into a company that provides a comprehensive digital printing solution for the growing global printed textile industry and seek to further our presence by penetrating the roll-to-roll, or R2R, market in the next 18 months.</w:t>
      </w:r>
    </w:p>
    <w:p>
      <w:pPr>
        <w:spacing w:after="0" w:line="167" w:lineRule="exact"/>
        <w:rPr>
          <w:sz w:val="20"/>
          <w:szCs w:val="20"/>
          <w:color w:val="auto"/>
        </w:rPr>
      </w:pPr>
    </w:p>
    <w:p>
      <w:pPr>
        <w:jc w:val="both"/>
        <w:ind w:left="120" w:right="119" w:firstLine="216"/>
        <w:spacing w:after="0" w:line="288" w:lineRule="auto"/>
        <w:rPr>
          <w:sz w:val="20"/>
          <w:szCs w:val="20"/>
          <w:color w:val="auto"/>
        </w:rPr>
      </w:pPr>
      <w:r>
        <w:rPr>
          <w:rFonts w:ascii="Arial" w:cs="Arial" w:eastAsia="Arial" w:hAnsi="Arial"/>
          <w:sz w:val="16"/>
          <w:szCs w:val="16"/>
          <w:color w:val="auto"/>
        </w:rPr>
        <w:t>We offer a broad portfolio of digital printing systems for the DTG market. We target customers that manufacture textiles in large quantities with a variety of high throughput digital printing systems. We market our systems to different customers based on their desired throughput level, overall cost of ownership, the allowable space in their manufacturing facilities, the degree of preexisting knowledge they have of printing among other considerations. Most of our sales in recent years have been to high throughput manufacturers, which we believe will continue to grow in the next several years. At the same time, we are seeking to expand our presence into the mass production market with the commercial launch of our Vulcan system, targeted to occur within the next 24 months. Furthermore, we believe that our advanced technology and years of experience in digital textile printing will enable us to penetrate the R2R market after the commercial launch of our Allegro system, which is targeted within the next 18 months. Our solutions also include our proprietary NeoPigment ink and other consumables, associated software and value added services.</w:t>
      </w:r>
    </w:p>
    <w:p>
      <w:pPr>
        <w:spacing w:after="0" w:line="169" w:lineRule="exact"/>
        <w:rPr>
          <w:sz w:val="20"/>
          <w:szCs w:val="20"/>
          <w:color w:val="auto"/>
        </w:rPr>
      </w:pPr>
    </w:p>
    <w:p>
      <w:pPr>
        <w:jc w:val="both"/>
        <w:ind w:left="120" w:right="119" w:firstLine="216"/>
        <w:spacing w:after="0" w:line="290" w:lineRule="auto"/>
        <w:rPr>
          <w:sz w:val="20"/>
          <w:szCs w:val="20"/>
          <w:color w:val="auto"/>
        </w:rPr>
      </w:pPr>
      <w:r>
        <w:rPr>
          <w:rFonts w:ascii="Arial" w:cs="Arial" w:eastAsia="Arial" w:hAnsi="Arial"/>
          <w:sz w:val="16"/>
          <w:szCs w:val="16"/>
          <w:color w:val="auto"/>
        </w:rPr>
        <w:t>We sell the majority of our solutions through a global network of approximately 50 independent distributors and value added resellers that we refer to as our channel partners. Our channel partners, in turn, sell the solutions they purchase from us to customers directly or, in some cases, act as facilitators of our direct sales process. Our independent distributors are generally responsible for identifying potential leads, working with our sales force to convert leads into buying customers and maintaining relationships with our customers. 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jc w:val="both"/>
        <w:ind w:left="120" w:right="119" w:firstLine="216"/>
        <w:spacing w:after="0" w:line="264" w:lineRule="auto"/>
        <w:rPr>
          <w:sz w:val="20"/>
          <w:szCs w:val="20"/>
          <w:color w:val="auto"/>
        </w:rPr>
      </w:pPr>
      <w:r>
        <w:rPr>
          <w:rFonts w:ascii="Arial" w:cs="Arial" w:eastAsia="Arial" w:hAnsi="Arial"/>
          <w:sz w:val="18"/>
          <w:szCs w:val="18"/>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81" w:lineRule="exact"/>
        <w:rPr>
          <w:sz w:val="20"/>
          <w:szCs w:val="20"/>
          <w:color w:val="auto"/>
        </w:rPr>
      </w:pPr>
    </w:p>
    <w:p>
      <w:pPr>
        <w:jc w:val="both"/>
        <w:ind w:left="120" w:right="119" w:firstLine="216"/>
        <w:spacing w:after="0" w:line="253" w:lineRule="auto"/>
        <w:rPr>
          <w:sz w:val="20"/>
          <w:szCs w:val="20"/>
          <w:color w:val="auto"/>
        </w:rPr>
      </w:pPr>
      <w:r>
        <w:rPr>
          <w:rFonts w:ascii="Arial" w:cs="Arial" w:eastAsia="Arial" w:hAnsi="Arial"/>
          <w:sz w:val="18"/>
          <w:szCs w:val="18"/>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We plan to accomplish these goals by investing in our direct sales force, developing new applications for existing systems, introducing new solutions and growing our relationships with channel partners. Since sales of our ink and other consumables are directly linked to the number and mix of our systems that are sold, installed and active worldwide, engaging with our customers before and after sales is a key contributor to growth. We intend to drive growth by focusing our efforts on sales of our higher throughput industrial systems, which generally utilize larger amounts of ink and other consumables due to their greater capacity and higher throughput levels.</w:t>
      </w:r>
    </w:p>
    <w:p>
      <w:pPr>
        <w:spacing w:after="0" w:line="197"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We were founded in 2002 in Israel, shipped our first system in 2005 and, as of September 30, 2014, had an installed base of over 1,200 systems globally. As of September 30, 2014, we had 254 employees located across four regions: Israel, the United States, Europe and the Asia Pacific region. For the fiscal year ended December 31, 2013, we generated revenues of $49.4 million, representing a 26.1% increase over the prior fiscal year, and recorded net income of $1.1 million. In 2013, we generated 56.2% of our revenues from the Americas, 29.0% from EMEA and 14.8% from the Asia Pacific region. For the nine months ended September 30, 2014, we generated revenues of $47.5 million, representing a 38.9% increase compared to the nine months ended September 30, 2013, and recorded net income of $1.8 million. For the nine months ended September 30, 2014, we generated 54.1% of our revenues from the Americas, 29.3% from EMEA and 16.6% from the Asia Pacific region.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color w:val="auto"/>
        </w:rPr>
        <w:t>Substantially all of our revenues are generated from sales of our systems and ink and other consumables. A majority of our revenues is currently derived from sales of our systems, although we are targeting an equal mix of revenues from our systems compared to ink and other consumables in the medium term. We do not consider the period to period change in our total installed base to be a helpful metric in assessing our performance because we currently sell a number of different systems that have significantly different throughput characteristics and average selling prices. Accordingly, since we have not experienced material changes in the prices at which we sell ink and other consumables, we believe the best measure of the success of our strategy is the amount of the increase in revenues from ink and other consumables that is generated in each period.</w:t>
      </w:r>
    </w:p>
    <w:p>
      <w:pPr>
        <w:spacing w:after="0" w:line="179"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7"/>
          <w:szCs w:val="17"/>
          <w:color w:val="auto"/>
        </w:rPr>
        <w:t>We also generate a small portion of our revenues from the provision of spare parts to our distributors and customers, value added services consisting of time and material based support, post-warranty service contracts. In the future, we expect to generate revenues from other professional application development services.</w:t>
      </w:r>
    </w:p>
    <w:p>
      <w:pPr>
        <w:spacing w:after="0" w:line="166"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We principally sell our products through independent distributors who resell them to customers. Sales by our distributors accounted for approximately 72% of our revenues during the nine months ended September 30, 2014 and approximately 63% in 2013. The balance of our revenues are generated through direct sales.</w:t>
      </w:r>
    </w:p>
    <w:p>
      <w:pPr>
        <w:spacing w:after="0" w:line="181" w:lineRule="exact"/>
        <w:rPr>
          <w:sz w:val="20"/>
          <w:szCs w:val="20"/>
          <w:color w:val="auto"/>
        </w:rPr>
      </w:pPr>
    </w:p>
    <w:p>
      <w:pPr>
        <w:jc w:val="both"/>
        <w:ind w:left="120" w:right="119" w:firstLine="216"/>
        <w:spacing w:after="0" w:line="253" w:lineRule="auto"/>
        <w:rPr>
          <w:sz w:val="20"/>
          <w:szCs w:val="20"/>
          <w:color w:val="auto"/>
        </w:rPr>
      </w:pPr>
      <w:r>
        <w:rPr>
          <w:rFonts w:ascii="Arial" w:cs="Arial" w:eastAsia="Arial" w:hAnsi="Arial"/>
          <w:sz w:val="18"/>
          <w:szCs w:val="18"/>
          <w:color w:val="auto"/>
        </w:rPr>
        <w:t>We recognize revenues from sales of our systems upon installation of the system in the customer’s premises when installation is undertaken by us, provided that the collection of the resulting receivable is probable, there is persuasive evidence of an arrangement, no significant obligations in respect of installation remain and the price is fixed or determinable. This is also the case for sales made through independent distributors unless the independent distributor installs the system in which case we recognize revenues upon shipment to the independent distributor provided all other revenue recognition criteria are met. We recognize revenues net of discounts and returns. Revenues from ink and other consumables are generally recognized upon shipment. Revenues from provision of value added services are generally recognized at the time such support services are provided. See “—Critical Accounting Estimates—Revenue Recognition”.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120"/>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0"/>
          </w:tcPr>
          <w:p>
            <w:pPr>
              <w:ind w:left="480"/>
              <w:spacing w:after="0"/>
              <w:rPr>
                <w:sz w:val="20"/>
                <w:szCs w:val="20"/>
                <w:color w:val="auto"/>
              </w:rPr>
            </w:pPr>
            <w:r>
              <w:rPr>
                <w:rFonts w:ascii="Arial" w:cs="Arial" w:eastAsia="Arial" w:hAnsi="Arial"/>
                <w:sz w:val="16"/>
                <w:szCs w:val="16"/>
                <w:b w:val="1"/>
                <w:bCs w:val="1"/>
                <w:color w:val="auto"/>
                <w:w w:val="93"/>
              </w:rPr>
              <w:t>Nine months Ended September 30,</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w w:val="89"/>
              </w:rPr>
              <w:t>2013</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9"/>
          </w:tcPr>
          <w:p>
            <w:pPr>
              <w:ind w:left="500"/>
              <w:spacing w:after="0"/>
              <w:rPr>
                <w:sz w:val="20"/>
                <w:szCs w:val="20"/>
                <w:color w:val="auto"/>
              </w:rPr>
            </w:pPr>
            <w:r>
              <w:rPr>
                <w:rFonts w:ascii="Arial" w:cs="Arial" w:eastAsia="Arial" w:hAnsi="Arial"/>
                <w:sz w:val="16"/>
                <w:szCs w:val="16"/>
                <w:b w:val="1"/>
                <w:bCs w:val="1"/>
                <w:color w:val="auto"/>
                <w:w w:val="91"/>
              </w:rPr>
              <w:t>(in thousands except percentages)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United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States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22,022</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14,877</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22,898</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5,230</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5,732</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14,311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Asia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Pacific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5,130</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7,330</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7,884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3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49,395</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34,185</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47,495</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12" w:lineRule="exact"/>
        <w:rPr>
          <w:sz w:val="20"/>
          <w:szCs w:val="20"/>
          <w:color w:val="auto"/>
        </w:rPr>
      </w:pPr>
    </w:p>
    <w:p>
      <w:pPr>
        <w:jc w:val="both"/>
        <w:ind w:left="120" w:right="119" w:firstLine="216"/>
        <w:spacing w:after="0" w:line="289" w:lineRule="auto"/>
        <w:rPr>
          <w:sz w:val="20"/>
          <w:szCs w:val="20"/>
          <w:color w:val="auto"/>
        </w:rPr>
      </w:pPr>
      <w:r>
        <w:rPr>
          <w:rFonts w:ascii="Arial" w:cs="Arial" w:eastAsia="Arial" w:hAnsi="Arial"/>
          <w:sz w:val="16"/>
          <w:szCs w:val="16"/>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153"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w:t>
      </w:r>
    </w:p>
    <w:p>
      <w:pPr>
        <w:spacing w:after="0" w:line="166" w:lineRule="exact"/>
        <w:rPr>
          <w:sz w:val="20"/>
          <w:szCs w:val="20"/>
          <w:color w:val="auto"/>
        </w:rPr>
      </w:pPr>
    </w:p>
    <w:p>
      <w:pPr>
        <w:jc w:val="both"/>
        <w:ind w:left="120" w:right="119" w:firstLine="216"/>
        <w:spacing w:after="0" w:line="288"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since they have historically been focused on serving the one-year warranty that is included in the price of our systems. In the future, we will seek to generate greater revenues from our service offering, and thereby leverage the fixed cost component associated with it, by increasing sales of post-warranty service contracts and providing other professional services.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jc w:val="both"/>
        <w:ind w:left="120" w:right="119" w:firstLine="216"/>
        <w:spacing w:after="0" w:line="293" w:lineRule="auto"/>
        <w:rPr>
          <w:sz w:val="20"/>
          <w:szCs w:val="20"/>
          <w:color w:val="auto"/>
        </w:rPr>
      </w:pPr>
      <w:r>
        <w:rPr>
          <w:rFonts w:ascii="Arial" w:cs="Arial" w:eastAsia="Arial" w:hAnsi="Arial"/>
          <w:sz w:val="16"/>
          <w:szCs w:val="16"/>
          <w:color w:val="auto"/>
        </w:rPr>
        <w:t>Our operating expenses are classified into three categories: research and development expenses,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facilities leases. We expect personnel and allocated costs to continue to increase as we hire new employees to support the continued growth of our business. In the medium term, we expect operating expenses to decrease as a percentage of revenues.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jc w:val="both"/>
        <w:ind w:left="120" w:right="119" w:firstLine="216"/>
        <w:spacing w:after="0" w:line="269"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The largest component of our research and development expenses is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personnel expenses for our research and development employees. Research and development expenses also include purchases of laboratory supplies; beta testing of our systems; and allocated overhead costs for facilities, including rent payments under our facilities leases. We record all research and development expenses as they are incurred. We expect research and development expenses to increase in absolute terms as we continue to hire additional engineers and chemists and establish new beta sites for additional systems that we develop. Our current research and development efforts are primarily focused on beta testing of our Allegro R2R system, completing the development of our Vulcan DTG printing system, and enhancing our current DTG systems with new features and functionality, improving system reliability and uptime and making our systems even more user-friendly. We are also investing in the development of new ink formulas for our new systems and in order to expand the range of fabrics on which we can print and further improve the quality of our high resolution images and designs.</w:t>
      </w:r>
    </w:p>
    <w:p>
      <w:pPr>
        <w:spacing w:after="0" w:line="142"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The largest component of our sales and marketing expenses is salaries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expenses for our marketing, sales and other sales-support employees. Sales and marketing expenses also include advertising and promotions, including trade shows,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add new distributors as we expand to new territories, and strengthen relationships with existing distributors.</w:t>
      </w:r>
    </w:p>
    <w:p>
      <w:pPr>
        <w:spacing w:after="0" w:line="140" w:lineRule="exact"/>
        <w:rPr>
          <w:sz w:val="20"/>
          <w:szCs w:val="20"/>
          <w:color w:val="auto"/>
        </w:rPr>
      </w:pPr>
    </w:p>
    <w:p>
      <w:pPr>
        <w:jc w:val="both"/>
        <w:ind w:left="120" w:right="119" w:firstLine="216"/>
        <w:spacing w:after="0" w:line="29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largest component of our general and administrative expenses is salaries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personnel expenses 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as our sales continue to grow and as we begin operating as a public company.</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 (Expenses), Net</w:t>
      </w:r>
    </w:p>
    <w:p>
      <w:pPr>
        <w:spacing w:after="0" w:line="185"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Financial income (expenses), net consists of foreign currency exchange gains or losses and, to a lesser extent, interest income. Foreign currency exchange changes reflect gains or losses related to changes in the value of our non-U.S. dollar denominated financial assets, primarily cash and cash equivalents, and trade payables and receivables. As of September 30, 2014, we did not have any indebtedness for borrowed amounts. Interest income consists of interest earned on our cash, cash equivalents and short-term bank deposits. We expect interest income to vary depending on our average investment balances and market interest rates during each reporting period.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85" w:lineRule="exact"/>
        <w:rPr>
          <w:sz w:val="20"/>
          <w:szCs w:val="20"/>
          <w:color w:val="auto"/>
        </w:rPr>
      </w:pPr>
    </w:p>
    <w:p>
      <w:pPr>
        <w:jc w:val="both"/>
        <w:ind w:left="120" w:right="119" w:firstLine="216"/>
        <w:spacing w:after="0" w:line="288" w:lineRule="auto"/>
        <w:rPr>
          <w:sz w:val="20"/>
          <w:szCs w:val="20"/>
          <w:color w:val="auto"/>
        </w:rPr>
      </w:pPr>
      <w:r>
        <w:rPr>
          <w:rFonts w:ascii="Arial" w:cs="Arial" w:eastAsia="Arial" w:hAnsi="Arial"/>
          <w:sz w:val="16"/>
          <w:szCs w:val="16"/>
          <w:color w:val="auto"/>
        </w:rPr>
        <w:t>The standard corporate tax rate in Israel for 2014 and thereafter is 26.5% and was 25.0% in 2012 and 2013. At the parent company level, a small amount of the taxable income of Kornit Digital was taxed prior to 2014 at the 25.0% rate. However, as discussed in greater detail below under “Taxation — Israeli Tax Considerations and Government Programs,” we and our wholly-owned Israeli subsidiary, Kornit Digital Technologies Ltd., or Kornit Technologies, are entitled to various tax benefits under the Israeli Law for the Encouragement of Capital Investments, 1959, or the Investment Law. As a result of these benefits, referred to as “beneficiary enterprise” and “preferred enterprise” status, prior to 2014, substantially all of the income that we generated was exempt from income tax resulting in an overall effective tax rate, on a blended basis, of approximately 5%. Although Kornit Technologies had (and continues to have) net operating loss carryforwards, prior to 2014 we were unable to apply them to offset the amount of Israeli taxable income that we generated. As a result, we were subject to taxes on our taxable income at the parent company level.</w:t>
      </w:r>
    </w:p>
    <w:p>
      <w:pPr>
        <w:spacing w:after="0" w:line="12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Starting from January 1, 2014, we have consolidated the results of our Israeli operations for tax purposes such that future net operating loss carryforwards of Kornit Technologies can be used to offset Israeli taxable income from us. Kornit Technologies currently generates sufficient net operating loss carryforwards to offset the taxable income of the parent. Accordingly, we do not expect to be subject to income tax in Israel in 2014 and our effective tax rate will be the blended rate of our Israeli tax obligations and those of our non-Israeli subsidiaries in their respective jurisdictions of organization.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jc w:val="both"/>
        <w:ind w:left="120" w:right="119" w:firstLine="216"/>
        <w:spacing w:after="0" w:line="286" w:lineRule="auto"/>
        <w:rPr>
          <w:sz w:val="20"/>
          <w:szCs w:val="20"/>
          <w:color w:val="auto"/>
        </w:rPr>
      </w:pPr>
      <w:r>
        <w:rPr>
          <w:rFonts w:ascii="Arial" w:cs="Arial" w:eastAsia="Arial" w:hAnsi="Arial"/>
          <w:sz w:val="17"/>
          <w:szCs w:val="17"/>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9"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 following tables set forth our results of operations in dollars and as a percentage of revenues for the periods indicated:</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7"/>
          </w:tcPr>
          <w:p>
            <w:pPr>
              <w:jc w:val="right"/>
              <w:ind w:right="440"/>
              <w:spacing w:after="0"/>
              <w:rPr>
                <w:sz w:val="20"/>
                <w:szCs w:val="20"/>
                <w:color w:val="auto"/>
              </w:rPr>
            </w:pPr>
            <w:r>
              <w:rPr>
                <w:rFonts w:ascii="Arial" w:cs="Arial" w:eastAsia="Arial" w:hAnsi="Arial"/>
                <w:sz w:val="16"/>
                <w:szCs w:val="16"/>
                <w:b w:val="1"/>
                <w:bCs w:val="1"/>
                <w:color w:val="auto"/>
                <w:w w:val="92"/>
              </w:rPr>
              <w:t>Year Ended 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8"/>
          </w:tcPr>
          <w:p>
            <w:pPr>
              <w:jc w:val="right"/>
              <w:ind w:right="82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34,185</w:t>
            </w: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27,953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19,652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shd w:val="clear" w:color="auto" w:fill="CCEEFF"/>
          </w:tcPr>
          <w:p>
            <w:pPr>
              <w:spacing w:after="0"/>
              <w:rPr>
                <w:sz w:val="18"/>
                <w:szCs w:val="18"/>
                <w:color w:val="auto"/>
              </w:rPr>
            </w:pPr>
          </w:p>
        </w:tc>
      </w:t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7,734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7,569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18,455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12,601</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18,136</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Taxes on income</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7"/>
          </w:tcPr>
          <w:p>
            <w:pPr>
              <w:jc w:val="right"/>
              <w:ind w:right="400"/>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8"/>
          </w:tcPr>
          <w:p>
            <w:pPr>
              <w:jc w:val="right"/>
              <w:ind w:right="580"/>
              <w:spacing w:after="0"/>
              <w:rPr>
                <w:sz w:val="20"/>
                <w:szCs w:val="20"/>
                <w:color w:val="auto"/>
              </w:rPr>
            </w:pPr>
            <w:r>
              <w:rPr>
                <w:rFonts w:ascii="Arial" w:cs="Arial" w:eastAsia="Arial" w:hAnsi="Arial"/>
                <w:sz w:val="16"/>
                <w:szCs w:val="16"/>
                <w:b w:val="1"/>
                <w:bCs w:val="1"/>
                <w:color w:val="auto"/>
              </w:rPr>
              <w:t>(as a % of revenues)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expenses, net</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Taxes on income</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Nine Months Ended September 30, 2013 and 2014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Revenues increased by $13.3 million, or 38.9%, to $47.5 million in the first nine months of 2014, as compared to $34.2 million in the first nine months of 2013. Substantially all of the growth in revenues resulted from an increase of $8.9 million in system revenues and an increase of $3.6 million from the sale of ink and other consumables. The substantial majority of the growth in system revenues was attributable to a change in the mix of systems sold, specifically sales of more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jc w:val="both"/>
        <w:ind w:left="120" w:right="119"/>
        <w:spacing w:after="0" w:line="308" w:lineRule="auto"/>
        <w:rPr>
          <w:sz w:val="20"/>
          <w:szCs w:val="20"/>
          <w:color w:val="auto"/>
        </w:rPr>
      </w:pPr>
      <w:r>
        <w:rPr>
          <w:rFonts w:ascii="Arial" w:cs="Arial" w:eastAsia="Arial" w:hAnsi="Arial"/>
          <w:sz w:val="17"/>
          <w:szCs w:val="17"/>
          <w:color w:val="auto"/>
        </w:rPr>
        <w:t>high throughput systems in this period, which sell for higher average selling prices than our entry level systems. The increase in ink and other consumables revenues was due to higher sales volumes of ink and other consumables.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Cost of revenues increased by $7.2 million, or 36.6%, to $26.9 million in the first nine months of 2014, as compared to $19.7 million in the first nine months of 2013. Gross profit increased by $6.1 million, or 42.1%, to $20.6 million in the first nine months of 2014, as compared to $14.5 million in the first nine months of 2013. Gross margin was 43.5% in the first nine months of 2014 compared to 42.5% in the first nine months of 2013. The increase in gross margin is related to a 9.8% increase in systems gross margin partially offset by a 2.5% decrease in gross margin from ink and other consumables in each case compared to the same period in the prior year. The increase in system gross margin resulted from an increase in sales of higher margin high throughput systems while the decrease in ink and other consumables gross margin resulted mainly from higher costs of revenues related to increased rent expense due to the expansion of the facility where we manufacture our ink and other consumables and increased headcount expense relating to increased production of ink and other consumables.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6"/>
                <w:szCs w:val="16"/>
                <w:b w:val="1"/>
                <w:bCs w:val="1"/>
                <w:color w:val="auto"/>
                <w:w w:val="96"/>
              </w:rPr>
              <w:t>Nine Months Ended September 30,</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2014</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 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Operating expenses: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6,851</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w w:val="97"/>
              </w:rPr>
              <w:t>40.4%</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9"/>
              </w:rPr>
              <w:t>Sales and marketing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5"/>
              </w:rPr>
              <w:t>41.3</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3,716</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85"/>
              </w:rPr>
              <w:t>57.1</w:t>
            </w:r>
          </w:p>
        </w:tc>
        <w:tc>
          <w:tcPr>
            <w:tcW w:w="20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1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43.9%</w:t>
            </w:r>
          </w:p>
        </w:tc>
      </w:tr>
    </w:tbl>
    <w:p>
      <w:pPr>
        <w:spacing w:after="0" w:line="161"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40.4%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2014 compared to the first nine months of 2013. This resulted primarily from an increase of $1.1 million in salaries and related personnel expenses due to the hiring of additional personnel, of which $0.1 million was due to currency fluctuations. This increase related primarily to an increase in expenses relating to development of our new Vulcan system for the DTG market. As a percentage of total revenues, our research and development expenses did not increase materially in 2014 compared to 2013.</w:t>
      </w:r>
    </w:p>
    <w:p>
      <w:pPr>
        <w:spacing w:after="0" w:line="193"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41.3% in the first nine months of 2014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first nine months of 2013. This increase was primarily due to an increase of $1.4 million in salaries and related personnel expenses due to the hiring of sales and marketing personnel in 2014, an increase of $0.3 million in marketing activities, including trade shows and online marketing activities, of which $0.1 million was due to currency fluctuations. As a percentage of total revenues, our sales and marketing expenses rose slightly during this period, from 15.7% in 2013 to 16.0% in 2014. This increase reflects our strategy of continuing to increase our presence in new markets in which we operate and creating increased market awareness of our company from intensified marketing efforts.</w:t>
      </w:r>
    </w:p>
    <w:p>
      <w:pPr>
        <w:spacing w:after="0" w:line="167" w:lineRule="exact"/>
        <w:rPr>
          <w:sz w:val="20"/>
          <w:szCs w:val="20"/>
          <w:color w:val="auto"/>
        </w:rPr>
      </w:pPr>
    </w:p>
    <w:p>
      <w:pPr>
        <w:jc w:val="both"/>
        <w:ind w:left="120" w:right="119" w:firstLine="216"/>
        <w:spacing w:after="0" w:line="29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57.1% in the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2014 compared to the first nine months of 2013. This resulted primarily from an increase of $0.9 million in salaries and related personnel expenses due to the hiring of additional personnel reflecting an increase in headcount compared to the previous year and management changes. As a percentage of our total revenues in those years, such expenses slightly increased, from 6.9% in 2013 to 7.8% in 2014 reflecting the expansion of our management team.</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7"/>
          <w:szCs w:val="17"/>
          <w:color w:val="auto"/>
        </w:rPr>
        <w:t>Finance expenses for the nine months ended September 30, 2013 were $0.3 million. For the same period in 2014, finance expenses were $0.2 million. This decrease resulted primarily from the effects of exchange rates on our non-dollar denominated financial assets, specifically the exchange rate of the U.S. dollar to the NIS.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Taxes on income for the nine months ended September 30, 2013 were $1.0 million. For the same period in 2014, taxes on income were $0.5 million. Our effective tax rate was 20.7% for the nine months ended September 30, 2014 compared to 63.4% for the nine months ended September 30, 2013. Our tax rate in 2013 reflected a full valuation allowance applied against the current loss for tax purposes incurred by our Israeli subsidiary, Kornit Technologies, which was not consolidated for tax purposes with our parent entity, Kornit Digital, which generates taxable income. Starting in 2014, we have consolidated Kornit Technologies for tax purposes resulting in significantly lower taxable income and a correspondingly lower effective tax rate.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2012 and 2013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Revenues increased by $10.2 million, or 26.0%, to $49.4 million in 2013 from $39.2 million in 2012. The growth in revenues in 2013 was primarily attributable to an increase in the volume of the products that we sold. Specifically, during this period we had a $6.3 million increase in sales of ink and other consumables and a $3.7 million increase in sales of systems. The smaller relative increase in revenues from systems resulted from sales of a fewer number of systems particularly in the first half of the year while the larger relative increase in revenues from ink and other consumables was due to the impact of systems sold in prior periods generating demand for such consumables.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Cost of revenues increased by $5.3 million, or 22.9%, to $28.0 million in 2013, as compared to $22.7 million in 2012. Gross profit increased by $5.0 million, or 30.5%, to $21.4 million in 2013, as compared to $16.4 million in 2012. Gross margin was 43.4% in 2013 compared to 41.9% in 2012. This increase in gross margin was primarily attributable to a 1.8% increase in gross margin from ink and other consumables partially offset by a 2.6% decrease in systems gross margin, which was primarily due to sales of lower margin systems.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6"/>
                <w:szCs w:val="16"/>
                <w:b w:val="1"/>
                <w:bCs w:val="1"/>
                <w:color w:val="auto"/>
                <w:w w:val="94"/>
              </w:rPr>
              <w:t>Year Ended December 31,</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2012</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214"/>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 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Operating expenses: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4,839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7,443</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9"/>
              </w:rPr>
              <w:t>Sales and marketing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3,278</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1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right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60" w:type="dxa"/>
            <w:vAlign w:val="bottom"/>
            <w:tcBorders>
              <w:right w:val="single" w:sz="8" w:color="CCEEFF"/>
            </w:tcBorders>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120" w:right="119" w:firstLine="216"/>
        <w:spacing w:after="0" w:line="242"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53.8% in 2013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resulted primarily from an increase of $1.1 million in salaries and related personnel expenses, of which $0.3 million was due to currency fluctuations, and an increase of $0.7 million </w:t>
      </w:r>
      <w:r>
        <w:rPr>
          <w:rFonts w:ascii="Arial" w:cs="Arial" w:eastAsia="Arial" w:hAnsi="Arial"/>
          <w:sz w:val="34"/>
          <w:szCs w:val="34"/>
          <w:color w:val="auto"/>
          <w:vertAlign w:val="superscript"/>
        </w:rPr>
        <w:t>primarily</w:t>
      </w:r>
      <w:r>
        <w:rPr>
          <w:rFonts w:ascii="Arial" w:cs="Arial" w:eastAsia="Arial" w:hAnsi="Arial"/>
          <w:sz w:val="17"/>
          <w:szCs w:val="17"/>
          <w:color w:val="auto"/>
        </w:rPr>
        <w:t xml:space="preserve"> in materials and related costs for our two beta sites in 2013 compared to 2012, in each case, related to the Allegro and Vulcan systems. As a percentage of total revenues, our research and development expenses increased relatively from 12.4% in 2012 to 15.1% in 2013, reflecting our increased focus on development of these new systems.</w:t>
      </w:r>
    </w:p>
    <w:p>
      <w:pPr>
        <w:spacing w:after="0" w:line="200"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increased by 65.7% in 2013 compared to 2012.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an increase of $1.6 million in salaries and related personnel costs due to increased recruiting of sales and marketing personnel in 2013 as part of our strategic sales and marketing initiatives, of which $0.1 million was due to currency fluctuations, and an increase of $0.7 million in marketing activities, including trade shows and corporate rebranding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jc w:val="both"/>
        <w:ind w:left="120" w:right="119"/>
        <w:spacing w:after="0" w:line="279" w:lineRule="auto"/>
        <w:rPr>
          <w:sz w:val="20"/>
          <w:szCs w:val="20"/>
          <w:color w:val="auto"/>
        </w:rPr>
      </w:pPr>
      <w:r>
        <w:rPr>
          <w:rFonts w:ascii="Arial" w:cs="Arial" w:eastAsia="Arial" w:hAnsi="Arial"/>
          <w:sz w:val="17"/>
          <w:szCs w:val="17"/>
          <w:color w:val="auto"/>
        </w:rPr>
        <w:t>in 2013. As a percentage of total revenues, our sales and marketing expenses rose during this period, from 11.9% in 2012 to 15.7% in 2013. This increase reflects our strategic determination to improve our presence in our active territories and deepen relationships with our existing distributors and entering into new markets, while also increasing market awareness of our company by intensifying our marketing efforts and adding distribution channels.</w:t>
      </w:r>
    </w:p>
    <w:p>
      <w:pPr>
        <w:spacing w:after="0" w:line="171"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6.0% in 2013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reflecting an increase in headcount generated by increased activity across all areas of our business in each of those years compared to the previous year. Despite the absolute increase in general and administrative expenses in 2013 compared to 2012, as a percentage of our total revenues in those years, such expenses decreased, from 7.9% in 2012 to 6.6% in 2013, reflecting our increased revenues as well as our efforts to manage our expansion efficiently.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Finance expenses increased from $0.3 million in 2012 to $0.5 million in 2013. This increase was primarily attributable to expenses arising from foreign currency fluctuations in 2013, as changes in the U.S. dollar in relation to the NIS and other currencies resulted in foreign currency exchange losses.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Taxes on income increased from $1.2 million in 2012 to $1.4 million in 2013. This increase was primarily attributable to the change in our subsidiaries operating on a cost-plus basis to a low-cost distributor basis. This was due to a decision to expand the functions performed by the subsidiaries to include sales and marketing activities, which resulted in the subsidiaries generating more taxable income.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 and Seasonality</w:t>
      </w:r>
    </w:p>
    <w:p>
      <w:pPr>
        <w:spacing w:after="0" w:line="229" w:lineRule="exact"/>
        <w:rPr>
          <w:sz w:val="20"/>
          <w:szCs w:val="20"/>
          <w:color w:val="auto"/>
        </w:rPr>
      </w:pPr>
    </w:p>
    <w:p>
      <w:pPr>
        <w:jc w:val="both"/>
        <w:ind w:left="120" w:right="119" w:firstLine="216"/>
        <w:spacing w:after="0" w:line="302" w:lineRule="auto"/>
        <w:rPr>
          <w:sz w:val="20"/>
          <w:szCs w:val="20"/>
          <w:color w:val="auto"/>
        </w:rPr>
      </w:pPr>
      <w:r>
        <w:rPr>
          <w:rFonts w:ascii="Arial" w:cs="Arial" w:eastAsia="Arial" w:hAnsi="Arial"/>
          <w:sz w:val="16"/>
          <w:szCs w:val="16"/>
          <w:color w:val="auto"/>
        </w:rPr>
        <w:t>The following tables present our unaudited condensed consolidated quarterly results of operations in dollars and as a percentage of revenues for the periods indicated. This information should be read in conjunction with our consolidated financial statements and related notes included elsewhere in this prospectus. The historical quarterly results presented are not necessarily indicative of the results that may be expected for any future quarters or periods.</w:t>
      </w:r>
    </w:p>
    <w:p>
      <w:pPr>
        <w:spacing w:after="0" w:line="154"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The quarterly supplemental financial measures below include quarterly Adjusted EBITDA, which is a non-GAAP financial measure. See “Summary—Summary Consolidated Financial Data” for a description of how we calculate Adjusted EBITDA. A reconciliation of this non-GAAP financial measure to the most directly comparable GAAP measure and a discussion about the limitations of this non-GAAP financial measure is provided below.</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6"/>
                <w:szCs w:val="16"/>
                <w:b w:val="1"/>
                <w:bCs w:val="1"/>
                <w:color w:val="auto"/>
                <w:w w:val="92"/>
              </w:rPr>
              <w:t>Three Months Ended</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252"/>
              <w:spacing w:after="0"/>
              <w:rPr>
                <w:sz w:val="20"/>
                <w:szCs w:val="20"/>
                <w:color w:val="auto"/>
              </w:rPr>
            </w:pPr>
            <w:r>
              <w:rPr>
                <w:rFonts w:ascii="Arial" w:cs="Arial" w:eastAsia="Arial" w:hAnsi="Arial"/>
                <w:sz w:val="16"/>
                <w:szCs w:val="16"/>
                <w:b w:val="1"/>
                <w:bCs w:val="1"/>
                <w:color w:val="auto"/>
              </w:rPr>
              <w:t>Mar. 31,</w:t>
            </w:r>
          </w:p>
        </w:tc>
        <w:tc>
          <w:tcPr>
            <w:tcW w:w="1020" w:type="dxa"/>
            <w:vAlign w:val="bottom"/>
            <w:gridSpan w:val="2"/>
          </w:tcPr>
          <w:p>
            <w:pPr>
              <w:jc w:val="right"/>
              <w:ind w:right="252"/>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880" w:type="dxa"/>
            <w:vAlign w:val="bottom"/>
          </w:tcPr>
          <w:p>
            <w:pPr>
              <w:jc w:val="right"/>
              <w:ind w:right="254"/>
              <w:spacing w:after="0"/>
              <w:rPr>
                <w:sz w:val="20"/>
                <w:szCs w:val="20"/>
                <w:color w:val="auto"/>
              </w:rPr>
            </w:pPr>
            <w:r>
              <w:rPr>
                <w:rFonts w:ascii="Arial" w:cs="Arial" w:eastAsia="Arial" w:hAnsi="Arial"/>
                <w:sz w:val="16"/>
                <w:szCs w:val="16"/>
                <w:b w:val="1"/>
                <w:bCs w:val="1"/>
                <w:color w:val="auto"/>
                <w:w w:val="85"/>
              </w:rPr>
              <w:t>Sep. 30,</w:t>
            </w:r>
          </w:p>
        </w:tc>
        <w:tc>
          <w:tcPr>
            <w:tcW w:w="140" w:type="dxa"/>
            <w:vAlign w:val="bottom"/>
          </w:tcPr>
          <w:p>
            <w:pPr>
              <w:spacing w:after="0"/>
              <w:rPr>
                <w:sz w:val="16"/>
                <w:szCs w:val="16"/>
                <w:color w:val="auto"/>
              </w:rPr>
            </w:pPr>
          </w:p>
        </w:tc>
        <w:tc>
          <w:tcPr>
            <w:tcW w:w="880" w:type="dxa"/>
            <w:vAlign w:val="bottom"/>
          </w:tcPr>
          <w:p>
            <w:pPr>
              <w:jc w:val="center"/>
              <w:ind w:right="253"/>
              <w:spacing w:after="0"/>
              <w:rPr>
                <w:sz w:val="20"/>
                <w:szCs w:val="20"/>
                <w:color w:val="auto"/>
              </w:rPr>
            </w:pPr>
            <w:r>
              <w:rPr>
                <w:rFonts w:ascii="Arial" w:cs="Arial" w:eastAsia="Arial" w:hAnsi="Arial"/>
                <w:sz w:val="16"/>
                <w:szCs w:val="16"/>
                <w:b w:val="1"/>
                <w:bCs w:val="1"/>
                <w:color w:val="auto"/>
                <w:w w:val="89"/>
              </w:rPr>
              <w:t>Dec. 31,</w:t>
            </w:r>
          </w:p>
        </w:tc>
        <w:tc>
          <w:tcPr>
            <w:tcW w:w="1020" w:type="dxa"/>
            <w:vAlign w:val="bottom"/>
            <w:gridSpan w:val="2"/>
          </w:tcPr>
          <w:p>
            <w:pPr>
              <w:jc w:val="right"/>
              <w:ind w:right="232"/>
              <w:spacing w:after="0"/>
              <w:rPr>
                <w:sz w:val="20"/>
                <w:szCs w:val="20"/>
                <w:color w:val="auto"/>
              </w:rPr>
            </w:pPr>
            <w:r>
              <w:rPr>
                <w:rFonts w:ascii="Arial" w:cs="Arial" w:eastAsia="Arial" w:hAnsi="Arial"/>
                <w:sz w:val="16"/>
                <w:szCs w:val="16"/>
                <w:b w:val="1"/>
                <w:bCs w:val="1"/>
                <w:color w:val="auto"/>
              </w:rPr>
              <w:t>Mar. 31,</w:t>
            </w:r>
          </w:p>
        </w:tc>
        <w:tc>
          <w:tcPr>
            <w:tcW w:w="1020" w:type="dxa"/>
            <w:vAlign w:val="bottom"/>
            <w:gridSpan w:val="2"/>
          </w:tcPr>
          <w:p>
            <w:pPr>
              <w:jc w:val="center"/>
              <w:ind w:right="72"/>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Sep. 30,</w:t>
            </w:r>
          </w:p>
        </w:tc>
        <w:tc>
          <w:tcPr>
            <w:tcW w:w="14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53"/>
              <w:spacing w:after="0"/>
              <w:rPr>
                <w:sz w:val="20"/>
                <w:szCs w:val="20"/>
                <w:color w:val="auto"/>
              </w:rPr>
            </w:pPr>
            <w:r>
              <w:rPr>
                <w:rFonts w:ascii="Arial" w:cs="Arial" w:eastAsia="Arial" w:hAnsi="Arial"/>
                <w:sz w:val="16"/>
                <w:szCs w:val="16"/>
                <w:b w:val="1"/>
                <w:bCs w:val="1"/>
                <w:color w:val="auto"/>
                <w:w w:val="95"/>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center"/>
              <w:ind w:left="594"/>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6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Consolidated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Data:</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8,478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11,807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13,900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15,210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13,262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15,739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18,494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5,574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5,945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6,909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4,499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6,843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(loss)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0"/>
                <w:szCs w:val="20"/>
                <w:color w:val="auto"/>
              </w:rPr>
            </w:pP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1,440</w:t>
            </w:r>
          </w:p>
        </w:tc>
        <w:tc>
          <w:tcPr>
            <w:tcW w:w="140" w:type="dxa"/>
            <w:vAlign w:val="bottom"/>
          </w:tcPr>
          <w:p>
            <w:pPr>
              <w:spacing w:after="0"/>
              <w:rPr>
                <w:sz w:val="20"/>
                <w:szCs w:val="20"/>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20"/>
                <w:szCs w:val="20"/>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3,447</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40" w:type="dxa"/>
            <w:vAlign w:val="bottom"/>
            <w:shd w:val="clear" w:color="auto" w:fill="CCEEFF"/>
          </w:tcPr>
          <w:p>
            <w:pPr>
              <w:spacing w:after="0"/>
              <w:rPr>
                <w:sz w:val="18"/>
                <w:szCs w:val="18"/>
                <w:color w:val="auto"/>
              </w:rPr>
            </w:pPr>
          </w:p>
        </w:tc>
      </w:tr>
      <w:tr>
        <w:trPr>
          <w:trHeight w:val="453"/>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172"/>
              <w:spacing w:after="0"/>
              <w:rPr>
                <w:sz w:val="20"/>
                <w:szCs w:val="20"/>
                <w:color w:val="auto"/>
              </w:rPr>
            </w:pPr>
            <w:r>
              <w:rPr>
                <w:rFonts w:ascii="Arial" w:cs="Arial" w:eastAsia="Arial" w:hAnsi="Arial"/>
                <w:sz w:val="16"/>
                <w:szCs w:val="16"/>
                <w:b w:val="1"/>
                <w:bCs w:val="1"/>
                <w:color w:val="auto"/>
                <w:w w:val="92"/>
              </w:rPr>
              <w:t>Three Months Ended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72"/>
              <w:spacing w:after="0"/>
              <w:rPr>
                <w:sz w:val="20"/>
                <w:szCs w:val="20"/>
                <w:color w:val="auto"/>
              </w:rPr>
            </w:pPr>
            <w:r>
              <w:rPr>
                <w:rFonts w:ascii="Arial" w:cs="Arial" w:eastAsia="Arial" w:hAnsi="Arial"/>
                <w:sz w:val="16"/>
                <w:szCs w:val="16"/>
                <w:b w:val="1"/>
                <w:bCs w:val="1"/>
                <w:color w:val="auto"/>
              </w:rPr>
              <w:t>Mar. 31,</w:t>
            </w:r>
          </w:p>
        </w:tc>
        <w:tc>
          <w:tcPr>
            <w:tcW w:w="160" w:type="dxa"/>
            <w:vAlign w:val="bottom"/>
          </w:tcPr>
          <w:p>
            <w:pPr>
              <w:spacing w:after="0"/>
              <w:rPr>
                <w:sz w:val="16"/>
                <w:szCs w:val="16"/>
                <w:color w:val="auto"/>
              </w:rPr>
            </w:pP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6"/>
                <w:szCs w:val="16"/>
                <w:color w:val="auto"/>
              </w:rPr>
            </w:pPr>
          </w:p>
        </w:tc>
        <w:tc>
          <w:tcPr>
            <w:tcW w:w="880" w:type="dxa"/>
            <w:vAlign w:val="bottom"/>
          </w:tcPr>
          <w:p>
            <w:pPr>
              <w:jc w:val="right"/>
              <w:ind w:right="214"/>
              <w:spacing w:after="0"/>
              <w:rPr>
                <w:sz w:val="20"/>
                <w:szCs w:val="20"/>
                <w:color w:val="auto"/>
              </w:rPr>
            </w:pPr>
            <w:r>
              <w:rPr>
                <w:rFonts w:ascii="Arial" w:cs="Arial" w:eastAsia="Arial" w:hAnsi="Arial"/>
                <w:sz w:val="16"/>
                <w:szCs w:val="16"/>
                <w:b w:val="1"/>
                <w:bCs w:val="1"/>
                <w:color w:val="auto"/>
                <w:w w:val="92"/>
              </w:rPr>
              <w:t>Sep. 30,</w:t>
            </w:r>
          </w:p>
        </w:tc>
        <w:tc>
          <w:tcPr>
            <w:tcW w:w="140" w:type="dxa"/>
            <w:vAlign w:val="bottom"/>
          </w:tcPr>
          <w:p>
            <w:pPr>
              <w:spacing w:after="0"/>
              <w:rPr>
                <w:sz w:val="16"/>
                <w:szCs w:val="16"/>
                <w:color w:val="auto"/>
              </w:rPr>
            </w:pPr>
          </w:p>
        </w:tc>
        <w:tc>
          <w:tcPr>
            <w:tcW w:w="880" w:type="dxa"/>
            <w:vAlign w:val="bottom"/>
          </w:tcPr>
          <w:p>
            <w:pPr>
              <w:jc w:val="center"/>
              <w:ind w:right="173"/>
              <w:spacing w:after="0"/>
              <w:rPr>
                <w:sz w:val="20"/>
                <w:szCs w:val="20"/>
                <w:color w:val="auto"/>
              </w:rPr>
            </w:pPr>
            <w:r>
              <w:rPr>
                <w:rFonts w:ascii="Arial" w:cs="Arial" w:eastAsia="Arial" w:hAnsi="Arial"/>
                <w:sz w:val="16"/>
                <w:szCs w:val="16"/>
                <w:b w:val="1"/>
                <w:bCs w:val="1"/>
                <w:color w:val="auto"/>
                <w:w w:val="89"/>
              </w:rPr>
              <w:t>Dec. 31,</w:t>
            </w:r>
          </w:p>
        </w:tc>
        <w:tc>
          <w:tcPr>
            <w:tcW w:w="140" w:type="dxa"/>
            <w:vAlign w:val="bottom"/>
          </w:tcPr>
          <w:p>
            <w:pPr>
              <w:spacing w:after="0"/>
              <w:rPr>
                <w:sz w:val="16"/>
                <w:szCs w:val="16"/>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w w:val="97"/>
              </w:rPr>
              <w:t>Mar. 31,</w:t>
            </w:r>
          </w:p>
        </w:tc>
        <w:tc>
          <w:tcPr>
            <w:tcW w:w="140" w:type="dxa"/>
            <w:vAlign w:val="bottom"/>
          </w:tcPr>
          <w:p>
            <w:pPr>
              <w:spacing w:after="0"/>
              <w:rPr>
                <w:sz w:val="16"/>
                <w:szCs w:val="16"/>
                <w:color w:val="auto"/>
              </w:rPr>
            </w:pPr>
          </w:p>
        </w:tc>
        <w:tc>
          <w:tcPr>
            <w:tcW w:w="880" w:type="dxa"/>
            <w:vAlign w:val="bottom"/>
          </w:tcPr>
          <w:p>
            <w:pPr>
              <w:jc w:val="center"/>
              <w:ind w:right="212"/>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9"/>
              </w:rPr>
              <w:t>Sep. 30,</w:t>
            </w:r>
          </w:p>
        </w:tc>
        <w:tc>
          <w:tcPr>
            <w:tcW w:w="160" w:type="dxa"/>
            <w:vAlign w:val="bottom"/>
            <w:gridSpan w:val="2"/>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5"/>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4"/>
          </w:tcPr>
          <w:p>
            <w:pPr>
              <w:jc w:val="center"/>
              <w:ind w:left="554"/>
              <w:spacing w:after="0"/>
              <w:rPr>
                <w:sz w:val="20"/>
                <w:szCs w:val="20"/>
                <w:color w:val="auto"/>
              </w:rPr>
            </w:pPr>
            <w:r>
              <w:rPr>
                <w:rFonts w:ascii="Arial" w:cs="Arial" w:eastAsia="Arial" w:hAnsi="Arial"/>
                <w:sz w:val="16"/>
                <w:szCs w:val="16"/>
                <w:b w:val="1"/>
                <w:bCs w:val="1"/>
                <w:color w:val="auto"/>
                <w:w w:val="90"/>
              </w:rPr>
              <w:t>(as a % of revenues)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6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Consolidated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Statements of Income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(loss)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16" w:lineRule="exact"/>
        <w:rPr>
          <w:sz w:val="20"/>
          <w:szCs w:val="20"/>
          <w:color w:val="auto"/>
        </w:rPr>
      </w:pPr>
    </w:p>
    <w:p>
      <w:pPr>
        <w:sectPr>
          <w:pgSz w:w="11900" w:h="16838" w:orient="portrait"/>
          <w:cols w:equalWidth="0" w:num="1">
            <w:col w:w="9019"/>
          </w:cols>
          <w:pgMar w:left="1440" w:top="125" w:right="1440" w:bottom="1440" w:gutter="0" w:footer="0" w:header="0"/>
        </w:sect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6" w:name="page47"/>
    <w:bookmarkEnd w:id="46"/>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6"/>
                <w:szCs w:val="16"/>
                <w:b w:val="1"/>
                <w:bCs w:val="1"/>
                <w:color w:val="auto"/>
                <w:w w:val="93"/>
              </w:rPr>
              <w:t>Three Months Ended</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June 30,</w:t>
            </w:r>
          </w:p>
        </w:tc>
        <w:tc>
          <w:tcPr>
            <w:tcW w:w="3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Sep. 30,</w:t>
            </w:r>
          </w:p>
        </w:tc>
        <w:tc>
          <w:tcPr>
            <w:tcW w:w="300" w:type="dxa"/>
            <w:vAlign w:val="bottom"/>
          </w:tcPr>
          <w:p>
            <w:pPr>
              <w:spacing w:after="0"/>
              <w:rPr>
                <w:sz w:val="16"/>
                <w:szCs w:val="16"/>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Dec. 31,</w:t>
            </w:r>
          </w:p>
        </w:tc>
        <w:tc>
          <w:tcPr>
            <w:tcW w:w="8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June 30,</w:t>
            </w:r>
          </w:p>
        </w:tc>
        <w:tc>
          <w:tcPr>
            <w:tcW w:w="3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Sep. 30,</w:t>
            </w:r>
          </w:p>
        </w:tc>
        <w:tc>
          <w:tcPr>
            <w:tcW w:w="14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9"/>
              </w:rPr>
              <w:t>2013</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2014</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7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Supplemental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Data:</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1,164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4,058</w:t>
            </w:r>
          </w:p>
        </w:tc>
        <w:tc>
          <w:tcPr>
            <w:tcW w:w="1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Reconciliation of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to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3,170</w:t>
            </w:r>
          </w:p>
        </w:tc>
        <w:tc>
          <w:tcPr>
            <w:tcW w:w="14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Finance expenses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(income), net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w w:val="92"/>
              </w:rPr>
              <w:t>compensation expense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40" w:type="dxa"/>
            <w:vAlign w:val="bottom"/>
            <w:tcBorders>
              <w:top w:val="single" w:sz="8" w:color="CCEEFF"/>
            </w:tcBorders>
            <w:shd w:val="clear" w:color="auto" w:fill="CCEEFF"/>
          </w:tcPr>
          <w:p>
            <w:pPr>
              <w:spacing w:after="0"/>
              <w:rPr>
                <w:sz w:val="18"/>
                <w:szCs w:val="18"/>
                <w:color w:val="auto"/>
              </w:rPr>
            </w:pPr>
          </w:p>
        </w:tc>
      </w:tr>
    </w:tbl>
    <w:p>
      <w:pPr>
        <w:spacing w:after="0" w:line="161" w:lineRule="exact"/>
        <w:rPr>
          <w:sz w:val="20"/>
          <w:szCs w:val="20"/>
          <w:color w:val="auto"/>
        </w:rPr>
      </w:pPr>
    </w:p>
    <w:p>
      <w:pPr>
        <w:jc w:val="both"/>
        <w:ind w:left="120" w:right="119" w:firstLine="216"/>
        <w:spacing w:after="0" w:line="288" w:lineRule="auto"/>
        <w:rPr>
          <w:sz w:val="20"/>
          <w:szCs w:val="20"/>
          <w:color w:val="auto"/>
        </w:rPr>
      </w:pPr>
      <w:r>
        <w:rPr>
          <w:rFonts w:ascii="Arial" w:cs="Arial" w:eastAsia="Arial" w:hAnsi="Arial"/>
          <w:sz w:val="16"/>
          <w:szCs w:val="16"/>
          <w:i w:val="1"/>
          <w:iCs w:val="1"/>
          <w:color w:val="auto"/>
        </w:rPr>
        <w:t xml:space="preserve">Quarterly Revenue Trends. </w:t>
      </w:r>
      <w:r>
        <w:rPr>
          <w:rFonts w:ascii="Arial" w:cs="Arial" w:eastAsia="Arial" w:hAnsi="Arial"/>
          <w:sz w:val="16"/>
          <w:szCs w:val="16"/>
          <w:color w:val="auto"/>
        </w:rPr>
        <w:t>Our quarterly revenues increased year-over-year for all periods presented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sales of our systems, particularly increased sales of our industrial systems, and increased sales of ink and other consumables due to our growing installed base. Comparisons of our year-over-year total quarterly revenues are more meaningful than comparisons of our sequential results due to seasonality in sales of our solutions. Our fourth quarter has historically been our strongest quarter for sales due to increased sales of ink and other consumables to our customers in response to increased demand from consumers around the holiday season. As a result, the first quarter is generally our weakest quarter due to lower sales of ink and other consumables. While we believe that these seasonal trends have affected and will continue to affect our quarterly results, our growth has largely mitigated seasonal trends to date. We do not know whether our business will become more seasonal in the future. Historical patterns in our business may therefore not be a reliable indicator of our future sales activity or performance.</w:t>
      </w:r>
    </w:p>
    <w:p>
      <w:pPr>
        <w:spacing w:after="0" w:line="169"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i w:val="1"/>
          <w:iCs w:val="1"/>
          <w:color w:val="auto"/>
        </w:rPr>
        <w:t>Quarterly Gross Profit and Margin Trends</w:t>
      </w:r>
      <w:r>
        <w:rPr>
          <w:rFonts w:ascii="Arial" w:cs="Arial" w:eastAsia="Arial" w:hAnsi="Arial"/>
          <w:sz w:val="17"/>
          <w:szCs w:val="17"/>
          <w:color w:val="auto"/>
        </w:rPr>
        <w:t>. Our quarterly gross profit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Our quarterly gross margin has fluctuated over the periods presented due to lower sales of higher margin ink and other consumables in the first quarter. In addition, in the first quarter of 2014, gross profit was also impacted by pricing strategies implemented during 2013 to increase sales of entry level systems.</w:t>
      </w:r>
    </w:p>
    <w:p>
      <w:pPr>
        <w:spacing w:after="0" w:line="171"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i w:val="1"/>
          <w:iCs w:val="1"/>
          <w:color w:val="auto"/>
        </w:rPr>
        <w:t xml:space="preserve">Quarterly Operating Expense Trends. </w:t>
      </w:r>
      <w:r>
        <w:rPr>
          <w:rFonts w:ascii="Arial" w:cs="Arial" w:eastAsia="Arial" w:hAnsi="Arial"/>
          <w:sz w:val="17"/>
          <w:szCs w:val="17"/>
          <w:color w:val="auto"/>
        </w:rPr>
        <w:t>Our quarterly operating expenses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primarily due to the addition of personnel in connection with the expansion of our business. Research and development expenses generally increased sequentially over the periods as we increased our headcount to support continued investment in our future solutions, increased expenditures relating to beta sites and increased overhead allocations. Sales and marketing expenses increased significantly over the periods as we incurred costs associated with commission expenses to sales people, personnel costs associated with increases in headcount and an increase in overhead allocations. In addition, sales and marketing expenses vary from quarter to quarter based on timing of trade shows, which generally occur in the second and fourth quarters. General and administrative expenses increased over the periods primarily due to an increase in personnel costs, legal expenses and professional services fees related to preparing to be a public company.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We had $4.3 million of cash and cash equivalents as of September 30, 2014 and $5.3 million as of December 31, 2013. We fund our operations with cash generated from operating activities. In the past, we have also raised capital through the sale of equity securities to investors in private placements.</w:t>
      </w:r>
    </w:p>
    <w:p>
      <w:pPr>
        <w:spacing w:after="0" w:line="181"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Our cash requirements have principally been for working capital and, to a lesser extent, capital expenditures. Our working capital requirements reflect the growth in our business and its seasonality. Historically, we have funded our working capital (primarily inventory) and capital expenditures from cash flows provided by our operating activities, investments in our equity securities and cash and cash equivalents on hand. Our capital expenditures relate primarily to our manufacturing facility for the production and bottling of our ink and other consumables in Kiryat Gat, Israel, as well as investment in our research and development labs in Rosh Ha’ayin, Israel. In addition to investments in those facilities, our capital investments have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sectPr>
      </w:pPr>
    </w:p>
    <w:bookmarkStart w:id="47" w:name="page48"/>
    <w:bookmarkEnd w:id="47"/>
    <w:p>
      <w:pPr>
        <w:jc w:val="both"/>
        <w:ind w:left="120" w:right="119"/>
        <w:spacing w:after="0" w:line="277" w:lineRule="auto"/>
        <w:rPr>
          <w:sz w:val="20"/>
          <w:szCs w:val="20"/>
          <w:color w:val="auto"/>
        </w:rPr>
      </w:pPr>
      <w:r>
        <w:rPr>
          <w:rFonts w:ascii="Arial" w:cs="Arial" w:eastAsia="Arial" w:hAnsi="Arial"/>
          <w:sz w:val="18"/>
          <w:szCs w:val="18"/>
          <w:color w:val="auto"/>
        </w:rPr>
        <w:t>included improvements and expansion of our distribution and corporate facilities to support our growth and investment and improvements in our information technology.</w:t>
      </w:r>
    </w:p>
    <w:p>
      <w:pPr>
        <w:spacing w:after="0" w:line="170"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The most significant element of our working capital requirements is for inventory. We fund the procurement of the components of our systems that are assembled by our third-party manufacturers. Due to the growth in our business, our inventory strategy has included increasing inventory levels to meet anticipated customer demand for our solutions. This includes maintaining an inventory of systems and inks and other consumables at levels that we expect to sell during the successive months. We are in the process of implementing changes to our inventory and manufacturing practices in order to better control our components inventory. Based on these initiatives, we expect inventory to continue to increase in the short term, but at a lower rate than the rate of revenue growth.</w:t>
      </w:r>
    </w:p>
    <w:p>
      <w:pPr>
        <w:spacing w:after="0" w:line="191"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As of December 31, 2014, we had two lines of credit with Israeli banks in a total amount of up to $3.0 million, all of which were undrawn. These lines of credit are unsecured and availability is based on our maintenance of a 30% ratio of total shareholders’ equity to total assets and, for one line of credit, our maintenance of a minimum of $1.0 million cash and cash equivalents at the end of each fiscal quarter. Interest rates across our credit lines varied from 2.2% to 5.3% as of December 31, 2014. Each line of credit prohibits us and our subsidiaries from encumbering our assets and we would be required to obtain the consent of the bank, or repay any amounts borrowed, in the event that we undergo a change of control. Specifically, we would be in default under one of our lines of credit if our controlling shareholder, Fortissimo Capital, ceases to control us. However, because the agreement provides an exception for changes of control that occur as a result of a listing on a stock exchange, such as the NASDAQ we do not expect to be in default under this line of credit for this reason following the closing of this offering. Any borrowings under our second line of credit would become repayable if Fortissimo Capital ceases to hold 25.0% of our issued and outstanding shares or the right to appoint a director. We do not anticipate either of these events to occur immediately following the closing of this offering, although they may occur in the future.</w:t>
      </w:r>
    </w:p>
    <w:p>
      <w:pPr>
        <w:spacing w:after="0" w:line="215"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Based on our current business plans, we believe that our cash flows from operating activities, our existing cash resources and the net proceeds to us from this offering will be sufficient to fund our projected cash requirements for at least the next 12 months without drawing on our lines of credit. Our future capital requirements will depend on many factors, including our rate of revenue growth, the expansion of our sales and marketing activities and expansion into new geographic locations, the timing and extent of spending to support product development efforts, the timing of introductions of new solutions and the continuing market acceptance of our solutions as well as other business development efforts.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3"/>
              </w:rPr>
              <w:t>Year Ended 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September 30,</w:t>
            </w: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gridSpan w:val="5"/>
          </w:tcPr>
          <w:p>
            <w:pPr>
              <w:jc w:val="right"/>
              <w:ind w:right="694"/>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cash provided by (used in) operating activities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2,719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5"/>
              </w:rPr>
              <w:t>Net cash provided by (used in) investing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(3,121)</w:t>
            </w: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(1,654)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Nine Months Ended September 30, 2014</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operating activities in the nine months ended September 30, 2014 was $1.7 million.</w:t>
      </w:r>
    </w:p>
    <w:p>
      <w:pPr>
        <w:spacing w:after="0" w:line="252"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Our inventory balance on September 30, 2014 was $13.7 million, representing a $1.7 million increase in inventory compared to December 31, 2013, due to continued implementation of our strategy to grow inventory to support increased sales of parts and systems in finished goods and raw materials and spare parts. In particular, during the nine months ended September 30, 2014, we accumulated inventory of our ink and other consumables outside of Israel and continued to increase our inventory of parts and finished assemblies of our systems to facilitate the flexibility to meet short lead time demands from our customers.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jc w:val="both"/>
        <w:ind w:left="120" w:right="119" w:firstLine="216"/>
        <w:spacing w:after="0" w:line="255" w:lineRule="auto"/>
        <w:rPr>
          <w:sz w:val="20"/>
          <w:szCs w:val="20"/>
          <w:color w:val="auto"/>
        </w:rPr>
      </w:pPr>
      <w:r>
        <w:rPr>
          <w:rFonts w:ascii="Arial" w:cs="Arial" w:eastAsia="Arial" w:hAnsi="Arial"/>
          <w:sz w:val="18"/>
          <w:szCs w:val="18"/>
          <w:color w:val="auto"/>
        </w:rPr>
        <w:t>Trade payables decreased by $2.0 million from December 31, 2013 to September 30, 2014, primarily due to the mix of products sold in 2014, which led to a shift of production to a third-party manufacturer with shorter payment terms as well as obtaining components from suppliers with shorter payment terms. During the same period, we experienced an increase of $1.4 million in trade receivables despite the growth in our business. Our days sales’ outstanding, or DSO, for the nine months ended September 30, 2014 was 40 compared to 36 for the nine months ended September 30, 2013. Our relatively low DSO was primarily attributable to the payment terms that apply to our customers for systems, as a large portion of our cash</w:t>
      </w:r>
    </w:p>
    <w:p>
      <w:pPr>
        <w:spacing w:after="0" w:line="203" w:lineRule="exact"/>
        <w:rPr>
          <w:sz w:val="20"/>
          <w:szCs w:val="20"/>
          <w:color w:val="auto"/>
        </w:rPr>
      </w:pPr>
    </w:p>
    <w:p>
      <w:pPr>
        <w:jc w:val="both"/>
        <w:ind w:left="120" w:right="119"/>
        <w:spacing w:after="0" w:line="302" w:lineRule="auto"/>
        <w:rPr>
          <w:sz w:val="20"/>
          <w:szCs w:val="20"/>
          <w:color w:val="auto"/>
        </w:rPr>
      </w:pPr>
      <w:r>
        <w:rPr>
          <w:rFonts w:ascii="Arial" w:cs="Arial" w:eastAsia="Arial" w:hAnsi="Arial"/>
          <w:sz w:val="16"/>
          <w:szCs w:val="16"/>
          <w:color w:val="auto"/>
        </w:rPr>
        <w:t>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the nine months ended September 30, 2014 reflected the increased activity in the third quarter of that year compared to with the previous year.</w:t>
      </w:r>
    </w:p>
    <w:p>
      <w:pPr>
        <w:spacing w:after="0" w:line="181"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Our operating cash flows to fund the above activities were driven by our net income of $1.8 million (adjusted upward to reflect $1.5 million of non-cash expenses) as well as a $0.4 million increase in deferred revenues. The increase in our deferred revenues in the nine months ended September 30, 2014 compared to the nine months ended September 30, 2013 primarily reflected strong product orders during the fourth quarter of 2013 resulting in a significant increase in the number of orders shipped in 2013 for which we received payment in 2014.</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Year ended December 31,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operating activities during 2013 was $2.7 million.</w:t>
      </w:r>
    </w:p>
    <w:p>
      <w:pPr>
        <w:spacing w:after="0" w:line="225"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Our inventory balance on December 31, 2013 was $12 million, representing a $3.3 million increase in inventory compared to December 31, 2012, due to continued implementation of our strategy to grow inventory to support increased sales of parts and systems. In particular, during 2013, we accumulated inventory of our ink and other consumables outside of Israel and increased our inventory of parts and assembled systems to facilitate the flexibility to meet short lead time demands from our customers.</w:t>
      </w:r>
    </w:p>
    <w:p>
      <w:pPr>
        <w:spacing w:after="0" w:line="188" w:lineRule="exact"/>
        <w:rPr>
          <w:sz w:val="20"/>
          <w:szCs w:val="20"/>
          <w:color w:val="auto"/>
        </w:rPr>
      </w:pPr>
    </w:p>
    <w:p>
      <w:pPr>
        <w:jc w:val="both"/>
        <w:ind w:left="120" w:right="119" w:firstLine="216"/>
        <w:spacing w:after="0" w:line="289" w:lineRule="auto"/>
        <w:rPr>
          <w:sz w:val="20"/>
          <w:szCs w:val="20"/>
          <w:color w:val="auto"/>
        </w:rPr>
      </w:pPr>
      <w:r>
        <w:rPr>
          <w:rFonts w:ascii="Arial" w:cs="Arial" w:eastAsia="Arial" w:hAnsi="Arial"/>
          <w:sz w:val="16"/>
          <w:szCs w:val="16"/>
          <w:color w:val="auto"/>
        </w:rPr>
        <w:t>Primarily as a result of the increase in inventory, trade payables increased by $2.8 million from December 31, 2012 to December 31, 2013 due to the timing of purchases for such inventory. During the same period, we experienced an increase of only $1.3 million in trade receivables despite the growth in our business. Our DSO for the year ended December 31, 2013 was 42 compared to 41 for the year ended December 31, 2012. As indicated above,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2013 reflected the increased activity in the fourth quarter of that year compared to with the previous year.</w:t>
      </w:r>
    </w:p>
    <w:p>
      <w:pPr>
        <w:spacing w:after="0" w:line="167" w:lineRule="exact"/>
        <w:rPr>
          <w:sz w:val="20"/>
          <w:szCs w:val="20"/>
          <w:color w:val="auto"/>
        </w:rPr>
      </w:pPr>
    </w:p>
    <w:p>
      <w:pPr>
        <w:jc w:val="both"/>
        <w:ind w:left="120" w:right="119" w:firstLine="216"/>
        <w:spacing w:after="0" w:line="302" w:lineRule="auto"/>
        <w:rPr>
          <w:sz w:val="20"/>
          <w:szCs w:val="20"/>
          <w:color w:val="auto"/>
        </w:rPr>
      </w:pPr>
      <w:r>
        <w:rPr>
          <w:rFonts w:ascii="Arial" w:cs="Arial" w:eastAsia="Arial" w:hAnsi="Arial"/>
          <w:sz w:val="16"/>
          <w:szCs w:val="16"/>
          <w:color w:val="auto"/>
        </w:rPr>
        <w:t>Our operating cash flows to fund the above activities were driven by our net income of $1.1 million (adjusted upward to reflect $1.3 million of non-cash expenses) as well as a $1.2 million increase in deferred revenues. The increase in our deferred revenues in 2013 compared to 2012 primarily reflected strong product orders during the fourth quarter of 2013 resulting in a significant increase in the number of orders shipped in 2013 for which we received payment in 2014.</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Net cash provided by investing activities was $0.7 million for the nine months ended September 30, 2014, which was primarily attributable to our shifting of long term deposits to short term, offset by the purchase of property. Net cash used in investing activities was $2.1 million in 2013, the majority of which consisted of purchase of property and equipment, and investments in short-term deposits as well as the purchase of a license to a digital R2R printer and all related technology, software and other intellectual property related to the printer from a third party.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contractual obligations as of December 31, 2013 are summarized in the following table:</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6"/>
                <w:szCs w:val="16"/>
                <w:b w:val="1"/>
                <w:bCs w:val="1"/>
                <w:color w:val="auto"/>
                <w:w w:val="91"/>
              </w:rPr>
              <w:t>Payments Due by Period</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2018 and</w:t>
            </w:r>
          </w:p>
        </w:tc>
        <w:tc>
          <w:tcPr>
            <w:tcW w:w="1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After</w:t>
            </w:r>
          </w:p>
        </w:tc>
      </w:tr>
      <w:tr>
        <w:trPr>
          <w:trHeight w:val="183"/>
        </w:trPr>
        <w:tc>
          <w:tcPr>
            <w:tcW w:w="20" w:type="dxa"/>
            <w:vAlign w:val="bottom"/>
          </w:tcPr>
          <w:p>
            <w:pPr>
              <w:spacing w:after="0"/>
              <w:rPr>
                <w:sz w:val="15"/>
                <w:szCs w:val="15"/>
                <w:color w:val="auto"/>
              </w:rPr>
            </w:pPr>
          </w:p>
        </w:tc>
        <w:tc>
          <w:tcPr>
            <w:tcW w:w="1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Operating lease</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62"/>
        </w:trPr>
        <w:tc>
          <w:tcPr>
            <w:tcW w:w="20" w:type="dxa"/>
            <w:vAlign w:val="bottom"/>
          </w:tcPr>
          <w:p>
            <w:pPr>
              <w:spacing w:after="0"/>
              <w:rPr>
                <w:sz w:val="22"/>
                <w:szCs w:val="22"/>
                <w:color w:val="auto"/>
              </w:rPr>
            </w:pPr>
          </w:p>
        </w:tc>
        <w:tc>
          <w:tcPr>
            <w:tcW w:w="172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obligations</w:t>
            </w:r>
            <w:r>
              <w:rPr>
                <w:rFonts w:ascii="Arial" w:cs="Arial" w:eastAsia="Arial" w:hAnsi="Arial"/>
                <w:sz w:val="28"/>
                <w:szCs w:val="28"/>
                <w:color w:val="auto"/>
                <w:vertAlign w:val="superscript"/>
              </w:rPr>
              <w:t>(1)</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1720" w:type="dxa"/>
            <w:vAlign w:val="bottom"/>
          </w:tcPr>
          <w:p>
            <w:pPr>
              <w:spacing w:after="0" w:line="197" w:lineRule="exact"/>
              <w:rPr>
                <w:sz w:val="20"/>
                <w:szCs w:val="20"/>
                <w:color w:val="auto"/>
              </w:rPr>
            </w:pPr>
            <w:r>
              <w:rPr>
                <w:rFonts w:ascii="Arial" w:cs="Arial" w:eastAsia="Arial" w:hAnsi="Arial"/>
                <w:sz w:val="18"/>
                <w:szCs w:val="18"/>
                <w:color w:val="auto"/>
              </w:rPr>
              <w:t>Uncertain tax</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2"/>
        </w:trPr>
        <w:tc>
          <w:tcPr>
            <w:tcW w:w="1740" w:type="dxa"/>
            <w:vAlign w:val="bottom"/>
            <w:gridSpan w:val="2"/>
          </w:tcPr>
          <w:p>
            <w:pPr>
              <w:spacing w:after="0" w:line="262" w:lineRule="exact"/>
              <w:rPr>
                <w:sz w:val="20"/>
                <w:szCs w:val="20"/>
                <w:color w:val="auto"/>
              </w:rPr>
            </w:pPr>
            <w:r>
              <w:rPr>
                <w:rFonts w:ascii="Arial" w:cs="Arial" w:eastAsia="Arial" w:hAnsi="Arial"/>
                <w:sz w:val="18"/>
                <w:szCs w:val="18"/>
                <w:color w:val="auto"/>
              </w:rPr>
              <w:t>positions</w:t>
            </w:r>
            <w:r>
              <w:rPr>
                <w:rFonts w:ascii="Arial" w:cs="Arial" w:eastAsia="Arial" w:hAnsi="Arial"/>
                <w:sz w:val="28"/>
                <w:szCs w:val="28"/>
                <w:color w:val="auto"/>
                <w:vertAlign w:val="superscript"/>
              </w:rPr>
              <w:t>(2)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1,075</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17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Purchase</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2"/>
        </w:trPr>
        <w:tc>
          <w:tcPr>
            <w:tcW w:w="20" w:type="dxa"/>
            <w:vAlign w:val="bottom"/>
          </w:tcPr>
          <w:p>
            <w:pPr>
              <w:spacing w:after="0"/>
              <w:rPr>
                <w:sz w:val="22"/>
                <w:szCs w:val="22"/>
                <w:color w:val="auto"/>
              </w:rPr>
            </w:pPr>
          </w:p>
        </w:tc>
        <w:tc>
          <w:tcPr>
            <w:tcW w:w="172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commitments</w:t>
            </w:r>
            <w:r>
              <w:rPr>
                <w:rFonts w:ascii="Arial" w:cs="Arial" w:eastAsia="Arial" w:hAnsi="Arial"/>
                <w:sz w:val="28"/>
                <w:szCs w:val="28"/>
                <w:color w:val="auto"/>
                <w:vertAlign w:val="superscript"/>
              </w:rPr>
              <w:t>(3)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1720" w:type="dxa"/>
            <w:vAlign w:val="bottom"/>
          </w:tcPr>
          <w:p>
            <w:pPr>
              <w:spacing w:after="0" w:line="243" w:lineRule="exact"/>
              <w:rPr>
                <w:sz w:val="20"/>
                <w:szCs w:val="20"/>
                <w:color w:val="auto"/>
              </w:rPr>
            </w:pPr>
            <w:r>
              <w:rPr>
                <w:rFonts w:ascii="Arial" w:cs="Arial" w:eastAsia="Arial" w:hAnsi="Arial"/>
                <w:sz w:val="18"/>
                <w:szCs w:val="18"/>
                <w:color w:val="auto"/>
                <w:w w:val="92"/>
              </w:rPr>
              <w:t>Severance payment</w:t>
            </w:r>
            <w:r>
              <w:rPr>
                <w:rFonts w:ascii="Arial" w:cs="Arial" w:eastAsia="Arial" w:hAnsi="Arial"/>
                <w:sz w:val="28"/>
                <w:szCs w:val="28"/>
                <w:color w:val="auto"/>
                <w:w w:val="92"/>
                <w:vertAlign w:val="superscript"/>
              </w:rPr>
              <w:t>(4)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17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w w:val="96"/>
              </w:rPr>
              <w:t>Management services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2"/>
        </w:trPr>
        <w:tc>
          <w:tcPr>
            <w:tcW w:w="20" w:type="dxa"/>
            <w:vAlign w:val="bottom"/>
          </w:tcPr>
          <w:p>
            <w:pPr>
              <w:spacing w:after="0"/>
              <w:rPr>
                <w:sz w:val="22"/>
                <w:szCs w:val="22"/>
                <w:color w:val="auto"/>
              </w:rPr>
            </w:pPr>
          </w:p>
        </w:tc>
        <w:tc>
          <w:tcPr>
            <w:tcW w:w="172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fees</w:t>
            </w:r>
            <w:r>
              <w:rPr>
                <w:rFonts w:ascii="Arial" w:cs="Arial" w:eastAsia="Arial" w:hAnsi="Arial"/>
                <w:sz w:val="28"/>
                <w:szCs w:val="28"/>
                <w:color w:val="auto"/>
                <w:vertAlign w:val="superscript"/>
              </w:rPr>
              <w:t>(5)</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9,367</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4,249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1,173</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834</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w:t>
      </w:r>
    </w:p>
    <w:p>
      <w:pPr>
        <w:spacing w:after="0" w:line="90" w:lineRule="exact"/>
        <w:rPr>
          <w:sz w:val="20"/>
          <w:szCs w:val="20"/>
          <w:color w:val="auto"/>
        </w:rPr>
      </w:pPr>
    </w:p>
    <w:p>
      <w:pPr>
        <w:ind w:left="440" w:right="119" w:hanging="315"/>
        <w:spacing w:after="0" w:line="182" w:lineRule="auto"/>
        <w:tabs>
          <w:tab w:leader="none" w:pos="498" w:val="left"/>
        </w:tabs>
        <w:numPr>
          <w:ilvl w:val="0"/>
          <w:numId w:val="26"/>
        </w:numPr>
        <w:rPr>
          <w:rFonts w:ascii="Arial" w:cs="Arial" w:eastAsia="Arial" w:hAnsi="Arial"/>
          <w:sz w:val="34"/>
          <w:szCs w:val="34"/>
          <w:color w:val="auto"/>
          <w:vertAlign w:val="superscript"/>
        </w:rPr>
      </w:pPr>
      <w:r>
        <w:rPr>
          <w:rFonts w:ascii="Arial" w:cs="Arial" w:eastAsia="Arial" w:hAnsi="Arial"/>
          <w:sz w:val="17"/>
          <w:szCs w:val="17"/>
          <w:color w:val="auto"/>
        </w:rPr>
        <w:t>Operating lease obligations consist of our contractual rental expenses under operating leases of facilities and vehicles.</w:t>
      </w:r>
    </w:p>
    <w:p>
      <w:pPr>
        <w:spacing w:after="0" w:line="54" w:lineRule="exact"/>
        <w:rPr>
          <w:rFonts w:ascii="Arial" w:cs="Arial" w:eastAsia="Arial" w:hAnsi="Arial"/>
          <w:sz w:val="34"/>
          <w:szCs w:val="34"/>
          <w:color w:val="auto"/>
          <w:vertAlign w:val="superscript"/>
        </w:rPr>
      </w:pPr>
    </w:p>
    <w:p>
      <w:pPr>
        <w:jc w:val="both"/>
        <w:ind w:left="440" w:right="119" w:hanging="315"/>
        <w:spacing w:after="0"/>
        <w:tabs>
          <w:tab w:leader="none" w:pos="422" w:val="left"/>
        </w:tabs>
        <w:numPr>
          <w:ilvl w:val="0"/>
          <w:numId w:val="26"/>
        </w:numPr>
        <w:rPr>
          <w:rFonts w:ascii="Arial" w:cs="Arial" w:eastAsia="Arial" w:hAnsi="Arial"/>
          <w:sz w:val="31"/>
          <w:szCs w:val="31"/>
          <w:color w:val="auto"/>
          <w:vertAlign w:val="superscript"/>
        </w:rPr>
      </w:pPr>
      <w:r>
        <w:rPr>
          <w:rFonts w:ascii="Arial" w:cs="Arial" w:eastAsia="Arial" w:hAnsi="Arial"/>
          <w:sz w:val="16"/>
          <w:szCs w:val="16"/>
          <w:color w:val="auto"/>
        </w:rPr>
        <w:t>Consists of accruals for certain income tax positions under ASC 740 that are paid upon settlement, and for which we are unable to reasonably estimate the ultimate amount and timing of settlement. See Note 10(g) to our consolidated financial statements included elsewhere in this prospectus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spacing w:after="0" w:line="2" w:lineRule="exact"/>
        <w:rPr>
          <w:rFonts w:ascii="Arial" w:cs="Arial" w:eastAsia="Arial" w:hAnsi="Arial"/>
          <w:sz w:val="31"/>
          <w:szCs w:val="31"/>
          <w:color w:val="auto"/>
          <w:vertAlign w:val="superscript"/>
        </w:rPr>
      </w:pPr>
    </w:p>
    <w:p>
      <w:pPr>
        <w:ind w:left="420" w:hanging="295"/>
        <w:spacing w:after="0" w:line="184" w:lineRule="auto"/>
        <w:tabs>
          <w:tab w:leader="none" w:pos="420" w:val="left"/>
        </w:tabs>
        <w:numPr>
          <w:ilvl w:val="0"/>
          <w:numId w:val="26"/>
        </w:numPr>
        <w:rPr>
          <w:rFonts w:ascii="Arial" w:cs="Arial" w:eastAsia="Arial" w:hAnsi="Arial"/>
          <w:sz w:val="32"/>
          <w:szCs w:val="32"/>
          <w:color w:val="auto"/>
          <w:vertAlign w:val="superscript"/>
        </w:rPr>
      </w:pPr>
      <w:r>
        <w:rPr>
          <w:rFonts w:ascii="Arial" w:cs="Arial" w:eastAsia="Arial" w:hAnsi="Arial"/>
          <w:sz w:val="17"/>
          <w:szCs w:val="17"/>
          <w:color w:val="auto"/>
        </w:rPr>
        <w:t>Consists of commitments to purchase inventory.</w:t>
      </w:r>
    </w:p>
    <w:p>
      <w:pPr>
        <w:spacing w:after="0" w:line="70" w:lineRule="exact"/>
        <w:rPr>
          <w:rFonts w:ascii="Arial" w:cs="Arial" w:eastAsia="Arial" w:hAnsi="Arial"/>
          <w:sz w:val="32"/>
          <w:szCs w:val="32"/>
          <w:color w:val="auto"/>
          <w:vertAlign w:val="superscript"/>
        </w:rPr>
      </w:pPr>
    </w:p>
    <w:p>
      <w:pPr>
        <w:jc w:val="both"/>
        <w:ind w:left="440" w:right="119" w:hanging="315"/>
        <w:spacing w:after="0" w:line="200" w:lineRule="auto"/>
        <w:tabs>
          <w:tab w:leader="none" w:pos="418" w:val="left"/>
        </w:tabs>
        <w:numPr>
          <w:ilvl w:val="0"/>
          <w:numId w:val="26"/>
        </w:numPr>
        <w:rPr>
          <w:rFonts w:ascii="Arial" w:cs="Arial" w:eastAsia="Arial" w:hAnsi="Arial"/>
          <w:sz w:val="36"/>
          <w:szCs w:val="36"/>
          <w:color w:val="auto"/>
          <w:vertAlign w:val="superscript"/>
        </w:rPr>
      </w:pPr>
      <w:r>
        <w:rPr>
          <w:rFonts w:ascii="Arial" w:cs="Arial" w:eastAsia="Arial" w:hAnsi="Arial"/>
          <w:sz w:val="18"/>
          <w:szCs w:val="18"/>
          <w:color w:val="auto"/>
        </w:rPr>
        <w:t>Severance payments of $1.6 million are payable only upon termination, retirement or death of our employees. Of this amount, $0.4 million is unfunded. Since we are unable to reasonably estimate the timing of settlement, the timing of such payments is not specified in the table. See also Note 2(t) to our consolidated financial statements appearing elsewhere in this prospectus.</w:t>
      </w:r>
    </w:p>
    <w:p>
      <w:pPr>
        <w:jc w:val="both"/>
        <w:ind w:left="440" w:right="119" w:hanging="315"/>
        <w:spacing w:after="0" w:line="252" w:lineRule="auto"/>
        <w:tabs>
          <w:tab w:leader="none" w:pos="4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management services fees payable to Fortissimo Capital pursuant to a management services agreement. The amount payable annually is $120,000 plus the amount by which 5% of our net income, as defined in the management services agreement, exceeds this management fee, up to a maximum of $250,000 per year in the aggregate. Since we cannot know the amount that would be payable in the future, we have assumed the minimum amount is payable through 2018. We and Fortissimo Capital have agreed to terminate the management services agreement upon the consummation of this offering.</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prospectus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120" w:right="119" w:firstLine="216"/>
        <w:spacing w:after="0" w:line="308" w:lineRule="auto"/>
        <w:rPr>
          <w:sz w:val="20"/>
          <w:szCs w:val="20"/>
          <w:color w:val="auto"/>
        </w:rPr>
      </w:pPr>
      <w:r>
        <w:rPr>
          <w:rFonts w:ascii="Arial" w:cs="Arial" w:eastAsia="Arial" w:hAnsi="Arial"/>
          <w:sz w:val="17"/>
          <w:szCs w:val="17"/>
          <w:color w:val="auto"/>
        </w:rPr>
        <w:t>We generate revenues from the sale of our systems, ink and other consumables and value added services. We generate revenues from sale of our solutions directly to customers and indirectly through independent distributors.</w:t>
      </w:r>
    </w:p>
    <w:p>
      <w:pPr>
        <w:sectPr>
          <w:pgSz w:w="11900" w:h="16838" w:orient="portrait"/>
          <w:cols w:equalWidth="0" w:num="1">
            <w:col w:w="9019"/>
          </w:cols>
          <w:pgMar w:left="1440" w:top="297"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50" w:name="page51"/>
    <w:bookmarkEnd w:id="50"/>
    <w:p>
      <w:pPr>
        <w:jc w:val="both"/>
        <w:ind w:left="120" w:right="119" w:firstLine="216"/>
        <w:spacing w:after="0" w:line="297" w:lineRule="auto"/>
        <w:rPr>
          <w:sz w:val="20"/>
          <w:szCs w:val="20"/>
          <w:color w:val="auto"/>
        </w:rPr>
      </w:pPr>
      <w:r>
        <w:rPr>
          <w:rFonts w:ascii="Arial" w:cs="Arial" w:eastAsia="Arial" w:hAnsi="Arial"/>
          <w:sz w:val="16"/>
          <w:szCs w:val="16"/>
          <w:color w:val="auto"/>
        </w:rPr>
        <w:t>We recognize revenue when (1) persuasive evidence of a final agreement exists, (2) delivery has occurred or services have been rendered, (3) the selling price is fixed or determinable, and (4) collectability is reasonably assured. In respect of sale of products, installation of our systems and training, we consider the element in the arrangement to be a single unit of accounting. In accordance with ASC 605, we have concluded that our arrangements are generally consistent with the indicators suggesting that installation and training are essential to the functionality of our systems.</w:t>
      </w:r>
    </w:p>
    <w:p>
      <w:pPr>
        <w:spacing w:after="0" w:line="158"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When an independent distributor is responsible for installation of our systems at customer sites, revenues from sales to the independent distributor are generally recognized upon shipment and when title and risk of loss have been transferred to the independent distributor. We account for such sales on a net basis since we are not the primary obligor in the arrangement. Products and services sold directly by us to customers are recognized based on the gross amount as we are the primary obligor in the arrangement, retain inventory risk for physical products, establish the price for our products, and assume the credit risk for amounts billed to its customers.</w:t>
      </w:r>
    </w:p>
    <w:p>
      <w:pPr>
        <w:spacing w:after="0" w:line="165"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Revenues from ink and other consumable products are generally recognized upon shipment assuming all other revenue recognition criteria have been met.</w:t>
      </w:r>
    </w:p>
    <w:p>
      <w:pPr>
        <w:spacing w:after="0" w:line="143"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157"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Our systems include a one-year warranty. After the initial warranty period, we offer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175"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212"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Inventories are measured at the lower of cost or market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market value based on assumptions about future demand and historical sales patterns.</w:t>
      </w:r>
    </w:p>
    <w:p>
      <w:pPr>
        <w:spacing w:after="0" w:line="158"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As of September 30, 2014, we had $13.7 million of inventory of which $6.3 million consisted of raw materials and components and $7.4 million consisted of completed systems, ink and other consumables. We recorded inventory write-offs in a total amount of $94,000 and $0.4 million for the years ended December 31, 2012 and 2013, respectively, and $53,000 for the nine months ended September 30, 2014.</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 Valuations</w:t>
      </w:r>
    </w:p>
    <w:p>
      <w:pPr>
        <w:spacing w:after="0" w:line="212"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“Compensation—Stock Based Compensation,” or ASC 718, which requires us to measure the cost of options based on the fair value of the award on the grant date.</w:t>
      </w:r>
    </w:p>
    <w:p>
      <w:pPr>
        <w:spacing w:after="0" w:line="154"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175"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determination of the grant date fair value of options using the binomial option pricing model is affected by estimates and assumptions regarding a number of complex and subjective variables. These variables are estimated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560" w:right="119" w:hanging="219"/>
        <w:spacing w:after="0" w:line="232" w:lineRule="auto"/>
        <w:tabs>
          <w:tab w:leader="none" w:pos="572"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Fair Value of our Ordinary Shares</w:t>
      </w:r>
      <w:r>
        <w:rPr>
          <w:rFonts w:ascii="Arial" w:cs="Arial" w:eastAsia="Arial" w:hAnsi="Arial"/>
          <w:sz w:val="18"/>
          <w:szCs w:val="18"/>
          <w:color w:val="auto"/>
        </w:rPr>
        <w:t>. Because our shares are not publicly traded, we must estimate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as discussed in “—Ordinary Share Valuations” below.</w:t>
      </w:r>
    </w:p>
    <w:p>
      <w:pPr>
        <w:spacing w:after="0" w:line="217" w:lineRule="exact"/>
        <w:rPr>
          <w:rFonts w:ascii="Arial" w:cs="Arial" w:eastAsia="Arial" w:hAnsi="Arial"/>
          <w:sz w:val="22"/>
          <w:szCs w:val="22"/>
          <w:i w:val="1"/>
          <w:iCs w:val="1"/>
          <w:color w:val="auto"/>
        </w:rPr>
      </w:pPr>
    </w:p>
    <w:p>
      <w:pPr>
        <w:jc w:val="both"/>
        <w:ind w:left="560" w:right="119" w:hanging="219"/>
        <w:spacing w:after="0" w:line="241" w:lineRule="auto"/>
        <w:tabs>
          <w:tab w:leader="none" w:pos="613"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Sub-Optimal Exercise Multiple</w:t>
      </w:r>
      <w:r>
        <w:rPr>
          <w:rFonts w:ascii="Arial" w:cs="Arial" w:eastAsia="Arial" w:hAnsi="Arial"/>
          <w:sz w:val="18"/>
          <w:szCs w:val="18"/>
          <w:color w:val="auto"/>
        </w:rPr>
        <w:t>. The sub-optimal exercise multiple represents an estimate of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fair value of our shares over the exercise price of the options at the date of expected exercise. We base this estimate on empirical studies of comparable third parties due to the lack of relevant exercise history for our company.</w:t>
      </w:r>
    </w:p>
    <w:p>
      <w:pPr>
        <w:spacing w:after="0" w:line="216" w:lineRule="exact"/>
        <w:rPr>
          <w:rFonts w:ascii="Arial" w:cs="Arial" w:eastAsia="Arial" w:hAnsi="Arial"/>
          <w:sz w:val="22"/>
          <w:szCs w:val="22"/>
          <w:i w:val="1"/>
          <w:iCs w:val="1"/>
          <w:color w:val="auto"/>
        </w:rPr>
      </w:pPr>
    </w:p>
    <w:p>
      <w:pPr>
        <w:ind w:left="560" w:right="119" w:hanging="219"/>
        <w:spacing w:after="0" w:line="232" w:lineRule="auto"/>
        <w:tabs>
          <w:tab w:leader="none" w:pos="613"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from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term equivalent to the contractual life of the options.</w:t>
      </w:r>
    </w:p>
    <w:p>
      <w:pPr>
        <w:spacing w:after="0" w:line="217" w:lineRule="exact"/>
        <w:rPr>
          <w:rFonts w:ascii="Arial" w:cs="Arial" w:eastAsia="Arial" w:hAnsi="Arial"/>
          <w:sz w:val="22"/>
          <w:szCs w:val="22"/>
          <w:i w:val="1"/>
          <w:iCs w:val="1"/>
          <w:color w:val="auto"/>
        </w:rPr>
      </w:pPr>
    </w:p>
    <w:p>
      <w:pPr>
        <w:ind w:left="560" w:right="119" w:hanging="219"/>
        <w:spacing w:after="0" w:line="232" w:lineRule="auto"/>
        <w:tabs>
          <w:tab w:leader="none" w:pos="586"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expected share price volatility was based on the historical equity volatility of the ordinary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comparable companies that are publicly traded with adjustments to reflect our capital structure.</w:t>
      </w:r>
    </w:p>
    <w:p>
      <w:pPr>
        <w:spacing w:after="0" w:line="217" w:lineRule="exact"/>
        <w:rPr>
          <w:rFonts w:ascii="Arial" w:cs="Arial" w:eastAsia="Arial" w:hAnsi="Arial"/>
          <w:sz w:val="22"/>
          <w:szCs w:val="22"/>
          <w:i w:val="1"/>
          <w:iCs w:val="1"/>
          <w:color w:val="auto"/>
        </w:rPr>
      </w:pPr>
    </w:p>
    <w:p>
      <w:pPr>
        <w:ind w:left="560" w:right="119" w:hanging="219"/>
        <w:spacing w:after="0" w:line="232" w:lineRule="auto"/>
        <w:tabs>
          <w:tab w:leader="none" w:pos="653"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never declared or paid any cash dividends and do not presently plan to pay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the foreseeable future. Consequently, we used an expected dividend yield of zero.</w:t>
      </w:r>
    </w:p>
    <w:p>
      <w:pPr>
        <w:spacing w:after="0" w:line="217" w:lineRule="exact"/>
        <w:rPr>
          <w:rFonts w:ascii="Arial" w:cs="Arial" w:eastAsia="Arial" w:hAnsi="Arial"/>
          <w:sz w:val="22"/>
          <w:szCs w:val="22"/>
          <w:i w:val="1"/>
          <w:iCs w:val="1"/>
          <w:color w:val="auto"/>
        </w:rPr>
      </w:pPr>
    </w:p>
    <w:p>
      <w:pPr>
        <w:ind w:left="560" w:right="119" w:hanging="219"/>
        <w:spacing w:after="0" w:line="232" w:lineRule="auto"/>
        <w:tabs>
          <w:tab w:leader="none" w:pos="626"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Expected forfeiture rates</w:t>
      </w:r>
      <w:r>
        <w:rPr>
          <w:rFonts w:ascii="Arial" w:cs="Arial" w:eastAsia="Arial" w:hAnsi="Arial"/>
          <w:sz w:val="18"/>
          <w:szCs w:val="18"/>
          <w:color w:val="auto"/>
        </w:rPr>
        <w:t>. The expected forfeiture rates were based on an analysis of our historical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rates.</w:t>
      </w:r>
    </w:p>
    <w:p>
      <w:pPr>
        <w:spacing w:after="0" w:line="177"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If any of the assumptions used in the binomial option pricing model change significantly, share-based compensation for future awards may differ materially compared with the awards granted previously.</w:t>
      </w:r>
    </w:p>
    <w:p>
      <w:pPr>
        <w:spacing w:after="0" w:line="130" w:lineRule="exact"/>
        <w:rPr>
          <w:sz w:val="20"/>
          <w:szCs w:val="20"/>
          <w:color w:val="auto"/>
        </w:rPr>
      </w:pPr>
    </w:p>
    <w:p>
      <w:pPr>
        <w:jc w:val="both"/>
        <w:ind w:left="120" w:right="119" w:firstLine="216"/>
        <w:spacing w:after="0" w:line="308" w:lineRule="auto"/>
        <w:rPr>
          <w:sz w:val="20"/>
          <w:szCs w:val="20"/>
          <w:color w:val="auto"/>
        </w:rPr>
      </w:pPr>
      <w:r>
        <w:rPr>
          <w:rFonts w:ascii="Arial" w:cs="Arial" w:eastAsia="Arial" w:hAnsi="Arial"/>
          <w:sz w:val="17"/>
          <w:szCs w:val="17"/>
          <w:color w:val="auto"/>
        </w:rPr>
        <w:t>The following table presents the weighted-average assumptions used to estimate the fair value of options granted to employees during the periods presented. The number of options granted to non-employees was immaterial.</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2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93"/>
              </w:rPr>
              <w:t>Year Ended</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2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90"/>
              </w:rPr>
              <w:t>December 31,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0.1%-1.8%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0.1%-2.5 %</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Dividend yield</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 Valuations</w:t>
      </w:r>
    </w:p>
    <w:p>
      <w:pPr>
        <w:spacing w:after="0" w:line="198"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 following table presents the share options grants made between January 1, 2014 and the date of this prospectus and the related exercise price and estimated fair value per ordinary share at the grant date: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Estimated Fair</w:t>
            </w: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Shares Subject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 Per</w:t>
            </w: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to Awards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Exercise Price</w:t>
            </w:r>
          </w:p>
        </w:tc>
        <w:tc>
          <w:tcPr>
            <w:tcW w:w="340" w:type="dxa"/>
            <w:vAlign w:val="bottom"/>
          </w:tcPr>
          <w:p>
            <w:pPr>
              <w:spacing w:after="0"/>
              <w:rPr>
                <w:sz w:val="17"/>
                <w:szCs w:val="17"/>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5"/>
              </w:rPr>
              <w:t>Ordinary Share</w:t>
            </w:r>
          </w:p>
        </w:tc>
      </w:tr>
      <w:tr>
        <w:trPr>
          <w:trHeight w:val="210"/>
        </w:trPr>
        <w:tc>
          <w:tcPr>
            <w:tcW w:w="4220" w:type="dxa"/>
            <w:vAlign w:val="bottom"/>
            <w:gridSpan w:val="3"/>
          </w:tcPr>
          <w:p>
            <w:pPr>
              <w:spacing w:after="0"/>
              <w:rPr>
                <w:sz w:val="20"/>
                <w:szCs w:val="20"/>
                <w:color w:val="auto"/>
              </w:rPr>
            </w:pPr>
            <w:r>
              <w:rPr>
                <w:rFonts w:ascii="Arial" w:cs="Arial" w:eastAsia="Arial" w:hAnsi="Arial"/>
                <w:sz w:val="16"/>
                <w:szCs w:val="16"/>
                <w:b w:val="1"/>
                <w:bCs w:val="1"/>
                <w:color w:val="auto"/>
              </w:rPr>
              <w:t>Date of Grant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Granted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at Grant Date</w:t>
            </w: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2014</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1240" w:type="dxa"/>
            <w:vAlign w:val="bottom"/>
          </w:tcPr>
          <w:p>
            <w:pPr>
              <w:jc w:val="right"/>
              <w:spacing w:after="0"/>
              <w:rPr>
                <w:sz w:val="20"/>
                <w:szCs w:val="20"/>
                <w:color w:val="auto"/>
              </w:rPr>
            </w:pPr>
            <w:r>
              <w:rPr>
                <w:rFonts w:ascii="Arial" w:cs="Arial" w:eastAsia="Arial" w:hAnsi="Arial"/>
                <w:sz w:val="18"/>
                <w:szCs w:val="18"/>
                <w:color w:val="auto"/>
              </w:rPr>
              <w:t>99,341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In October 2014, we granted options to purchase 21,657 shares at an exercise price per share of $13.54. In November 2014, we granted options to purchase 37,863 shares with an exercise price per share of $13.54.</w:t>
      </w:r>
    </w:p>
    <w:p>
      <w:pPr>
        <w:spacing w:after="0" w:line="143"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Based on the initial public offering price of $ per share, the intrinsic value of the awards outstanding as of September 30, 2014 was $ , of which $ related to vested options and $ related to unvested options.</w:t>
      </w:r>
    </w:p>
    <w:p>
      <w:pPr>
        <w:spacing w:after="0" w:line="130"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 xml:space="preserve">In the absence of a public trading market for our ordinary shares, with respect to each grant date, we develop an estimate of the fair value of our ordinary shares in order to determine an exercise price for each share-based award. We have determined the fair value of our ordinary shares using methodologies, approaches and assumptions consistent with the </w:t>
      </w:r>
      <w:r>
        <w:rPr>
          <w:rFonts w:ascii="Arial" w:cs="Arial" w:eastAsia="Arial" w:hAnsi="Arial"/>
          <w:sz w:val="18"/>
          <w:szCs w:val="18"/>
          <w:i w:val="1"/>
          <w:iCs w:val="1"/>
          <w:color w:val="auto"/>
        </w:rPr>
        <w:t>American Institute of Certified Public Accountants Practice Aid, 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Issued as Compensation. </w:t>
      </w:r>
      <w:r>
        <w:rPr>
          <w:rFonts w:ascii="Arial" w:cs="Arial" w:eastAsia="Arial" w:hAnsi="Arial"/>
          <w:sz w:val="18"/>
          <w:szCs w:val="18"/>
          <w:color w:val="auto"/>
        </w:rPr>
        <w:t>Our board of directors exercised judgment and considered a number of objective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52" w:name="page53"/>
    <w:bookmarkEnd w:id="52"/>
    <w:p>
      <w:pPr>
        <w:jc w:val="both"/>
        <w:ind w:left="120" w:right="119"/>
        <w:spacing w:after="0" w:line="259" w:lineRule="auto"/>
        <w:rPr>
          <w:sz w:val="20"/>
          <w:szCs w:val="20"/>
          <w:color w:val="auto"/>
        </w:rPr>
      </w:pPr>
      <w:r>
        <w:rPr>
          <w:rFonts w:ascii="Arial" w:cs="Arial" w:eastAsia="Arial" w:hAnsi="Arial"/>
          <w:sz w:val="18"/>
          <w:szCs w:val="18"/>
          <w:color w:val="auto"/>
        </w:rPr>
        <w:t>factors to determine the best estimate of the fair value of our ordinary shares, including contemporaneous and retrospective valuations of our ordinary shares performed by an unrelated valuation specialist, valuations of comparable peer companies, operating and financial performance, the lack of liquidity of our share capital, and general and industry specific economic outlook.</w:t>
      </w:r>
    </w:p>
    <w:p>
      <w:pPr>
        <w:spacing w:after="0" w:line="146" w:lineRule="exact"/>
        <w:rPr>
          <w:sz w:val="20"/>
          <w:szCs w:val="20"/>
          <w:color w:val="auto"/>
        </w:rPr>
      </w:pPr>
    </w:p>
    <w:p>
      <w:pPr>
        <w:jc w:val="both"/>
        <w:ind w:left="120" w:right="119" w:firstLine="216"/>
        <w:spacing w:after="0" w:line="289" w:lineRule="auto"/>
        <w:rPr>
          <w:sz w:val="20"/>
          <w:szCs w:val="20"/>
          <w:color w:val="auto"/>
        </w:rPr>
      </w:pPr>
      <w:r>
        <w:rPr>
          <w:rFonts w:ascii="Arial" w:cs="Arial" w:eastAsia="Arial" w:hAnsi="Arial"/>
          <w:sz w:val="16"/>
          <w:szCs w:val="16"/>
          <w:color w:val="auto"/>
        </w:rPr>
        <w:t>For our valuations performed with respect to grants made after January 1, 2014, the fair value of our ordinary shares was estimated using an income approach. The income approach estimates the aggregate enterprise value of our company based on the present value of future estimated cash flows. Cash flows are estimated for future periods based on projected revenue and costs. These future cash flows are discounted to their present values using an appropriate discount rate. The discounted projected cash flows and a terminal value are summed together to arrive at an indicated aggregate enterprise value under the income approach. In applying the income approach, we derived the discount rate from an analysis of the weighted-average cost of capital of a group of seven comparable public company industry peers as of each valuation date and adjusted it to reflect the risks inherent in our business cash flows. We derived the terminal multiple from an estimate of our normalized cash flow and estimated growth rate after five years.</w:t>
      </w:r>
    </w:p>
    <w:p>
      <w:pPr>
        <w:spacing w:after="0" w:line="167" w:lineRule="exact"/>
        <w:rPr>
          <w:sz w:val="20"/>
          <w:szCs w:val="20"/>
          <w:color w:val="auto"/>
        </w:rPr>
      </w:pPr>
    </w:p>
    <w:p>
      <w:pPr>
        <w:jc w:val="both"/>
        <w:ind w:left="120" w:right="119" w:firstLine="216"/>
        <w:spacing w:after="0" w:line="289" w:lineRule="auto"/>
        <w:rPr>
          <w:sz w:val="20"/>
          <w:szCs w:val="20"/>
          <w:color w:val="auto"/>
        </w:rPr>
      </w:pPr>
      <w:r>
        <w:rPr>
          <w:rFonts w:ascii="Arial" w:cs="Arial" w:eastAsia="Arial" w:hAnsi="Arial"/>
          <w:sz w:val="16"/>
          <w:szCs w:val="16"/>
          <w:color w:val="auto"/>
        </w:rPr>
        <w:t>We allocated the estimated enterprise value among different classes of our shares by applying an option pricing method, or OPM. 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offering. The ordinary shares are modeled as call options with an exercise price equal to the liquidation preference of the preferred shares. The value of the call options is determined using the Black-Scholes-Merton option-pricing model. The OPM method requires significant assumptions; in particular, the time until investors in our company would experience an exit event and the volatility of our shares (which we determined based on the same public companies with business and financial risks comparable to our own).</w:t>
      </w:r>
    </w:p>
    <w:p>
      <w:pPr>
        <w:spacing w:after="0" w:line="167"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We applied a discount to the resulting valuation due to the lack of marketability of our ordinary shares. We calculated this using a put option model based on the Finnerty model. The significant assumptions involved were the same as described above.</w:t>
      </w:r>
    </w:p>
    <w:p>
      <w:pPr>
        <w:spacing w:after="0" w:line="181"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The dates of our valuations did not always coincide with the dates of our share-based compensation grants. In such instances, management’s estimates were based on the most recent valuation of our ordinary shares. For grants occurring between valuation dates, for financial reporting purposes, we applied a straight-line calculation considering the preceding and subsequent valuations and our assessment of additional objective and subjective factors we believed were relevant as of the grant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jc w:val="both"/>
        <w:ind w:left="120" w:right="119" w:firstLine="216"/>
        <w:spacing w:after="0" w:line="288" w:lineRule="auto"/>
        <w:rPr>
          <w:sz w:val="20"/>
          <w:szCs w:val="20"/>
          <w:color w:val="auto"/>
        </w:rPr>
      </w:pPr>
      <w:r>
        <w:rPr>
          <w:rFonts w:ascii="Arial" w:cs="Arial" w:eastAsia="Arial" w:hAnsi="Arial"/>
          <w:sz w:val="16"/>
          <w:szCs w:val="16"/>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69" w:lineRule="exact"/>
        <w:rPr>
          <w:sz w:val="20"/>
          <w:szCs w:val="20"/>
          <w:color w:val="auto"/>
        </w:rPr>
      </w:pPr>
    </w:p>
    <w:p>
      <w:pPr>
        <w:jc w:val="both"/>
        <w:ind w:left="120" w:right="119" w:firstLine="216"/>
        <w:spacing w:after="0" w:line="293" w:lineRule="auto"/>
        <w:rPr>
          <w:sz w:val="20"/>
          <w:szCs w:val="20"/>
          <w:color w:val="auto"/>
        </w:rPr>
      </w:pPr>
      <w:r>
        <w:rPr>
          <w:rFonts w:ascii="Arial" w:cs="Arial" w:eastAsia="Arial" w:hAnsi="Arial"/>
          <w:sz w:val="16"/>
          <w:szCs w:val="16"/>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jc w:val="both"/>
        <w:ind w:left="120" w:right="119" w:firstLine="216"/>
        <w:spacing w:after="0" w:line="272" w:lineRule="auto"/>
        <w:rPr>
          <w:sz w:val="20"/>
          <w:szCs w:val="20"/>
          <w:color w:val="auto"/>
        </w:rPr>
      </w:pPr>
      <w:r>
        <w:rPr>
          <w:rFonts w:ascii="Arial" w:cs="Arial" w:eastAsia="Arial" w:hAnsi="Arial"/>
          <w:sz w:val="17"/>
          <w:szCs w:val="17"/>
          <w:color w:val="auto"/>
        </w:rPr>
        <w:t>While we believe the resulting tax balances as of December 31, 2012 and 2013 and September 30, 2014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Due to our international operations, currency exchange rates impact our financial performance. In 2013, approximately 82% of our revenues were denominated in U.S. dollars and 18% of our revenues were denominated in Euros. Conversely, in 2013, approximately 73%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changes in the exchange rates of the NIS and the Euro against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dollar:</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5"/>
              </w:rPr>
              <w:t>Change in Average Exchange Rate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NIS against the</w:t>
            </w:r>
          </w:p>
        </w:tc>
        <w:tc>
          <w:tcPr>
            <w:tcW w:w="14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Euro against the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U.S. Dollar (%)</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U.S. Dollar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(through September 30, 2014)</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19" w:firstLine="216"/>
        <w:spacing w:after="0" w:line="252" w:lineRule="auto"/>
        <w:rPr>
          <w:sz w:val="20"/>
          <w:szCs w:val="20"/>
          <w:color w:val="auto"/>
        </w:rPr>
      </w:pPr>
      <w:r>
        <w:rPr>
          <w:rFonts w:ascii="Arial" w:cs="Arial" w:eastAsia="Arial" w:hAnsi="Arial"/>
          <w:sz w:val="18"/>
          <w:szCs w:val="18"/>
          <w:color w:val="auto"/>
        </w:rPr>
        <w:t>The figures above represent the change in the average exchange rate in the given period compared to the average exchange rate in the immediately preceding period. Negative figures represent depreciation of the U.S. dollar compared to the NIS. A 10% increase or decrease in the value of the NIS against the U.S. dollar would have decreased or increased our net income by approximately $2.8 million in 2013 and by approximately $2.5 million in the nine months ended September 30, 2014. A 10% increase or decrease in the value of the Euro against the U.S. dollar would have decreased or increased our net income by approximately $0.6 million in 2013 and by approximately $0.8 million in the nine months ended September 30, 2014.</w:t>
      </w:r>
    </w:p>
    <w:p>
      <w:pPr>
        <w:spacing w:after="0" w:line="6" w:lineRule="exact"/>
        <w:rPr>
          <w:sz w:val="20"/>
          <w:szCs w:val="20"/>
          <w:color w:val="auto"/>
        </w:rPr>
      </w:pPr>
    </w:p>
    <w:p>
      <w:pPr>
        <w:jc w:val="both"/>
        <w:ind w:left="120" w:right="119" w:firstLine="216"/>
        <w:spacing w:after="0" w:line="254"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90"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Although we have not hedged against these risks formally in the past, in 2013 we converted U.S. dollars to NIS a few weeks in advance of anticipated large NIS expense payments (such as payroll expenses) to hedge against the potential devaluation of the U.S. dollar relative to the NIS prior to the dates for such payments. We will continue to monitor exposure to currency fluctuations.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78"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jc w:val="both"/>
        <w:ind w:left="120" w:right="119"/>
        <w:spacing w:after="0" w:line="302" w:lineRule="auto"/>
        <w:rPr>
          <w:sz w:val="20"/>
          <w:szCs w:val="20"/>
          <w:color w:val="auto"/>
        </w:rPr>
      </w:pPr>
      <w:r>
        <w:rPr>
          <w:rFonts w:ascii="Arial" w:cs="Arial" w:eastAsia="Arial" w:hAnsi="Arial"/>
          <w:sz w:val="16"/>
          <w:szCs w:val="16"/>
          <w:color w:val="auto"/>
        </w:rPr>
        <w:t>our expenses will continue to be denominated in NIS. We cannot provide any assurances that our hedging activities, once implemented,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119" w:firstLine="216"/>
        <w:spacing w:after="0" w:line="342" w:lineRule="auto"/>
        <w:rPr>
          <w:sz w:val="20"/>
          <w:szCs w:val="20"/>
          <w:color w:val="auto"/>
        </w:rPr>
      </w:pPr>
      <w:r>
        <w:rPr>
          <w:rFonts w:ascii="Arial" w:cs="Arial" w:eastAsia="Arial" w:hAnsi="Arial"/>
          <w:sz w:val="16"/>
          <w:szCs w:val="16"/>
          <w:color w:val="auto"/>
        </w:rPr>
        <w:t>Since our inception, except for standard operating leases, we have not engaged in any off-balance sheet arrangements, such as the use of unconsolidated subsidiaries, structured finance, special purpose entities or variable interest entities.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and Revised Financial Accounting Standards</w:t>
      </w:r>
    </w:p>
    <w:p>
      <w:pPr>
        <w:spacing w:after="0" w:line="229"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The JOBS Act permits emerging growth companies such as us to delay adopting new or revised accounting standards until such time as those standards apply to private companies. We have irrevocably elected not to avail ourselves of this and, therefore, we will be subject to the same new or revised accounting standards as other public companies that are not emerging growth companies.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We are currently in the process of evaluating the impact of the adoption of ASU 2014-09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published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93" w:lineRule="exact"/>
        <w:rPr>
          <w:sz w:val="20"/>
          <w:szCs w:val="20"/>
          <w:color w:val="auto"/>
        </w:rPr>
      </w:pPr>
    </w:p>
    <w:p>
      <w:pPr>
        <w:jc w:val="both"/>
        <w:ind w:left="120" w:right="119" w:firstLine="216"/>
        <w:spacing w:after="0" w:line="293" w:lineRule="auto"/>
        <w:rPr>
          <w:sz w:val="20"/>
          <w:szCs w:val="20"/>
          <w:color w:val="auto"/>
        </w:rPr>
      </w:pPr>
      <w:r>
        <w:rPr>
          <w:rFonts w:ascii="Arial" w:cs="Arial" w:eastAsia="Arial" w:hAnsi="Arial"/>
          <w:sz w:val="16"/>
          <w:szCs w:val="16"/>
          <w:color w:val="auto"/>
        </w:rPr>
        <w:t>There is a diverse ecosystem of businesses that utilize textile printing processes, such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65"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digital textile printing output is forecasted to grow at approximately 20% per year globally for the foreseeable future driven by projected compound annual growth rates from 2014 to 2019 of approximately 15% in North America, 20% in Western Europe, 20% in Eastern Europe and 21% in Asia. Within digital textile printing, clothing applications represent the greatest amount of digital printed textile output and are projected to grow at a faster rate than household, technical and display applications.</w:t>
      </w:r>
    </w:p>
    <w:p>
      <w:pPr>
        <w:spacing w:after="0" w:line="188"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We estimate that global revenue from digital textile printing equipment and ink will grow at a 17% compound annual growth rate between 2014 and 2019 based on the estimate of such revenue for 2014 and the projection for 2019, in each case, contained in the Pira report. There is currently a global installed base of approximately 35,000 digital textile printers.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in the Textile Printing Market</w:t>
      </w:r>
    </w:p>
    <w:p>
      <w:pPr>
        <w:spacing w:after="0" w:line="229"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Textile printing is most commonly conducted using an analog printing method known as screen printing, which includes rotary screen printing and manual or automated carousel screen printing techniques. Rotary screen printing involves passing rolls of fabric through rotating cylinders that are engraved with the image or design to be printed, whereas carousel screen printing involves squeezing ink onto fabric through purpose-built mesh stencils.</w:t>
      </w:r>
    </w:p>
    <w:p>
      <w:pPr>
        <w:spacing w:after="0" w:line="171"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Digital printing, which uses specially engineered inkjet heads to print designs and patterns directly onto fabrics, currently represents a small, but rapidly growing, portion of the global printed textile industry. Digital textile printing allows a full image or design to be printed on a garment or cut fabric in one manufacturing step compared to multiple steps in an analog printing process. Digital textile printing gives manufacturers the ability to print small runs in a cost-effective manner with a minimum order quantity of one unit. Demand for digital equipment and consumables is expanding due to the increasing acceptance of digital textile printing processes among industry participants and in order to respond to the following trends:</w:t>
      </w:r>
    </w:p>
    <w:p>
      <w:pPr>
        <w:spacing w:after="0" w:line="203" w:lineRule="exact"/>
        <w:rPr>
          <w:sz w:val="20"/>
          <w:szCs w:val="20"/>
          <w:color w:val="auto"/>
        </w:rPr>
      </w:pPr>
    </w:p>
    <w:p>
      <w:pPr>
        <w:jc w:val="both"/>
        <w:ind w:left="560" w:right="119" w:hanging="219"/>
        <w:spacing w:after="0" w:line="238" w:lineRule="auto"/>
        <w:tabs>
          <w:tab w:leader="none" w:pos="613"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Increased demand for variety and complexity of images and designs. </w:t>
      </w:r>
      <w:r>
        <w:rPr>
          <w:rFonts w:ascii="Arial" w:cs="Arial" w:eastAsia="Arial" w:hAnsi="Arial"/>
          <w:sz w:val="18"/>
          <w:szCs w:val="18"/>
          <w:color w:val="auto"/>
        </w:rPr>
        <w:t>In order to distinguish themselves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masses, consumers demand, and brand owners seek to supply, a wide range of styles that are innovative and diverse.</w:t>
      </w:r>
    </w:p>
    <w:p>
      <w:pPr>
        <w:spacing w:after="0" w:line="229" w:lineRule="exact"/>
        <w:rPr>
          <w:rFonts w:ascii="Arial" w:cs="Arial" w:eastAsia="Arial" w:hAnsi="Arial"/>
          <w:sz w:val="22"/>
          <w:szCs w:val="22"/>
          <w:b w:val="1"/>
          <w:bCs w:val="1"/>
          <w:i w:val="1"/>
          <w:iCs w:val="1"/>
          <w:color w:val="auto"/>
        </w:rPr>
      </w:pPr>
    </w:p>
    <w:p>
      <w:pPr>
        <w:jc w:val="both"/>
        <w:ind w:left="560" w:right="119" w:hanging="219"/>
        <w:spacing w:after="0" w:line="238" w:lineRule="auto"/>
        <w:tabs>
          <w:tab w:leader="none" w:pos="595"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Mass customization and personalization. </w:t>
      </w:r>
      <w:r>
        <w:rPr>
          <w:rFonts w:ascii="Arial" w:cs="Arial" w:eastAsia="Arial" w:hAnsi="Arial"/>
          <w:sz w:val="18"/>
          <w:szCs w:val="18"/>
          <w:color w:val="auto"/>
        </w:rPr>
        <w:t>We believe consumers are increasingly seeking the ability to customize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by choosing preferred features from a menu of options, or the ability to personalize products by adding an individualized pattern.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6" w:name="page57"/>
    <w:bookmarkEnd w:id="56"/>
    <w:p>
      <w:pPr>
        <w:jc w:val="both"/>
        <w:ind w:left="560" w:right="119" w:hanging="219"/>
        <w:spacing w:after="0" w:line="238" w:lineRule="auto"/>
        <w:tabs>
          <w:tab w:leader="none" w:pos="653" w:val="left"/>
        </w:tabs>
        <w:numPr>
          <w:ilvl w:val="0"/>
          <w:numId w:val="29"/>
        </w:numPr>
        <w:rPr>
          <w:rFonts w:ascii="Arial" w:cs="Arial" w:eastAsia="Arial" w:hAnsi="Arial"/>
          <w:sz w:val="22"/>
          <w:szCs w:val="22"/>
          <w:color w:val="auto"/>
        </w:rPr>
      </w:pPr>
      <w:r>
        <w:rPr>
          <w:rFonts w:ascii="Arial" w:cs="Arial" w:eastAsia="Arial" w:hAnsi="Arial"/>
          <w:sz w:val="18"/>
          <w:szCs w:val="18"/>
          <w:b w:val="1"/>
          <w:bCs w:val="1"/>
          <w:i w:val="1"/>
          <w:iCs w:val="1"/>
          <w:color w:val="auto"/>
        </w:rPr>
        <w:t>Reduced time between design and production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digital textile printing process allows for samples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produced, evaluated, and modified, which permits brand owners to increase the frequency and variety of replenishment cycles in response to fashion trends.</w:t>
      </w:r>
    </w:p>
    <w:p>
      <w:pPr>
        <w:spacing w:after="0" w:line="216" w:lineRule="exact"/>
        <w:rPr>
          <w:rFonts w:ascii="Arial" w:cs="Arial" w:eastAsia="Arial" w:hAnsi="Arial"/>
          <w:sz w:val="22"/>
          <w:szCs w:val="22"/>
          <w:color w:val="auto"/>
        </w:rPr>
      </w:pPr>
    </w:p>
    <w:p>
      <w:pPr>
        <w:jc w:val="both"/>
        <w:ind w:left="560" w:right="119" w:hanging="219"/>
        <w:spacing w:after="0" w:line="241" w:lineRule="auto"/>
        <w:tabs>
          <w:tab w:leader="none" w:pos="613"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Focus on reducing risk of excess inventory. </w:t>
      </w:r>
      <w:r>
        <w:rPr>
          <w:rFonts w:ascii="Arial" w:cs="Arial" w:eastAsia="Arial" w:hAnsi="Arial"/>
          <w:sz w:val="18"/>
          <w:szCs w:val="18"/>
          <w:color w:val="auto"/>
        </w:rPr>
        <w:t>The costly and time-consuming upfront setup required in analog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methods is avoided when using digital printing technologies. Therefore, digital printing enables the cost efficient production of a smaller quantity of garments which mitigates excess inventory risk and improves profitability.</w:t>
      </w:r>
    </w:p>
    <w:p>
      <w:pPr>
        <w:spacing w:after="0" w:line="216" w:lineRule="exact"/>
        <w:rPr>
          <w:rFonts w:ascii="Arial" w:cs="Arial" w:eastAsia="Arial" w:hAnsi="Arial"/>
          <w:sz w:val="22"/>
          <w:szCs w:val="22"/>
          <w:b w:val="1"/>
          <w:bCs w:val="1"/>
          <w:i w:val="1"/>
          <w:iCs w:val="1"/>
          <w:color w:val="auto"/>
        </w:rPr>
      </w:pPr>
    </w:p>
    <w:p>
      <w:pPr>
        <w:jc w:val="both"/>
        <w:ind w:left="560" w:right="119" w:hanging="219"/>
        <w:spacing w:after="0" w:line="262" w:lineRule="auto"/>
        <w:tabs>
          <w:tab w:leader="none" w:pos="667" w:val="left"/>
        </w:tabs>
        <w:numPr>
          <w:ilvl w:val="0"/>
          <w:numId w:val="29"/>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Environmentally friendly production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bodies and consumers are increasingly focused on social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198" w:lineRule="exact"/>
        <w:rPr>
          <w:rFonts w:ascii="Arial" w:cs="Arial" w:eastAsia="Arial" w:hAnsi="Arial"/>
          <w:sz w:val="21"/>
          <w:szCs w:val="21"/>
          <w:b w:val="1"/>
          <w:bCs w:val="1"/>
          <w:i w:val="1"/>
          <w:iCs w:val="1"/>
          <w:color w:val="auto"/>
        </w:rPr>
      </w:pPr>
    </w:p>
    <w:p>
      <w:pPr>
        <w:jc w:val="both"/>
        <w:ind w:left="560" w:right="119" w:hanging="219"/>
        <w:spacing w:after="0" w:line="261" w:lineRule="auto"/>
        <w:tabs>
          <w:tab w:leader="none" w:pos="572" w:val="left"/>
        </w:tabs>
        <w:numPr>
          <w:ilvl w:val="0"/>
          <w:numId w:val="29"/>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 xml:space="preserve">Reduced labor and physical space requirements. </w:t>
      </w:r>
      <w:r>
        <w:rPr>
          <w:rFonts w:ascii="Arial" w:cs="Arial" w:eastAsia="Arial" w:hAnsi="Arial"/>
          <w:sz w:val="17"/>
          <w:szCs w:val="17"/>
          <w:color w:val="auto"/>
        </w:rPr>
        <w:t>Digital textile printing requires significantly less labor to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equivalent output due to the 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152400</wp:posOffset>
            </wp:positionV>
            <wp:extent cx="4193540" cy="172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9354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225" w:lineRule="exact"/>
        <w:rPr>
          <w:sz w:val="20"/>
          <w:szCs w:val="20"/>
          <w:color w:val="auto"/>
        </w:rPr>
      </w:pPr>
    </w:p>
    <w:p>
      <w:pPr>
        <w:ind w:left="120" w:right="119" w:firstLine="216"/>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152400</wp:posOffset>
            </wp:positionV>
            <wp:extent cx="5582920" cy="763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29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0" w:right="119" w:hanging="219"/>
        <w:spacing w:after="0" w:line="342" w:lineRule="auto"/>
        <w:tabs>
          <w:tab w:leader="none" w:pos="569"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Rotary screen printing. </w:t>
      </w:r>
      <w:r>
        <w:rPr>
          <w:rFonts w:ascii="Arial" w:cs="Arial" w:eastAsia="Arial" w:hAnsi="Arial"/>
          <w:sz w:val="16"/>
          <w:szCs w:val="16"/>
          <w:color w:val="auto"/>
        </w:rPr>
        <w:t>Rotary screen printing is commonly used to print on outerwear, underwear, sportswear,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upholstery and linens. It involves multiple, time-consuming process steps. Rolls of fabric pass through rotating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57" w:name="page58"/>
    <w:bookmarkEnd w:id="57"/>
    <w:p>
      <w:pPr>
        <w:jc w:val="both"/>
        <w:ind w:left="560" w:right="119"/>
        <w:spacing w:after="0" w:line="255" w:lineRule="auto"/>
        <w:rPr>
          <w:sz w:val="20"/>
          <w:szCs w:val="20"/>
          <w:color w:val="auto"/>
        </w:rPr>
      </w:pPr>
      <w:r>
        <w:rPr>
          <w:rFonts w:ascii="Arial" w:cs="Arial" w:eastAsia="Arial" w:hAnsi="Arial"/>
          <w:sz w:val="18"/>
          <w:szCs w:val="18"/>
          <w:color w:val="auto"/>
        </w:rPr>
        <w:t>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560" w:right="119" w:hanging="219"/>
        <w:spacing w:after="0" w:line="269" w:lineRule="auto"/>
        <w:tabs>
          <w:tab w:leader="none" w:pos="559"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Automated carousel screen printing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Automated carousel screen printing is commonly used to print on t-shirts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jeans.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152400</wp:posOffset>
            </wp:positionV>
            <wp:extent cx="1655445" cy="1964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5544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8" w:name="page59"/>
    <w:bookmarkEnd w:id="58"/>
    <w:p>
      <w:pPr>
        <w:ind w:left="120"/>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87"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39" w:lineRule="exact"/>
        <w:rPr>
          <w:sz w:val="20"/>
          <w:szCs w:val="20"/>
          <w:color w:val="auto"/>
        </w:rPr>
      </w:pPr>
    </w:p>
    <w:p>
      <w:pPr>
        <w:jc w:val="both"/>
        <w:ind w:left="560" w:right="119" w:hanging="215"/>
        <w:spacing w:after="0" w:line="238" w:lineRule="auto"/>
        <w:tabs>
          <w:tab w:leader="none" w:pos="582" w:val="left"/>
        </w:tabs>
        <w:numPr>
          <w:ilvl w:val="0"/>
          <w:numId w:val="32"/>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Direct-to-Garment (DTG). </w:t>
      </w:r>
      <w:r>
        <w:rPr>
          <w:rFonts w:ascii="Arial" w:cs="Arial" w:eastAsia="Arial" w:hAnsi="Arial"/>
          <w:sz w:val="18"/>
          <w:szCs w:val="18"/>
          <w:color w:val="auto"/>
        </w:rPr>
        <w:t>In DTG printing, an inkjet printer prints directly on the textile. DTG printing allows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printing images and 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334" w:lineRule="exact"/>
        <w:rPr>
          <w:rFonts w:ascii="Arial" w:cs="Arial" w:eastAsia="Arial" w:hAnsi="Arial"/>
          <w:sz w:val="22"/>
          <w:szCs w:val="22"/>
          <w:b w:val="1"/>
          <w:bCs w:val="1"/>
          <w:i w:val="1"/>
          <w:iCs w:val="1"/>
          <w:color w:val="auto"/>
        </w:rPr>
      </w:pPr>
    </w:p>
    <w:p>
      <w:pPr>
        <w:jc w:val="both"/>
        <w:ind w:left="560" w:right="119" w:hanging="215"/>
        <w:spacing w:after="0" w:line="238" w:lineRule="auto"/>
        <w:tabs>
          <w:tab w:leader="none" w:pos="649" w:val="left"/>
        </w:tabs>
        <w:numPr>
          <w:ilvl w:val="0"/>
          <w:numId w:val="32"/>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Roll-to-Roll (R2R). </w:t>
      </w:r>
      <w:r>
        <w:rPr>
          <w:rFonts w:ascii="Arial" w:cs="Arial" w:eastAsia="Arial" w:hAnsi="Arial"/>
          <w:sz w:val="18"/>
          <w:szCs w:val="18"/>
          <w:color w:val="auto"/>
        </w:rPr>
        <w:t>In R2R printing, rolls of fabric pass in-line through wide-format inkjet printers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utilized to directly print images 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-1002030</wp:posOffset>
            </wp:positionV>
            <wp:extent cx="3044190" cy="445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44190" cy="445770"/>
                    </a:xfrm>
                    <a:prstGeom prst="rect">
                      <a:avLst/>
                    </a:prstGeom>
                    <a:noFill/>
                  </pic:spPr>
                </pic:pic>
              </a:graphicData>
            </a:graphic>
          </wp:anchor>
        </w:drawing>
        <w:drawing>
          <wp:anchor simplePos="0" relativeHeight="251657728" behindDoc="1" locked="0" layoutInCell="0" allowOverlap="1">
            <wp:simplePos x="0" y="0"/>
            <wp:positionH relativeFrom="column">
              <wp:posOffset>1104265</wp:posOffset>
            </wp:positionH>
            <wp:positionV relativeFrom="paragraph">
              <wp:posOffset>137795</wp:posOffset>
            </wp:positionV>
            <wp:extent cx="3662045" cy="445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620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20" w:right="119" w:firstLine="216"/>
        <w:spacing w:after="0" w:line="290" w:lineRule="auto"/>
        <w:rPr>
          <w:sz w:val="20"/>
          <w:szCs w:val="20"/>
          <w:color w:val="auto"/>
        </w:rPr>
      </w:pPr>
      <w:r>
        <w:rPr>
          <w:rFonts w:ascii="Arial" w:cs="Arial" w:eastAsia="Arial" w:hAnsi="Arial"/>
          <w:sz w:val="16"/>
          <w:szCs w:val="16"/>
          <w:color w:val="auto"/>
        </w:rPr>
        <w:t>Recent technological developments in digital printing have supported the adoption of digital printing by the global printed textile industry, including by leading fashion designers, apparel brands, and contract manufacturers. Digital printing systems are now capable of printing increasingly large volumes of textiles with complex, customized images and designs at high throughput levels, which have enabled the global printed textile industry to harness the advantages of digital textile printing in a cost-effective manner. Additionally, the growth of e-commerce has given rise to many online apparel and home décor vendors who are unencumbered by legacy manufacturing processes and who rely primarily on digital printing systems to serve their large customer bases. As a result of these trends, we believe that the global printed textile industry offers a significant and rapidly growing market for digital printing solutions.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82"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40 to 300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and value added services aimed at optimizing the use of our systems.</w:t>
      </w:r>
    </w:p>
    <w:p>
      <w:pPr>
        <w:spacing w:after="0" w:line="180" w:lineRule="exact"/>
        <w:rPr>
          <w:sz w:val="20"/>
          <w:szCs w:val="20"/>
          <w:color w:val="auto"/>
        </w:rPr>
      </w:pPr>
    </w:p>
    <w:p>
      <w:pPr>
        <w:jc w:val="both"/>
        <w:ind w:left="120" w:right="119" w:firstLine="216"/>
        <w:spacing w:after="0" w:line="288" w:lineRule="auto"/>
        <w:rPr>
          <w:sz w:val="20"/>
          <w:szCs w:val="20"/>
          <w:color w:val="auto"/>
        </w:rPr>
      </w:pPr>
      <w:r>
        <w:rPr>
          <w:rFonts w:ascii="Arial" w:cs="Arial" w:eastAsia="Arial" w:hAnsi="Arial"/>
          <w:sz w:val="16"/>
          <w:szCs w:val="16"/>
          <w:color w:val="auto"/>
        </w:rPr>
        <w:t>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 While the DTG market generally involves printing on finished garments, the R2R market is focused on printing on fabrics that are subsequently converted into finished garments. Our R2R solution utilizes our proprietary wet-on-wet printing methodology and houses an integrated dryer within the system. We believe it will be the first single-step, stand-alone R2R digital textile printing solution available on the market. We plan to market our R2R solution, the Allegro, to online businesses that require large variety and limited quantity orders and to fabric converters, who source large quantities of fabric and convert untreated fabrics into finished materials to be sold to garment and home décor manufacturers. We are targeting the commercial launch of the Allegro in the next 18 months and believe it will offer us a significant opportunity for growth.</w:t>
      </w:r>
    </w:p>
    <w:p>
      <w:pPr>
        <w:spacing w:after="0" w:line="16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We were founded in 2002 in Israel, shipped our first system in 2005 and, as of September 30, 2014, had an installed base of over 1,200 systems globally. As of September 30, 2014, we had 254 employees located across four regions: Israel, the United States, Europe and the Asia Pacific region. For the fiscal year ended December 31, 2013, we generated revenues of $49.4 million, representing an increase of 26.1% over the prior fiscal year, and recorded net income of $1.1 million. In 2013, we generated 56.2% of our revenues from the Americas, 29.0% from EMEA and 14.8% from the Asia Pacific region. For the nine months ended September 30, 2014, we generated revenues of $47.5 million, representing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0" w:name="page61"/>
    <w:bookmarkEnd w:id="60"/>
    <w:p>
      <w:pPr>
        <w:jc w:val="both"/>
        <w:ind w:left="120" w:right="119"/>
        <w:spacing w:after="0" w:line="264" w:lineRule="auto"/>
        <w:rPr>
          <w:sz w:val="20"/>
          <w:szCs w:val="20"/>
          <w:color w:val="auto"/>
        </w:rPr>
      </w:pPr>
      <w:r>
        <w:rPr>
          <w:rFonts w:ascii="Arial" w:cs="Arial" w:eastAsia="Arial" w:hAnsi="Arial"/>
          <w:sz w:val="18"/>
          <w:szCs w:val="18"/>
          <w:color w:val="auto"/>
        </w:rPr>
        <w:t>38.9% increase compared to the nine months ended September 30, 2013, and recorded net income of $1.8 million. For the nine months ended September 30, 2014, we generated 54.1% of our revenues from the Americas, 29.3% from EMEA and 16.6% from the Asia Pacific region.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our key competitive strengths:</w:t>
      </w:r>
    </w:p>
    <w:p>
      <w:pPr>
        <w:spacing w:after="0" w:line="248" w:lineRule="exact"/>
        <w:rPr>
          <w:sz w:val="20"/>
          <w:szCs w:val="20"/>
          <w:color w:val="auto"/>
        </w:rPr>
      </w:pPr>
    </w:p>
    <w:p>
      <w:pPr>
        <w:jc w:val="both"/>
        <w:ind w:left="560" w:right="119" w:hanging="219"/>
        <w:spacing w:after="0" w:line="263" w:lineRule="auto"/>
        <w:tabs>
          <w:tab w:leader="none" w:pos="663" w:val="left"/>
        </w:tabs>
        <w:numPr>
          <w:ilvl w:val="0"/>
          <w:numId w:val="3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Leading player in fast-growing digital DTG printing market. </w:t>
      </w:r>
      <w:r>
        <w:rPr>
          <w:rFonts w:ascii="Arial" w:cs="Arial" w:eastAsia="Arial" w:hAnsi="Arial"/>
          <w:sz w:val="17"/>
          <w:szCs w:val="17"/>
          <w:color w:val="auto"/>
        </w:rPr>
        <w:t>We are a leading player in the fast-growing</w:t>
      </w:r>
      <w:r>
        <w:rPr>
          <w:rFonts w:ascii="Arial" w:cs="Arial" w:eastAsia="Arial" w:hAnsi="Arial"/>
          <w:sz w:val="17"/>
          <w:szCs w:val="17"/>
          <w:b w:val="1"/>
          <w:bCs w:val="1"/>
          <w:color w:val="auto"/>
        </w:rPr>
        <w:t xml:space="preserve"> </w:t>
      </w:r>
      <w:r>
        <w:rPr>
          <w:rFonts w:ascii="Arial" w:cs="Arial" w:eastAsia="Arial" w:hAnsi="Arial"/>
          <w:sz w:val="17"/>
          <w:szCs w:val="17"/>
          <w:color w:val="auto"/>
        </w:rPr>
        <w:t>digital 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In 2013, we grew our revenues 26.1% compared to 2012 and, in the nine months ended September 30, 2014, we grew our revenues 38.9% compared to the same period in 2013.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197" w:lineRule="exact"/>
        <w:rPr>
          <w:rFonts w:ascii="Arial" w:cs="Arial" w:eastAsia="Arial" w:hAnsi="Arial"/>
          <w:sz w:val="21"/>
          <w:szCs w:val="21"/>
          <w:b w:val="1"/>
          <w:bCs w:val="1"/>
          <w:color w:val="auto"/>
        </w:rPr>
      </w:pPr>
    </w:p>
    <w:p>
      <w:pPr>
        <w:jc w:val="both"/>
        <w:ind w:left="560" w:right="119" w:hanging="219"/>
        <w:spacing w:after="0" w:line="283" w:lineRule="auto"/>
        <w:tabs>
          <w:tab w:leader="none" w:pos="578" w:val="left"/>
        </w:tabs>
        <w:numPr>
          <w:ilvl w:val="0"/>
          <w:numId w:val="33"/>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Disruptive technology that enables our customers to adopt new or improve existing business models.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flexibility that our digital printing solutions provide to our customers, including custom decorators, online businesses, brand owners and contract printers, enable them to develop new or improve their existing business models. Custom decorators utilize our solutions to produce short to medium runs of high-quality customized garments quickly and efficiently, enabling them to increase average selling prices compared to screen printed garments. For online businesses, our solutions facilitate the creation of “produce to order” garment production with minimum order quantities of one unit, at high average selling prices, while achieving significant margins. Brand owners benefit from our solutions’ streamlined pre- and post-treatment processes that allow them to handle production needs in house as they reduce labor, physical space requirements, industrial water consumption and eliminate the need for waste water clearing mechanisms. Our solutions also benefit high-volume contract printers that provide printing services to brand owners and high-end garment manufacturers by allowing them to print high resolution images and designs at qualities that meet high fashion standards.</w:t>
      </w:r>
    </w:p>
    <w:p>
      <w:pPr>
        <w:spacing w:after="0" w:line="178" w:lineRule="exact"/>
        <w:rPr>
          <w:rFonts w:ascii="Arial" w:cs="Arial" w:eastAsia="Arial" w:hAnsi="Arial"/>
          <w:sz w:val="19"/>
          <w:szCs w:val="19"/>
          <w:b w:val="1"/>
          <w:bCs w:val="1"/>
          <w:color w:val="auto"/>
        </w:rPr>
      </w:pPr>
    </w:p>
    <w:p>
      <w:pPr>
        <w:jc w:val="both"/>
        <w:ind w:left="560" w:right="119" w:hanging="219"/>
        <w:spacing w:after="0" w:line="262" w:lineRule="auto"/>
        <w:tabs>
          <w:tab w:leader="none" w:pos="572" w:val="left"/>
        </w:tabs>
        <w:numPr>
          <w:ilvl w:val="0"/>
          <w:numId w:val="3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Attractive business model. </w:t>
      </w:r>
      <w:r>
        <w:rPr>
          <w:rFonts w:ascii="Arial" w:cs="Arial" w:eastAsia="Arial" w:hAnsi="Arial"/>
          <w:sz w:val="17"/>
          <w:szCs w:val="17"/>
          <w:color w:val="auto"/>
        </w:rPr>
        <w:t>We currently offer a broad portfolio of differentiated digital printing solutions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digital DTG market. Our existing and growing installed base of systems results in recurring sales of ink and other consumables, which are specially formulated to enable our systems to operate at the highest throughput level.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 our ability to provide value added services to our customers.</w:t>
      </w:r>
    </w:p>
    <w:p>
      <w:pPr>
        <w:spacing w:after="0" w:line="198" w:lineRule="exact"/>
        <w:rPr>
          <w:rFonts w:ascii="Arial" w:cs="Arial" w:eastAsia="Arial" w:hAnsi="Arial"/>
          <w:sz w:val="21"/>
          <w:szCs w:val="21"/>
          <w:b w:val="1"/>
          <w:bCs w:val="1"/>
          <w:color w:val="auto"/>
        </w:rPr>
      </w:pPr>
    </w:p>
    <w:p>
      <w:pPr>
        <w:jc w:val="both"/>
        <w:ind w:left="560" w:right="119" w:hanging="219"/>
        <w:spacing w:after="0" w:line="247" w:lineRule="auto"/>
        <w:tabs>
          <w:tab w:leader="none" w:pos="667" w:val="left"/>
        </w:tabs>
        <w:numPr>
          <w:ilvl w:val="0"/>
          <w:numId w:val="3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reflects over a decade of significant investments in digital textile printing, which we believe creates significant barriers to entry. We have developed a strong base of technology know-how, backed by our portfolio of intellectual property, featuring 17 issued patents and nine pending patent applications, covering wet-on-wet printing methodology, ink formulations, printing processes and related methods and systems. Our team of over 50 researchers and developers, including chemists, electrical engineers, system engineers and mechanical engineers, ensures that our systems remain technologically advanced, and are well engineered, user-friendly and highly reliable.</w:t>
      </w:r>
    </w:p>
    <w:p>
      <w:pPr>
        <w:spacing w:after="0" w:line="220" w:lineRule="exact"/>
        <w:rPr>
          <w:rFonts w:ascii="Arial" w:cs="Arial" w:eastAsia="Arial" w:hAnsi="Arial"/>
          <w:sz w:val="22"/>
          <w:szCs w:val="22"/>
          <w:b w:val="1"/>
          <w:bCs w:val="1"/>
          <w:color w:val="auto"/>
        </w:rPr>
      </w:pPr>
    </w:p>
    <w:p>
      <w:pPr>
        <w:jc w:val="both"/>
        <w:ind w:left="560" w:right="119" w:hanging="219"/>
        <w:spacing w:after="0" w:line="283" w:lineRule="auto"/>
        <w:tabs>
          <w:tab w:leader="none" w:pos="663" w:val="left"/>
        </w:tabs>
        <w:numPr>
          <w:ilvl w:val="0"/>
          <w:numId w:val="33"/>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Extensive product portfolio and strong new product pipeline. </w:t>
      </w:r>
      <w:r>
        <w:rPr>
          <w:rFonts w:ascii="Arial" w:cs="Arial" w:eastAsia="Arial" w:hAnsi="Arial"/>
          <w:sz w:val="16"/>
          <w:szCs w:val="16"/>
          <w:color w:val="auto"/>
        </w:rPr>
        <w:t>With throughputs ranging from 40 to 300</w:t>
      </w:r>
      <w:r>
        <w:rPr>
          <w:rFonts w:ascii="Arial" w:cs="Arial" w:eastAsia="Arial" w:hAnsi="Arial"/>
          <w:sz w:val="16"/>
          <w:szCs w:val="16"/>
          <w:b w:val="1"/>
          <w:bCs w:val="1"/>
          <w:color w:val="auto"/>
        </w:rPr>
        <w:t xml:space="preserve"> </w:t>
      </w:r>
      <w:r>
        <w:rPr>
          <w:rFonts w:ascii="Arial" w:cs="Arial" w:eastAsia="Arial" w:hAnsi="Arial"/>
          <w:sz w:val="16"/>
          <w:szCs w:val="16"/>
          <w:color w:val="auto"/>
        </w:rPr>
        <w:t>garments per hour, our DTG systems are suited for smaller commercial operators with limited budgets, as well as mass producers with mature operations and complex needs. In addition, we plan to introduce two new solutions to market: the Allegro and the Vulcan. We are targeting a commercial launch of our Allegro system, a one-step, integrated R2R printing and drying system, in the next 18 months. We are also targeting a commercial launch of our Vulcan system, a cost-effective digital substitution for carousel screen printing that enables mass production of customized garments for the DTG market, in the next 24 months. We believe both solutions will offer capabilities that no other player in the global printed textile industry currently offers and will further strengthen our leading position in the digital printed textile market as well as provide additional growth opportunities for our business.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jc w:val="both"/>
        <w:ind w:left="560" w:right="119" w:hanging="219"/>
        <w:spacing w:after="0" w:line="263" w:lineRule="auto"/>
        <w:tabs>
          <w:tab w:leader="none" w:pos="586" w:val="left"/>
        </w:tabs>
        <w:numPr>
          <w:ilvl w:val="0"/>
          <w:numId w:val="3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Environmentally friendly printing processes. </w:t>
      </w:r>
      <w:r>
        <w:rPr>
          <w:rFonts w:ascii="Arial" w:cs="Arial" w:eastAsia="Arial" w:hAnsi="Arial"/>
          <w:sz w:val="17"/>
          <w:szCs w:val="17"/>
          <w:color w:val="auto"/>
        </w:rPr>
        <w:t>A significant portion of global industrial water pollution comes</w:t>
      </w:r>
      <w:r>
        <w:rPr>
          <w:rFonts w:ascii="Arial" w:cs="Arial" w:eastAsia="Arial" w:hAnsi="Arial"/>
          <w:sz w:val="17"/>
          <w:szCs w:val="17"/>
          <w:b w:val="1"/>
          <w:bCs w:val="1"/>
          <w:color w:val="auto"/>
        </w:rPr>
        <w:t xml:space="preserve"> </w:t>
      </w:r>
      <w:r>
        <w:rPr>
          <w:rFonts w:ascii="Arial" w:cs="Arial" w:eastAsia="Arial" w:hAnsi="Arial"/>
          <w:sz w:val="17"/>
          <w:szCs w:val="17"/>
          <w:color w:val="auto"/>
        </w:rPr>
        <w:t>from textile treatment and 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99" w:lineRule="exact"/>
        <w:rPr>
          <w:rFonts w:ascii="Arial" w:cs="Arial" w:eastAsia="Arial" w:hAnsi="Arial"/>
          <w:sz w:val="21"/>
          <w:szCs w:val="21"/>
          <w:b w:val="1"/>
          <w:bCs w:val="1"/>
          <w:color w:val="auto"/>
        </w:rPr>
      </w:pPr>
    </w:p>
    <w:p>
      <w:pPr>
        <w:jc w:val="both"/>
        <w:ind w:left="560" w:right="119" w:hanging="219"/>
        <w:spacing w:after="0" w:line="263" w:lineRule="auto"/>
        <w:tabs>
          <w:tab w:leader="none" w:pos="586" w:val="left"/>
        </w:tabs>
        <w:numPr>
          <w:ilvl w:val="0"/>
          <w:numId w:val="3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Experienced management team. </w:t>
      </w:r>
      <w:r>
        <w:rPr>
          <w:rFonts w:ascii="Arial" w:cs="Arial" w:eastAsia="Arial" w:hAnsi="Arial"/>
          <w:sz w:val="17"/>
          <w:szCs w:val="17"/>
          <w:color w:val="auto"/>
        </w:rPr>
        <w:t>We believe that our management teams’ industry expertise, long history with</w:t>
      </w:r>
      <w:r>
        <w:rPr>
          <w:rFonts w:ascii="Arial" w:cs="Arial" w:eastAsia="Arial" w:hAnsi="Arial"/>
          <w:sz w:val="17"/>
          <w:szCs w:val="17"/>
          <w:b w:val="1"/>
          <w:bCs w:val="1"/>
          <w:color w:val="auto"/>
        </w:rPr>
        <w:t xml:space="preserve"> </w:t>
      </w:r>
      <w:r>
        <w:rPr>
          <w:rFonts w:ascii="Arial" w:cs="Arial" w:eastAsia="Arial" w:hAnsi="Arial"/>
          <w:sz w:val="17"/>
          <w:szCs w:val="17"/>
          <w:color w:val="auto"/>
        </w:rPr>
        <w:t>our company and extensive experience in running global publicly traded companies will enable us to execute our growth strategy. Our Chief Executive Officer, Gabi Seligsohn, was the President and Chief Executive Officer of Nova Measuring Instruments (NASDAQ:NVMI) for seven years prior to joining our company. Our Chief Financial Officer, Guy Avidan, was most recently the Chief Financial Officer of Audiocodes (NASDAQ:AUDC). Mr. Seligsohn and Mr. Avidan bring extensive experience of managing publicly traded companies. Our founder and Chief Technology Officer, Ofer Ben-Zur, has over 20 years of digital printing experience. Our Executive Vice President of Sales, Sarel Ashkenazy joined our company in 2004 and together with Mr. Ben-Zur, have helped us to develop into a strong global player.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48" w:lineRule="exact"/>
        <w:rPr>
          <w:sz w:val="20"/>
          <w:szCs w:val="20"/>
          <w:color w:val="auto"/>
        </w:rPr>
      </w:pPr>
    </w:p>
    <w:p>
      <w:pPr>
        <w:jc w:val="both"/>
        <w:ind w:left="560" w:right="119" w:hanging="219"/>
        <w:spacing w:after="0" w:line="263" w:lineRule="auto"/>
        <w:tabs>
          <w:tab w:leader="none" w:pos="609" w:val="left"/>
        </w:tabs>
        <w:numPr>
          <w:ilvl w:val="0"/>
          <w:numId w:val="35"/>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Capitalize on the continued growth of the digital DTG market. </w:t>
      </w:r>
      <w:r>
        <w:rPr>
          <w:rFonts w:ascii="Arial" w:cs="Arial" w:eastAsia="Arial" w:hAnsi="Arial"/>
          <w:sz w:val="17"/>
          <w:szCs w:val="17"/>
          <w:color w:val="auto"/>
        </w:rPr>
        <w:t>We believe there is an opportunity to expand</w:t>
      </w:r>
      <w:r>
        <w:rPr>
          <w:rFonts w:ascii="Arial" w:cs="Arial" w:eastAsia="Arial" w:hAnsi="Arial"/>
          <w:sz w:val="17"/>
          <w:szCs w:val="17"/>
          <w:b w:val="1"/>
          <w:bCs w:val="1"/>
          <w:color w:val="auto"/>
        </w:rPr>
        <w:t xml:space="preserve"> </w:t>
      </w:r>
      <w:r>
        <w:rPr>
          <w:rFonts w:ascii="Arial" w:cs="Arial" w:eastAsia="Arial" w:hAnsi="Arial"/>
          <w:sz w:val="17"/>
          <w:szCs w:val="17"/>
          <w:color w:val="auto"/>
        </w:rPr>
        <w:t>our presence in the growing digital DTG market by increasing sales to existing customers, gaining new customers, introducing new applications, developing new features and functionality, improving system reliability and expanding customer know how in order to drive increased utilization of our systems. In order to achieve these goals, we plan to extend and deepen our presence in the geographies we currently serve as well as align our product roadmap with these opportunities. We also intend to further invest in our direct sales and marketing teams and application development professionals in order to better inform customers and prospective customers about the benefits of digital textile printing and the capabilities of our solutions, through direct communication as well as participation in trade shows and online advertising. We have not yet determined the amount that we will invest for these purposes.</w:t>
      </w:r>
    </w:p>
    <w:p>
      <w:pPr>
        <w:spacing w:after="0" w:line="197" w:lineRule="exact"/>
        <w:rPr>
          <w:rFonts w:ascii="Arial" w:cs="Arial" w:eastAsia="Arial" w:hAnsi="Arial"/>
          <w:sz w:val="21"/>
          <w:szCs w:val="21"/>
          <w:b w:val="1"/>
          <w:bCs w:val="1"/>
          <w:color w:val="auto"/>
        </w:rPr>
      </w:pPr>
    </w:p>
    <w:p>
      <w:pPr>
        <w:jc w:val="both"/>
        <w:ind w:left="560" w:right="119" w:hanging="219"/>
        <w:spacing w:after="0" w:line="247" w:lineRule="auto"/>
        <w:tabs>
          <w:tab w:leader="none" w:pos="586"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Focus on fast-growing web-to-print businesses. </w:t>
      </w:r>
      <w:r>
        <w:rPr>
          <w:rFonts w:ascii="Arial" w:cs="Arial" w:eastAsia="Arial" w:hAnsi="Arial"/>
          <w:sz w:val="18"/>
          <w:szCs w:val="18"/>
          <w:color w:val="auto"/>
        </w:rPr>
        <w:t>We are increasingly focusing our marketing efforts on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whose business models are focused on mass customization and personalization. We already serve dozens of established web-to-print customers throughout the world, some of whom are expanding their businesses at exponential rates. In order to continue to do so, we intend to increase our direct sales force and, with our channel partners, identify strategic accounts that offer the opportunity for long-term business partnerships. We believe our technology is ideally suited for web-to-print businesses because it efficiently allows manufacturers the ability to print on-demand, small runs in a cost-effective manner and with excellent quality, starting with a minimum order quantity of one unit.</w:t>
      </w:r>
    </w:p>
    <w:p>
      <w:pPr>
        <w:spacing w:after="0" w:line="220" w:lineRule="exact"/>
        <w:rPr>
          <w:rFonts w:ascii="Arial" w:cs="Arial" w:eastAsia="Arial" w:hAnsi="Arial"/>
          <w:sz w:val="22"/>
          <w:szCs w:val="22"/>
          <w:b w:val="1"/>
          <w:bCs w:val="1"/>
          <w:color w:val="auto"/>
        </w:rPr>
      </w:pPr>
    </w:p>
    <w:p>
      <w:pPr>
        <w:jc w:val="both"/>
        <w:ind w:left="560" w:right="119" w:hanging="219"/>
        <w:spacing w:after="0" w:line="283" w:lineRule="auto"/>
        <w:tabs>
          <w:tab w:leader="none" w:pos="744" w:val="left"/>
        </w:tabs>
        <w:numPr>
          <w:ilvl w:val="0"/>
          <w:numId w:val="35"/>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Drive adoption of digital DTG printing solutions by customers who primarily use screen printing carousels. </w:t>
      </w:r>
      <w:r>
        <w:rPr>
          <w:rFonts w:ascii="Arial" w:cs="Arial" w:eastAsia="Arial" w:hAnsi="Arial"/>
          <w:sz w:val="16"/>
          <w:szCs w:val="16"/>
          <w:color w:val="auto"/>
        </w:rPr>
        <w:t>A majority of DTG printing jobs are done today utilizing screen printing carousels. While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started to penetrate this market by offering standalone DTG solutions, such as our Avalanche and Storm II systems, we plan to deepen our penetration and further transition users of these analog systems to digital printing technologies through our Paradigm II system. Paradigm II is compatible with the majority of existing screen printing carousels and allows manufacturers to combine complex images and designs printed digitally with multiple embellishment effects, such as glitter, silicon, gel and burnout, typically performed using screen printing.</w:t>
      </w:r>
    </w:p>
    <w:p>
      <w:pPr>
        <w:spacing w:after="0" w:line="196" w:lineRule="exact"/>
        <w:rPr>
          <w:rFonts w:ascii="Arial" w:cs="Arial" w:eastAsia="Arial" w:hAnsi="Arial"/>
          <w:sz w:val="19"/>
          <w:szCs w:val="19"/>
          <w:b w:val="1"/>
          <w:bCs w:val="1"/>
          <w:color w:val="auto"/>
        </w:rPr>
      </w:pPr>
    </w:p>
    <w:p>
      <w:pPr>
        <w:jc w:val="both"/>
        <w:ind w:left="560" w:right="119" w:hanging="219"/>
        <w:spacing w:after="0" w:line="245" w:lineRule="auto"/>
        <w:tabs>
          <w:tab w:leader="none" w:pos="581"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Extend our technological leadership through ongoing research and development and continuing to introduce new products. </w:t>
      </w:r>
      <w:r>
        <w:rPr>
          <w:rFonts w:ascii="Arial" w:cs="Arial" w:eastAsia="Arial" w:hAnsi="Arial"/>
          <w:sz w:val="18"/>
          <w:szCs w:val="18"/>
          <w:color w:val="auto"/>
        </w:rPr>
        <w:t>We will seek to continue to differentiate ourselves and extend our technological leadership by</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in research and development.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Our product pipeline includes an</w:t>
      </w:r>
    </w:p>
    <w:p>
      <w:pPr>
        <w:sectPr>
          <w:pgSz w:w="11900" w:h="16838" w:orient="portrait"/>
          <w:cols w:equalWidth="0" w:num="1">
            <w:col w:w="9019"/>
          </w:cols>
          <w:pgMar w:left="1440" w:top="351"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type w:val="continuous"/>
        </w:sectPr>
      </w:pPr>
    </w:p>
    <w:bookmarkStart w:id="62" w:name="page63"/>
    <w:bookmarkEnd w:id="62"/>
    <w:p>
      <w:pPr>
        <w:jc w:val="both"/>
        <w:ind w:left="560" w:right="119"/>
        <w:spacing w:after="0" w:line="291" w:lineRule="auto"/>
        <w:rPr>
          <w:sz w:val="20"/>
          <w:szCs w:val="20"/>
          <w:color w:val="auto"/>
        </w:rPr>
      </w:pPr>
      <w:r>
        <w:rPr>
          <w:rFonts w:ascii="Arial" w:cs="Arial" w:eastAsia="Arial" w:hAnsi="Arial"/>
          <w:sz w:val="16"/>
          <w:szCs w:val="16"/>
          <w:color w:val="auto"/>
        </w:rPr>
        <w:t>industrial R2R system, the Allegro, which is expected to launch commercially in the next 18 months. We expect our Allegro system to be the first R2R printing system to allow for one-step R2R digital printing, versus existing digital R2R printers which require at least four pre- and post-processing steps. We also intend to leverage the success of our existing DTG solutions, such as Paradigm II, by introducing the Vulcan system, which will offer an alternative to carousel screen printing. The Vulcan will enable customers to print small runs at throughputs comparable to those achieved through carousel screen printing. We expect to launch the Vulcan commercially in the next 24 months. We have not yet determined the amount that we will invest for these purposes.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Systems</w:t>
      </w:r>
    </w:p>
    <w:p>
      <w:pPr>
        <w:spacing w:after="0" w:line="229"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200" w:lineRule="exact"/>
        <w:rPr>
          <w:sz w:val="20"/>
          <w:szCs w:val="20"/>
          <w:color w:val="auto"/>
        </w:rPr>
      </w:pPr>
    </w:p>
    <w:p>
      <w:pPr>
        <w:jc w:val="both"/>
        <w:ind w:left="560" w:right="119" w:hanging="219"/>
        <w:spacing w:after="0" w:line="243" w:lineRule="auto"/>
        <w:tabs>
          <w:tab w:leader="none" w:pos="572" w:val="left"/>
        </w:tabs>
        <w:numPr>
          <w:ilvl w:val="0"/>
          <w:numId w:val="36"/>
        </w:numPr>
        <w:rPr>
          <w:rFonts w:ascii="Arial" w:cs="Arial" w:eastAsia="Arial" w:hAnsi="Arial"/>
          <w:sz w:val="22"/>
          <w:szCs w:val="22"/>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Our entry level systems consist of our Breeze and Thunder systems. These systems reduce the need</w:t>
      </w:r>
      <w:r>
        <w:rPr>
          <w:rFonts w:ascii="Arial" w:cs="Arial" w:eastAsia="Arial" w:hAnsi="Arial"/>
          <w:sz w:val="18"/>
          <w:szCs w:val="18"/>
          <w:i w:val="1"/>
          <w:iCs w:val="1"/>
          <w:color w:val="auto"/>
        </w:rPr>
        <w:t xml:space="preserve"> </w:t>
      </w:r>
      <w:r>
        <w:rPr>
          <w:rFonts w:ascii="Arial" w:cs="Arial" w:eastAsia="Arial" w:hAnsi="Arial"/>
          <w:sz w:val="18"/>
          <w:szCs w:val="18"/>
          <w:color w:val="auto"/>
        </w:rPr>
        <w:t>for floor space for manufacturing equipment by eliminating certain process steps and by consolidating multiple process steps into a single printing system. The Breeze and Thunder allow businesses to adopt digital technology with a limited upfront investment and use the same technology as our high throughput systems but with smaller garment printing areas and at lower throughput levels.</w:t>
      </w:r>
    </w:p>
    <w:p>
      <w:pPr>
        <w:spacing w:after="0" w:line="215" w:lineRule="exact"/>
        <w:rPr>
          <w:rFonts w:ascii="Arial" w:cs="Arial" w:eastAsia="Arial" w:hAnsi="Arial"/>
          <w:sz w:val="22"/>
          <w:szCs w:val="22"/>
          <w:i w:val="1"/>
          <w:iCs w:val="1"/>
          <w:color w:val="auto"/>
        </w:rPr>
      </w:pPr>
    </w:p>
    <w:p>
      <w:pPr>
        <w:jc w:val="both"/>
        <w:ind w:left="560" w:right="119" w:hanging="219"/>
        <w:spacing w:after="0" w:line="238" w:lineRule="auto"/>
        <w:tabs>
          <w:tab w:leader="none" w:pos="572" w:val="left"/>
        </w:tabs>
        <w:numPr>
          <w:ilvl w:val="0"/>
          <w:numId w:val="36"/>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 and</w:t>
      </w:r>
      <w:r>
        <w:rPr>
          <w:rFonts w:ascii="Arial" w:cs="Arial" w:eastAsia="Arial" w:hAnsi="Arial"/>
          <w:sz w:val="18"/>
          <w:szCs w:val="18"/>
          <w:i w:val="1"/>
          <w:iCs w:val="1"/>
          <w:color w:val="auto"/>
        </w:rPr>
        <w:t xml:space="preserve"> </w:t>
      </w:r>
      <w:r>
        <w:rPr>
          <w:rFonts w:ascii="Arial" w:cs="Arial" w:eastAsia="Arial" w:hAnsi="Arial"/>
          <w:sz w:val="18"/>
          <w:szCs w:val="18"/>
          <w:color w:val="auto"/>
        </w:rPr>
        <w:t>Paradigm II, offer high throughput printing capabilities and are designed for customers who conduct large scale printing of small runs of a variety of images and designs.</w:t>
      </w:r>
    </w:p>
    <w:p>
      <w:pPr>
        <w:spacing w:after="0" w:line="203"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DTG Systems</w:t>
      </w:r>
    </w:p>
    <w:p>
      <w:pPr>
        <w:spacing w:after="0" w:line="225"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The following table summarizes key aspects of our DTG systems, all of which are compatible with a wide range of fabrics, including cotton, wool, polyester, lycra and denim and print at maximum resolutions ranging from 600 to 630 DPI. Our systems are currently unable to print at a level of quality acceptable for large scale manufacturing on dyed polyester or nylon.</w:t>
      </w:r>
    </w:p>
    <w:p>
      <w:pPr>
        <w:spacing w:after="0" w:line="228"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Target</w:t>
            </w:r>
          </w:p>
        </w:tc>
        <w:tc>
          <w:tcPr>
            <w:tcW w:w="1580" w:type="dxa"/>
            <w:vAlign w:val="bottom"/>
            <w:gridSpan w:val="2"/>
          </w:tcPr>
          <w:p>
            <w:pPr>
              <w:ind w:left="500"/>
              <w:spacing w:after="0"/>
              <w:rPr>
                <w:sz w:val="20"/>
                <w:szCs w:val="20"/>
                <w:color w:val="auto"/>
              </w:rPr>
            </w:pPr>
            <w:r>
              <w:rPr>
                <w:rFonts w:ascii="Arial" w:cs="Arial" w:eastAsia="Arial" w:hAnsi="Arial"/>
                <w:sz w:val="16"/>
                <w:szCs w:val="16"/>
                <w:b w:val="1"/>
                <w:bCs w:val="1"/>
                <w:color w:val="auto"/>
              </w:rPr>
              <w:t>Max.</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ind w:left="240"/>
              <w:spacing w:after="0"/>
              <w:rPr>
                <w:sz w:val="20"/>
                <w:szCs w:val="20"/>
                <w:color w:val="auto"/>
              </w:rPr>
            </w:pPr>
            <w:r>
              <w:rPr>
                <w:rFonts w:ascii="Arial" w:cs="Arial" w:eastAsia="Arial" w:hAnsi="Arial"/>
                <w:sz w:val="16"/>
                <w:szCs w:val="16"/>
                <w:b w:val="1"/>
                <w:bCs w:val="1"/>
                <w:color w:val="auto"/>
              </w:rPr>
              <w:t>Max. Printing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System</w:t>
            </w: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Customer</w:t>
            </w:r>
          </w:p>
        </w:tc>
        <w:tc>
          <w:tcPr>
            <w:tcW w:w="1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Throughput</w:t>
            </w:r>
          </w:p>
        </w:tc>
        <w:tc>
          <w:tcPr>
            <w:tcW w:w="2540" w:type="dxa"/>
            <w:vAlign w:val="bottom"/>
            <w:gridSpan w:val="2"/>
          </w:tcPr>
          <w:p>
            <w:pPr>
              <w:ind w:left="960"/>
              <w:spacing w:after="0"/>
              <w:rPr>
                <w:sz w:val="20"/>
                <w:szCs w:val="20"/>
                <w:color w:val="auto"/>
              </w:rPr>
            </w:pPr>
            <w:r>
              <w:rPr>
                <w:rFonts w:ascii="Arial" w:cs="Arial" w:eastAsia="Arial" w:hAnsi="Arial"/>
                <w:sz w:val="16"/>
                <w:szCs w:val="16"/>
                <w:b w:val="1"/>
                <w:bCs w:val="1"/>
                <w:color w:val="auto"/>
              </w:rPr>
              <w:t>Colors</w:t>
            </w:r>
          </w:p>
        </w:tc>
        <w:tc>
          <w:tcPr>
            <w:tcW w:w="1480" w:type="dxa"/>
            <w:vAlign w:val="bottom"/>
          </w:tcPr>
          <w:p>
            <w:pPr>
              <w:ind w:left="560"/>
              <w:spacing w:after="0"/>
              <w:rPr>
                <w:sz w:val="20"/>
                <w:szCs w:val="20"/>
                <w:color w:val="auto"/>
              </w:rPr>
            </w:pPr>
            <w:r>
              <w:rPr>
                <w:rFonts w:ascii="Arial" w:cs="Arial" w:eastAsia="Arial" w:hAnsi="Arial"/>
                <w:sz w:val="16"/>
                <w:szCs w:val="16"/>
                <w:b w:val="1"/>
                <w:bCs w:val="1"/>
                <w:color w:val="auto"/>
              </w:rPr>
              <w:t>Area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Breeze</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Entry Level</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40 garments/hour</w:t>
            </w: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CMYK + White</w:t>
            </w:r>
          </w:p>
        </w:tc>
        <w:tc>
          <w:tcPr>
            <w:tcW w:w="1480" w:type="dxa"/>
            <w:vAlign w:val="bottom"/>
          </w:tcPr>
          <w:p>
            <w:pPr>
              <w:ind w:left="40"/>
              <w:spacing w:after="0"/>
              <w:rPr>
                <w:sz w:val="20"/>
                <w:szCs w:val="20"/>
                <w:color w:val="auto"/>
              </w:rPr>
            </w:pPr>
            <w:r>
              <w:rPr>
                <w:rFonts w:ascii="Arial" w:cs="Arial" w:eastAsia="Arial" w:hAnsi="Arial"/>
                <w:sz w:val="18"/>
                <w:szCs w:val="18"/>
                <w:color w:val="auto"/>
              </w:rPr>
              <w:t>14 x 18 in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Thunder</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Entry Level</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80 garments/hour</w:t>
            </w: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CMYK + White</w:t>
            </w:r>
          </w:p>
        </w:tc>
        <w:tc>
          <w:tcPr>
            <w:tcW w:w="1480" w:type="dxa"/>
            <w:vAlign w:val="bottom"/>
          </w:tcPr>
          <w:p>
            <w:pPr>
              <w:ind w:left="40"/>
              <w:spacing w:after="0"/>
              <w:rPr>
                <w:sz w:val="20"/>
                <w:szCs w:val="20"/>
                <w:color w:val="auto"/>
              </w:rPr>
            </w:pPr>
            <w:r>
              <w:rPr>
                <w:rFonts w:ascii="Arial" w:cs="Arial" w:eastAsia="Arial" w:hAnsi="Arial"/>
                <w:sz w:val="18"/>
                <w:szCs w:val="18"/>
                <w:color w:val="auto"/>
              </w:rPr>
              <w:t>14 x 18 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Storm II</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20" w:type="dxa"/>
            <w:vAlign w:val="bottom"/>
          </w:tcPr>
          <w:p>
            <w:pPr>
              <w:ind w:left="4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garments/hour</w:t>
            </w: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CMYK + White</w:t>
            </w:r>
          </w:p>
        </w:tc>
        <w:tc>
          <w:tcPr>
            <w:tcW w:w="1480" w:type="dxa"/>
            <w:vAlign w:val="bottom"/>
          </w:tcPr>
          <w:p>
            <w:pPr>
              <w:ind w:left="40"/>
              <w:spacing w:after="0"/>
              <w:rPr>
                <w:sz w:val="20"/>
                <w:szCs w:val="20"/>
                <w:color w:val="auto"/>
              </w:rPr>
            </w:pPr>
            <w:r>
              <w:rPr>
                <w:rFonts w:ascii="Arial" w:cs="Arial" w:eastAsia="Arial" w:hAnsi="Arial"/>
                <w:sz w:val="18"/>
                <w:szCs w:val="18"/>
                <w:color w:val="auto"/>
              </w:rPr>
              <w:t>20 x 28 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Avalanche 1000</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20" w:type="dxa"/>
            <w:vAlign w:val="bottom"/>
          </w:tcPr>
          <w:p>
            <w:pPr>
              <w:ind w:left="4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garments/hour</w:t>
            </w: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CMYK + White</w:t>
            </w:r>
          </w:p>
        </w:tc>
        <w:tc>
          <w:tcPr>
            <w:tcW w:w="1480" w:type="dxa"/>
            <w:vAlign w:val="bottom"/>
          </w:tcPr>
          <w:p>
            <w:pPr>
              <w:ind w:left="40"/>
              <w:spacing w:after="0"/>
              <w:rPr>
                <w:sz w:val="20"/>
                <w:szCs w:val="20"/>
                <w:color w:val="auto"/>
              </w:rPr>
            </w:pPr>
            <w:r>
              <w:rPr>
                <w:rFonts w:ascii="Arial" w:cs="Arial" w:eastAsia="Arial" w:hAnsi="Arial"/>
                <w:sz w:val="18"/>
                <w:szCs w:val="18"/>
                <w:color w:val="auto"/>
              </w:rPr>
              <w:t>23.5 x 35 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Avalanche Hexa</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20" w:type="dxa"/>
            <w:vAlign w:val="bottom"/>
          </w:tcPr>
          <w:p>
            <w:pPr>
              <w:ind w:left="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garments/hour</w:t>
            </w: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CMYKRG + White</w:t>
            </w:r>
          </w:p>
        </w:tc>
        <w:tc>
          <w:tcPr>
            <w:tcW w:w="1480" w:type="dxa"/>
            <w:vAlign w:val="bottom"/>
          </w:tcPr>
          <w:p>
            <w:pPr>
              <w:ind w:left="40"/>
              <w:spacing w:after="0"/>
              <w:rPr>
                <w:sz w:val="20"/>
                <w:szCs w:val="20"/>
                <w:color w:val="auto"/>
              </w:rPr>
            </w:pPr>
            <w:r>
              <w:rPr>
                <w:rFonts w:ascii="Arial" w:cs="Arial" w:eastAsia="Arial" w:hAnsi="Arial"/>
                <w:sz w:val="18"/>
                <w:szCs w:val="18"/>
                <w:color w:val="auto"/>
              </w:rPr>
              <w:t>23.5 x 35 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Avalanche DC</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20" w:type="dxa"/>
            <w:vAlign w:val="bottom"/>
          </w:tcPr>
          <w:p>
            <w:pPr>
              <w:ind w:left="4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4"/>
                <w:szCs w:val="24"/>
                <w:color w:val="auto"/>
              </w:rPr>
            </w:pP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CMYK + White + Discharge</w:t>
            </w:r>
          </w:p>
        </w:tc>
        <w:tc>
          <w:tcPr>
            <w:tcW w:w="1480" w:type="dxa"/>
            <w:vAlign w:val="bottom"/>
          </w:tcPr>
          <w:p>
            <w:pPr>
              <w:ind w:left="40"/>
              <w:spacing w:after="0"/>
              <w:rPr>
                <w:sz w:val="20"/>
                <w:szCs w:val="20"/>
                <w:color w:val="auto"/>
              </w:rPr>
            </w:pPr>
            <w:r>
              <w:rPr>
                <w:rFonts w:ascii="Arial" w:cs="Arial" w:eastAsia="Arial" w:hAnsi="Arial"/>
                <w:sz w:val="18"/>
                <w:szCs w:val="18"/>
                <w:color w:val="auto"/>
              </w:rPr>
              <w:t>23.5 x 35 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garments/hour</w:t>
            </w: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ink</w:t>
            </w: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Avalanche</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20" w:type="dxa"/>
            <w:vAlign w:val="bottom"/>
          </w:tcPr>
          <w:p>
            <w:pPr>
              <w:ind w:left="4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garments/hour</w:t>
            </w: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CMYK + White</w:t>
            </w:r>
          </w:p>
        </w:tc>
        <w:tc>
          <w:tcPr>
            <w:tcW w:w="1480" w:type="dxa"/>
            <w:vAlign w:val="bottom"/>
          </w:tcPr>
          <w:p>
            <w:pPr>
              <w:ind w:left="40"/>
              <w:spacing w:after="0"/>
              <w:rPr>
                <w:sz w:val="20"/>
                <w:szCs w:val="20"/>
                <w:color w:val="auto"/>
              </w:rPr>
            </w:pPr>
            <w:r>
              <w:rPr>
                <w:rFonts w:ascii="Arial" w:cs="Arial" w:eastAsia="Arial" w:hAnsi="Arial"/>
                <w:sz w:val="18"/>
                <w:szCs w:val="18"/>
                <w:color w:val="auto"/>
              </w:rPr>
              <w:t>23.5 x 35 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Paradigm II</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20" w:type="dxa"/>
            <w:vAlign w:val="bottom"/>
          </w:tcPr>
          <w:p>
            <w:pPr>
              <w:ind w:left="4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garments/hour</w:t>
            </w: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CMYK</w:t>
            </w:r>
          </w:p>
        </w:tc>
        <w:tc>
          <w:tcPr>
            <w:tcW w:w="1480" w:type="dxa"/>
            <w:vAlign w:val="bottom"/>
          </w:tcPr>
          <w:p>
            <w:pPr>
              <w:ind w:left="40"/>
              <w:spacing w:after="0"/>
              <w:rPr>
                <w:sz w:val="20"/>
                <w:szCs w:val="20"/>
                <w:color w:val="auto"/>
              </w:rPr>
            </w:pPr>
            <w:r>
              <w:rPr>
                <w:rFonts w:ascii="Arial" w:cs="Arial" w:eastAsia="Arial" w:hAnsi="Arial"/>
                <w:sz w:val="18"/>
                <w:szCs w:val="18"/>
                <w:color w:val="auto"/>
              </w:rPr>
              <w:t>15.5 x 19.5 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59</w:t>
            </w: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41" w:right="1440" w:bottom="1440" w:gutter="0" w:footer="0" w:header="0"/>
        </w:sectPr>
      </w:pPr>
    </w:p>
    <w:bookmarkStart w:id="63" w:name="page64"/>
    <w:bookmarkEnd w:id="63"/>
    <w:p>
      <w:pPr>
        <w:ind w:left="120"/>
        <w:spacing w:after="0"/>
        <w:rPr>
          <w:sz w:val="20"/>
          <w:szCs w:val="20"/>
          <w:color w:val="auto"/>
        </w:rPr>
      </w:pPr>
      <w:r>
        <w:rPr>
          <w:rFonts w:ascii="Arial" w:cs="Arial" w:eastAsia="Arial" w:hAnsi="Arial"/>
          <w:sz w:val="18"/>
          <w:szCs w:val="18"/>
          <w:b w:val="1"/>
          <w:bCs w:val="1"/>
          <w:i w:val="1"/>
          <w:iCs w:val="1"/>
          <w:color w:val="auto"/>
        </w:rPr>
        <w:t>Systems under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systems under development consist of a R2R system, the Allegro, and a DTG system, the Vulcan.</w:t>
      </w:r>
    </w:p>
    <w:p>
      <w:pPr>
        <w:spacing w:after="0" w:line="252" w:lineRule="exact"/>
        <w:rPr>
          <w:sz w:val="20"/>
          <w:szCs w:val="20"/>
          <w:color w:val="auto"/>
        </w:rPr>
      </w:pPr>
    </w:p>
    <w:p>
      <w:pPr>
        <w:jc w:val="both"/>
        <w:ind w:left="560" w:right="119" w:hanging="219"/>
        <w:spacing w:after="0" w:line="245" w:lineRule="auto"/>
        <w:tabs>
          <w:tab w:leader="none" w:pos="663" w:val="left"/>
        </w:tabs>
        <w:numPr>
          <w:ilvl w:val="0"/>
          <w:numId w:val="37"/>
        </w:numPr>
        <w:rPr>
          <w:rFonts w:ascii="Arial" w:cs="Arial" w:eastAsia="Arial" w:hAnsi="Arial"/>
          <w:sz w:val="22"/>
          <w:szCs w:val="22"/>
          <w:color w:val="auto"/>
        </w:rPr>
      </w:pPr>
      <w:r>
        <w:rPr>
          <w:rFonts w:ascii="Arial" w:cs="Arial" w:eastAsia="Arial" w:hAnsi="Arial"/>
          <w:sz w:val="18"/>
          <w:szCs w:val="18"/>
          <w:i w:val="1"/>
          <w:iCs w:val="1"/>
          <w:color w:val="auto"/>
        </w:rPr>
        <w:t xml:space="preserve">Allegro. </w:t>
      </w:r>
      <w:r>
        <w:rPr>
          <w:rFonts w:ascii="Arial" w:cs="Arial" w:eastAsia="Arial" w:hAnsi="Arial"/>
          <w:sz w:val="18"/>
          <w:szCs w:val="18"/>
          <w:color w:val="auto"/>
        </w:rPr>
        <w:t>Our Allegro system is the first R2R printing system to allow for one-step R2R printing, while most</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R2R printers require six steps. The Allegro is in beta testing at three customer sites and we are targeting its commercial launch within the next 18 months.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w:t>
      </w:r>
    </w:p>
    <w:p>
      <w:pPr>
        <w:spacing w:after="0" w:line="229" w:lineRule="exact"/>
        <w:rPr>
          <w:rFonts w:ascii="Arial" w:cs="Arial" w:eastAsia="Arial" w:hAnsi="Arial"/>
          <w:sz w:val="22"/>
          <w:szCs w:val="22"/>
          <w:color w:val="auto"/>
        </w:rPr>
      </w:pPr>
    </w:p>
    <w:p>
      <w:pPr>
        <w:jc w:val="both"/>
        <w:ind w:left="560" w:right="119" w:hanging="219"/>
        <w:spacing w:after="0" w:line="262" w:lineRule="auto"/>
        <w:tabs>
          <w:tab w:leader="none" w:pos="690" w:val="left"/>
        </w:tabs>
        <w:numPr>
          <w:ilvl w:val="0"/>
          <w:numId w:val="37"/>
        </w:numPr>
        <w:rPr>
          <w:rFonts w:ascii="Arial" w:cs="Arial" w:eastAsia="Arial" w:hAnsi="Arial"/>
          <w:sz w:val="21"/>
          <w:szCs w:val="21"/>
          <w:i w:val="1"/>
          <w:iCs w:val="1"/>
          <w:color w:val="auto"/>
        </w:rPr>
      </w:pPr>
      <w:r>
        <w:rPr>
          <w:rFonts w:ascii="Arial" w:cs="Arial" w:eastAsia="Arial" w:hAnsi="Arial"/>
          <w:sz w:val="17"/>
          <w:szCs w:val="17"/>
          <w:i w:val="1"/>
          <w:iCs w:val="1"/>
          <w:color w:val="auto"/>
        </w:rPr>
        <w:t>Vulcan</w:t>
      </w:r>
      <w:r>
        <w:rPr>
          <w:rFonts w:ascii="Arial" w:cs="Arial" w:eastAsia="Arial" w:hAnsi="Arial"/>
          <w:sz w:val="17"/>
          <w:szCs w:val="17"/>
          <w:color w:val="auto"/>
        </w:rPr>
        <w:t>. Our Vulcan system is designed to enable mass production of customized garments with high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printing quality. It is designed to run at throughputs higher than any of our existing systems. The system’s architecture takes a different ergonomic approach to the sequence of loading and unloading of garments than that of our existing systems, enabling higher throughputs. We expect to begin beta testing of the Vulcan at customer sites in 2015 and are targeting its commercial launch within the next 24 months.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Ink and Other Consumables</w:t>
      </w:r>
    </w:p>
    <w:p>
      <w:pPr>
        <w:spacing w:after="0" w:line="229" w:lineRule="exact"/>
        <w:rPr>
          <w:sz w:val="20"/>
          <w:szCs w:val="20"/>
          <w:color w:val="auto"/>
        </w:rPr>
      </w:pPr>
    </w:p>
    <w:p>
      <w:pPr>
        <w:jc w:val="both"/>
        <w:ind w:left="120" w:right="119" w:firstLine="216"/>
        <w:spacing w:after="0" w:line="254"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We are also investing in the development of new ink formulas for our new systems and in order to expand the range of fabrics on which we can print and further improve the quality of our high resolution images and designs.</w:t>
      </w:r>
    </w:p>
    <w:p>
      <w:pPr>
        <w:spacing w:after="0" w:line="192"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Integrated Software</w:t>
      </w:r>
    </w:p>
    <w:p>
      <w:pPr>
        <w:spacing w:after="0" w:line="22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All of our systems arrive with our QuickP Production software installed. QuickP Production is a basic interface that allows users to control key operating parameters of our systems, such as ink dots per inch, or DPI, and import image files created using other Ruster Image Processing, or RIP, software. Almost all of our customers also purchase our QuickP Designer software. QuickP Designer is a software package that combines our own internally developed RIP software with other print job management capabilities and allows greater control over the image design process than QuickP Production, such as the ability to resize and reposition images and improve image quality. A single QuickP Designer license can be used to support multiple Kornit systems. We also offer our QuickP Plus 2.0 software suite, which provides customers with a full workflow solution from acceptance of online orders through production via our web application server. QuickP Plus 2.0 is at an early stage of adoption by customers and is currently installed at a few of our customer sites.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Our services consist of maintenance and support, and professional services. We are seeking to increase the number of customers that rely on us to provide services for their systems by expanding our service capabilities.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ectPr>
          <w:pgSz w:w="11900" w:h="16838" w:orient="portrait"/>
          <w:cols w:equalWidth="0" w:num="1">
            <w:col w:w="9019"/>
          </w:cols>
          <w:pgMar w:left="1440" w:top="301"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4" w:name="page65"/>
    <w:bookmarkEnd w:id="64"/>
    <w:p>
      <w:pPr>
        <w:ind w:left="120"/>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225"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color w:val="auto"/>
        </w:rPr>
        <w:t>Our systems include a one-year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225"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Our diverse global customer base consisted of more than 800 customers as of September 30, 2014. Our customers include custom decorators, online businesses, brand owners and contract printers.</w:t>
      </w:r>
    </w:p>
    <w:p>
      <w:pPr>
        <w:spacing w:after="0" w:line="184" w:lineRule="exact"/>
        <w:rPr>
          <w:sz w:val="20"/>
          <w:szCs w:val="20"/>
          <w:color w:val="auto"/>
        </w:rPr>
      </w:pPr>
    </w:p>
    <w:p>
      <w:pPr>
        <w:jc w:val="both"/>
        <w:ind w:left="560" w:right="119" w:hanging="219"/>
        <w:spacing w:after="0" w:line="241" w:lineRule="auto"/>
        <w:tabs>
          <w:tab w:leader="none" w:pos="586" w:val="left"/>
        </w:tabs>
        <w:numPr>
          <w:ilvl w:val="0"/>
          <w:numId w:val="38"/>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Custom Decorators. </w:t>
      </w:r>
      <w:r>
        <w:rPr>
          <w:rFonts w:ascii="Arial" w:cs="Arial" w:eastAsia="Arial" w:hAnsi="Arial"/>
          <w:sz w:val="18"/>
          <w:szCs w:val="18"/>
          <w:color w:val="auto"/>
        </w:rPr>
        <w:t>Our custom decorator customers produce and sell decorated garments, mostly t-shirts. Our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allow custom decorators to produce short to medium runs of high-quality customized garments quickly and efficiently, which enables them to increase average selling prices and margins compared to their screen printed garments.</w:t>
      </w:r>
    </w:p>
    <w:p>
      <w:pPr>
        <w:spacing w:after="0" w:line="216" w:lineRule="exact"/>
        <w:rPr>
          <w:rFonts w:ascii="Arial" w:cs="Arial" w:eastAsia="Arial" w:hAnsi="Arial"/>
          <w:sz w:val="22"/>
          <w:szCs w:val="22"/>
          <w:i w:val="1"/>
          <w:iCs w:val="1"/>
          <w:color w:val="auto"/>
        </w:rPr>
      </w:pPr>
    </w:p>
    <w:p>
      <w:pPr>
        <w:jc w:val="both"/>
        <w:ind w:left="560" w:right="119" w:hanging="219"/>
        <w:spacing w:after="0" w:line="262" w:lineRule="auto"/>
        <w:tabs>
          <w:tab w:leader="none" w:pos="694" w:val="left"/>
        </w:tabs>
        <w:numPr>
          <w:ilvl w:val="0"/>
          <w:numId w:val="38"/>
        </w:numPr>
        <w:rPr>
          <w:rFonts w:ascii="Arial" w:cs="Arial" w:eastAsia="Arial" w:hAnsi="Arial"/>
          <w:sz w:val="21"/>
          <w:szCs w:val="21"/>
          <w:i w:val="1"/>
          <w:iCs w:val="1"/>
          <w:color w:val="auto"/>
        </w:rPr>
      </w:pPr>
      <w:r>
        <w:rPr>
          <w:rFonts w:ascii="Arial" w:cs="Arial" w:eastAsia="Arial" w:hAnsi="Arial"/>
          <w:sz w:val="17"/>
          <w:szCs w:val="17"/>
          <w:i w:val="1"/>
          <w:iCs w:val="1"/>
          <w:color w:val="auto"/>
        </w:rPr>
        <w:t>Online Businesses</w:t>
      </w:r>
      <w:r>
        <w:rPr>
          <w:rFonts w:ascii="Arial" w:cs="Arial" w:eastAsia="Arial" w:hAnsi="Arial"/>
          <w:sz w:val="17"/>
          <w:szCs w:val="17"/>
          <w:color w:val="auto"/>
        </w:rPr>
        <w:t>. The business model of our online business customers is based on “produce to order”</w:t>
      </w:r>
      <w:r>
        <w:rPr>
          <w:rFonts w:ascii="Arial" w:cs="Arial" w:eastAsia="Arial" w:hAnsi="Arial"/>
          <w:sz w:val="17"/>
          <w:szCs w:val="17"/>
          <w:i w:val="1"/>
          <w:iCs w:val="1"/>
          <w:color w:val="auto"/>
        </w:rPr>
        <w:t xml:space="preserve"> </w:t>
      </w:r>
      <w:r>
        <w:rPr>
          <w:rFonts w:ascii="Arial" w:cs="Arial" w:eastAsia="Arial" w:hAnsi="Arial"/>
          <w:sz w:val="17"/>
          <w:szCs w:val="17"/>
          <w:color w:val="auto"/>
        </w:rPr>
        <w:t>garments, often in quantities of one, at high average selling prices and significant margins. Since the online customized apparel business is growing quickly, most of our online business customers serve more than one website and have multiple systems on their production floors. Some of these customers look to us to link them with other users of our systems around the world, to cater to their own global customer base, enabling them to shorten delivery times for the orders they process through their websites. Our systems’ one-step printing process allows these customers to produce customized garments with short setup time.</w:t>
      </w:r>
    </w:p>
    <w:p>
      <w:pPr>
        <w:spacing w:after="0" w:line="211" w:lineRule="exact"/>
        <w:rPr>
          <w:rFonts w:ascii="Arial" w:cs="Arial" w:eastAsia="Arial" w:hAnsi="Arial"/>
          <w:sz w:val="21"/>
          <w:szCs w:val="21"/>
          <w:i w:val="1"/>
          <w:iCs w:val="1"/>
          <w:color w:val="auto"/>
        </w:rPr>
      </w:pPr>
    </w:p>
    <w:p>
      <w:pPr>
        <w:jc w:val="both"/>
        <w:ind w:left="560" w:right="119" w:hanging="219"/>
        <w:spacing w:after="0" w:line="284" w:lineRule="auto"/>
        <w:tabs>
          <w:tab w:leader="none" w:pos="690" w:val="left"/>
        </w:tabs>
        <w:numPr>
          <w:ilvl w:val="0"/>
          <w:numId w:val="38"/>
        </w:numPr>
        <w:rPr>
          <w:rFonts w:ascii="Arial" w:cs="Arial" w:eastAsia="Arial" w:hAnsi="Arial"/>
          <w:sz w:val="19"/>
          <w:szCs w:val="19"/>
          <w:i w:val="1"/>
          <w:iCs w:val="1"/>
          <w:color w:val="auto"/>
        </w:rPr>
      </w:pPr>
      <w:r>
        <w:rPr>
          <w:rFonts w:ascii="Arial" w:cs="Arial" w:eastAsia="Arial" w:hAnsi="Arial"/>
          <w:sz w:val="16"/>
          <w:szCs w:val="16"/>
          <w:i w:val="1"/>
          <w:iCs w:val="1"/>
          <w:color w:val="auto"/>
        </w:rPr>
        <w:t>Brand Owners</w:t>
      </w:r>
      <w:r>
        <w:rPr>
          <w:rFonts w:ascii="Arial" w:cs="Arial" w:eastAsia="Arial" w:hAnsi="Arial"/>
          <w:sz w:val="16"/>
          <w:szCs w:val="16"/>
          <w:color w:val="auto"/>
        </w:rPr>
        <w:t>. Most brand owners use contract printers to produce their garments. Our systems offer an</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to outsourcing in cases where brand owners prefer to handle their production needs in house. Several brand owners that own full or partial production capacity are adopting digital textile printing technology to achieve innovation in design, greater customization and shorter lead times to market, which our systems facilitate.</w:t>
      </w:r>
    </w:p>
    <w:p>
      <w:pPr>
        <w:spacing w:after="0" w:line="182" w:lineRule="exact"/>
        <w:rPr>
          <w:rFonts w:ascii="Arial" w:cs="Arial" w:eastAsia="Arial" w:hAnsi="Arial"/>
          <w:sz w:val="19"/>
          <w:szCs w:val="19"/>
          <w:i w:val="1"/>
          <w:iCs w:val="1"/>
          <w:color w:val="auto"/>
        </w:rPr>
      </w:pPr>
    </w:p>
    <w:p>
      <w:pPr>
        <w:jc w:val="both"/>
        <w:ind w:left="560" w:right="119" w:hanging="219"/>
        <w:spacing w:after="0" w:line="245" w:lineRule="auto"/>
        <w:tabs>
          <w:tab w:leader="none" w:pos="572" w:val="left"/>
        </w:tabs>
        <w:numPr>
          <w:ilvl w:val="0"/>
          <w:numId w:val="38"/>
        </w:numPr>
        <w:rPr>
          <w:rFonts w:ascii="Arial" w:cs="Arial" w:eastAsia="Arial" w:hAnsi="Arial"/>
          <w:sz w:val="22"/>
          <w:szCs w:val="22"/>
          <w:i w:val="1"/>
          <w:iCs w:val="1"/>
          <w:color w:val="auto"/>
        </w:rPr>
      </w:pPr>
      <w:r>
        <w:rPr>
          <w:rFonts w:ascii="Arial" w:cs="Arial" w:eastAsia="Arial" w:hAnsi="Arial"/>
          <w:sz w:val="18"/>
          <w:szCs w:val="18"/>
          <w:i w:val="1"/>
          <w:iCs w:val="1"/>
          <w:color w:val="auto"/>
        </w:rPr>
        <w:t>Contract Printers</w:t>
      </w:r>
      <w:r>
        <w:rPr>
          <w:rFonts w:ascii="Arial" w:cs="Arial" w:eastAsia="Arial" w:hAnsi="Arial"/>
          <w:sz w:val="18"/>
          <w:szCs w:val="18"/>
          <w:color w:val="auto"/>
        </w:rPr>
        <w:t>. Contract printers are high volume producers that are seeking industrial scale and cost-effective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printing solutions. They provide printing services to brand owners and high-end garment manufacturers and primarily use analog printing technologies. Our contract printer customers typically purchase our Avalanche family of products for high productivity as well as our Paradigm II DTG system, which allows them to combine complex images and designs with multiple embellishment effects, such as glitter, silicon, gel and burnout, into their ordinary screen printed textiles.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Our go to market strategy consists of a hybrid model of indirect and direct sales. We sell the majority of our solutions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September 30, 2014, our global network of channel partners consisted of approximately 50 independent distributors and resellers. Sales by our distributors accounted for approximately 72% of our revenues during the nine months ended September 30, 2014 and approximately 63% in 2013. In addition to working closely with our channel partners, our direct sales force engages in direct sales in certain geographies, and also with our largest customers, irrespective of their location.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5" w:name="page66"/>
    <w:bookmarkEnd w:id="65"/>
    <w:p>
      <w:pPr>
        <w:jc w:val="both"/>
        <w:ind w:left="120" w:right="119" w:firstLine="216"/>
        <w:spacing w:after="0" w:line="287" w:lineRule="auto"/>
        <w:rPr>
          <w:sz w:val="20"/>
          <w:szCs w:val="20"/>
          <w:color w:val="auto"/>
        </w:rPr>
      </w:pPr>
      <w:r>
        <w:rPr>
          <w:rFonts w:ascii="Arial" w:cs="Arial" w:eastAsia="Arial" w:hAnsi="Arial"/>
          <w:sz w:val="16"/>
          <w:szCs w:val="16"/>
          <w:color w:val="auto"/>
        </w:rPr>
        <w:t>The substantial majority of our sales in North America are performed through independent distributors. Hirsch International Corporation and SPSI, Inc. were our top two independent distributors by revenues in 2013 and during the nine months ended September 30, 2014, accounting for 20% and 24% of our revenues in each such period in the case of Hirsch, and 13% and 16% of our revenues in each such period in the case of SPSI, respectively. We entered into distributor agreements with Hirsch and SPSI, dated April 1, 2014, each with an initial term of three years, which will renew 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as well as five Canadian provinces. Our agreement with SPSI is a non-exclusive distribution contract across the United States, including 20 states mainly in the Midwest, Northwest, and Southwest regions. For both distributors, we maintain projected sales plans for a number of different print systems on a yearly basis and there is a minimum yearly sales requirement for systems and ink and other consumables.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82" w:lineRule="exact"/>
        <w:rPr>
          <w:sz w:val="20"/>
          <w:szCs w:val="20"/>
          <w:color w:val="auto"/>
        </w:rPr>
      </w:pPr>
    </w:p>
    <w:p>
      <w:pPr>
        <w:jc w:val="both"/>
        <w:ind w:left="120" w:right="119" w:firstLine="216"/>
        <w:spacing w:after="0" w:line="254" w:lineRule="auto"/>
        <w:rPr>
          <w:sz w:val="20"/>
          <w:szCs w:val="20"/>
          <w:color w:val="auto"/>
        </w:rPr>
      </w:pPr>
      <w:r>
        <w:rPr>
          <w:rFonts w:ascii="Arial" w:cs="Arial" w:eastAsia="Arial" w:hAnsi="Arial"/>
          <w:sz w:val="18"/>
          <w:szCs w:val="18"/>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The majority of our systems are assembled by ITS Industrial Techno Logic Solutions Ltd., or ITS, at its facilities in Kfar Saba, Israel. A portion of our systems are assembled by IFAT Technologies Ltd., or Ifat, at its facilities in Rehovot, Israel. Aside from our print heads, we source most of the components of our systems directly, which we believe allows us to manage our material costs and take advantage of the overall volume of systems manufactured at both facilities without the overhead of having in house manufacturing.</w:t>
      </w:r>
    </w:p>
    <w:p>
      <w:pPr>
        <w:spacing w:after="0" w:line="188"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Prices are set forth in the agreement and are determined separately with respect to the printers, services and raw materials.</w:t>
      </w:r>
    </w:p>
    <w:p>
      <w:pPr>
        <w:spacing w:after="0" w:line="178"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Ifat manufactures some of our Avalanche systems and our Breeze, Thunder and Paradigm II systems on a purchase order basis in accordance with our bill of materials, drawings and designs.</w:t>
      </w:r>
    </w:p>
    <w:p>
      <w:pPr>
        <w:spacing w:after="0" w:line="170"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We produce and bottle our ink and other consumables at our facility in Kiryat Gat, Israel using raw materials purchased from various suppliers for milling pigments and mixing, bottling and packaging.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120"/>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225"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71"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6"/>
          <w:szCs w:val="16"/>
          <w:color w:val="auto"/>
        </w:rPr>
        <w:t>The print heads for our systems are supplied by a sole supplier, FDMX. We entered into an agreement with FDMX, dated January 6, 2006, as amended, pursuant to which FDMX sells us print heads and additional by-products, including ink.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and other consumables, other than inks and other consumables sold by FDMX, that we sell over a relevant period or, if we do not sell ink and other consumables, a payment based on sales of our systems. The agreement renews automatically for successive one-year periods unless one party notifies the other party that it does not wish to renew the agreement by providing 90 days’ notice prior to the end of the current term, which ends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75"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170"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Factors—If our relationships with suppliers, especially with single source suppliers of components, were to terminate, our business could be harmed.”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Our current research and development efforts are primarily focused on completing the development of our Vulcan DTG printing system, which is positioned to be the first mass customization DTG printer. Our efforts are also focused on the Allegro R2R system, which is currently in beta testing at three customer sites and takes advantage of our patented wet-on-wet printing methodology to allow printing on rolls of textiles of various fabrics, without requiring a separate pre-treatment process or use of textiles that are specifically designed for digital printing. We are also focused on enhancing our current DTG systems with new features and functionality, improving system reliability and uptime and making our systems even more user-friendly, and investing in new chemistry for broadening our span of applications.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7"/>
          <w:szCs w:val="17"/>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66"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As of December 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The principal granted patents relate to our wet-on-wet printing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jc w:val="both"/>
        <w:ind w:left="120" w:right="119"/>
        <w:spacing w:after="0" w:line="277" w:lineRule="auto"/>
        <w:rPr>
          <w:sz w:val="20"/>
          <w:szCs w:val="20"/>
          <w:color w:val="auto"/>
        </w:rPr>
      </w:pPr>
      <w:r>
        <w:rPr>
          <w:rFonts w:ascii="Arial" w:cs="Arial" w:eastAsia="Arial" w:hAnsi="Arial"/>
          <w:sz w:val="18"/>
          <w:szCs w:val="18"/>
          <w:color w:val="auto"/>
        </w:rPr>
        <w:t>methodology, ink formulations, printing processes and related methods and systems, with expiration dates ranging from 2020 to 2035.</w:t>
      </w:r>
    </w:p>
    <w:p>
      <w:pPr>
        <w:spacing w:after="0" w:line="170"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88"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In addition, we own the registered trademarks “KORNIT” and “NEOPIGMENT” and make use of a number of additional unregistered trademarks.</w:t>
      </w:r>
    </w:p>
    <w:p>
      <w:pPr>
        <w:spacing w:after="0" w:line="170"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Infrastructure</w:t>
      </w:r>
    </w:p>
    <w:p>
      <w:pPr>
        <w:spacing w:after="0" w:line="22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Our corporate headquarters are located in Rosh-Ha`Ayin, Israel in an office consisting of approximately 40,000 square feet. The lease for this office expires in August 2016. In Israel, we also lease a manufacturing facility in Kiryat Gat, which consists of approximately 15,000 square feet. The lease for the Kiryat Gat manufacturing facility expires on May 30, 2015, and we have an option to lease this facility for an additional three years.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Our U.S. offices are located in Mequon, Wisconsin, consisting of approximately 12,000 square feet. The leases for this office expires in June 2018. We maintain additional sales, support and marketing offices in Germany and Hong Kong.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We are subject to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In Israel, where we manufacture our ink and other consumables, businesses storing or using certain hazardous materials, including materials necessary for our manufacturing process, are required, pursuant to the Israeli Dangerous Substances Law 5753-1993, to obtain a toxin permit from the Ministry of Environmental Protection. We hold a valid toxin permit for use of chemicals that will remain in effect until October 14, 2016. Our activities also require permits from various governmental authorities including, local municipal authorities, such as planning and zoning authorities, and the Ministry of Health.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jc w:val="both"/>
        <w:ind w:left="120" w:right="119" w:firstLine="216"/>
        <w:spacing w:after="0" w:line="276" w:lineRule="auto"/>
        <w:rPr>
          <w:sz w:val="20"/>
          <w:szCs w:val="20"/>
          <w:color w:val="auto"/>
        </w:rPr>
      </w:pPr>
      <w:r>
        <w:rPr>
          <w:rFonts w:ascii="Arial" w:cs="Arial" w:eastAsia="Arial" w:hAnsi="Arial"/>
          <w:sz w:val="17"/>
          <w:szCs w:val="17"/>
          <w:color w:val="auto"/>
        </w:rPr>
        <w:t>Based on information currently available to us, we do not expect environmental costs and contingencies to have a material adverse effect on our business or operations. To our knowledge, all of our facilities, operations, systems and ink and other consumables comply with the environmental laws, regulations and standards to which they are subject. The operation of our facilities, however, entails risks and significant expenditures could be required in the future to comply with environmental or health and safety laws, regulations or requirements.</w:t>
      </w:r>
    </w:p>
    <w:p>
      <w:pPr>
        <w:spacing w:after="0" w:line="173" w:lineRule="exact"/>
        <w:rPr>
          <w:sz w:val="20"/>
          <w:szCs w:val="20"/>
          <w:color w:val="auto"/>
        </w:rPr>
      </w:pPr>
    </w:p>
    <w:p>
      <w:pPr>
        <w:jc w:val="both"/>
        <w:ind w:left="120" w:right="119" w:firstLine="216"/>
        <w:spacing w:after="0" w:line="290" w:lineRule="auto"/>
        <w:rPr>
          <w:sz w:val="20"/>
          <w:szCs w:val="20"/>
          <w:color w:val="auto"/>
        </w:rPr>
      </w:pPr>
      <w:r>
        <w:rPr>
          <w:rFonts w:ascii="Arial" w:cs="Arial" w:eastAsia="Arial" w:hAnsi="Arial"/>
          <w:sz w:val="16"/>
          <w:szCs w:val="16"/>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systems and certain components of such systems “put on the market” in the EU (whether or not manufactured in the EU) are subject to these directives. Additionally, we are required to comply with certain laws, regulations and directives, including TSCA in the United States and REACH in the EU, governing chemicals. These and similar laws and regulations require the testing and registration of certain chemicals we use and ship. We continuously monitor changes to these regulations and work to address such developments.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Corporate Structure</w:t>
      </w:r>
    </w:p>
    <w:p>
      <w:pPr>
        <w:spacing w:after="0" w:line="229"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Our legal name is Kornit Digital Ltd. We were formed as a company under the laws of the State of Israel on January 16, 2002.</w:t>
      </w:r>
    </w:p>
    <w:p>
      <w:pPr>
        <w:spacing w:after="0" w:line="170"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Our corporate structure consists of Kornit Digital Ltd., our Israeli parent company, and four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and (4) Kornit Digital Asia Pacific Limited, which was incorporated on November 18, 2009 under the laws of Hong Kong.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As of September 30, 2014, we had 254 employees and subcontractors with 169 located in Israel, 38 in the United States, 23 in Germany and 24 in Hong Kong. The following table shows the breakdown of our workforce of employees and subcontractors by category of activity as of the dates indicated:</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As of December 31,</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880" w:type="dxa"/>
            <w:vAlign w:val="bottom"/>
            <w:gridSpan w:val="3"/>
          </w:tcPr>
          <w:p>
            <w:pPr>
              <w:spacing w:after="0"/>
              <w:rPr>
                <w:sz w:val="20"/>
                <w:szCs w:val="20"/>
                <w:color w:val="auto"/>
              </w:rPr>
            </w:pPr>
            <w:r>
              <w:rPr>
                <w:rFonts w:ascii="Arial" w:cs="Arial" w:eastAsia="Arial" w:hAnsi="Arial"/>
                <w:sz w:val="16"/>
                <w:szCs w:val="16"/>
                <w:b w:val="1"/>
                <w:bCs w:val="1"/>
                <w:color w:val="auto"/>
              </w:rPr>
              <w:t>Area of Activity</w:t>
            </w:r>
          </w:p>
        </w:tc>
        <w:tc>
          <w:tcPr>
            <w:tcW w:w="9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2011</w:t>
            </w:r>
          </w:p>
        </w:tc>
        <w:tc>
          <w:tcPr>
            <w:tcW w:w="12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500" w:type="dxa"/>
            <w:vAlign w:val="bottom"/>
            <w:gridSpan w:val="2"/>
          </w:tcPr>
          <w:p>
            <w:pPr>
              <w:jc w:val="center"/>
              <w:ind w:left="7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120" w:right="119" w:firstLine="216"/>
        <w:spacing w:after="0" w:line="253" w:lineRule="auto"/>
        <w:rPr>
          <w:sz w:val="20"/>
          <w:szCs w:val="20"/>
          <w:color w:val="auto"/>
        </w:rPr>
      </w:pPr>
      <w:r>
        <w:rPr>
          <w:rFonts w:ascii="Arial" w:cs="Arial" w:eastAsia="Arial" w:hAnsi="Arial"/>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jc w:val="both"/>
        <w:ind w:left="120" w:right="119" w:firstLine="216"/>
        <w:spacing w:after="0" w:line="277" w:lineRule="auto"/>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currently a party to any material litigation. Regardless of the outcome, litigation can have an adverse impact on us because of defense and settlement costs, diversion of management resources and other factors.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MANAGEMENT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11"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64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4220" w:type="dxa"/>
            <w:vAlign w:val="bottom"/>
          </w:tcPr>
          <w:p>
            <w:pPr>
              <w:ind w:left="1800"/>
              <w:spacing w:after="0"/>
              <w:rPr>
                <w:sz w:val="20"/>
                <w:szCs w:val="20"/>
                <w:color w:val="auto"/>
              </w:rPr>
            </w:pPr>
            <w:r>
              <w:rPr>
                <w:rFonts w:ascii="Arial" w:cs="Arial" w:eastAsia="Arial" w:hAnsi="Arial"/>
                <w:sz w:val="18"/>
                <w:szCs w:val="18"/>
                <w:b w:val="1"/>
                <w:bCs w:val="1"/>
                <w:color w:val="auto"/>
              </w:rPr>
              <w:t>Position</w:t>
            </w:r>
          </w:p>
        </w:tc>
      </w:tr>
      <w:tr>
        <w:trPr>
          <w:trHeight w:val="54"/>
        </w:trPr>
        <w:tc>
          <w:tcPr>
            <w:tcW w:w="3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8"/>
                <w:szCs w:val="18"/>
                <w:i w:val="1"/>
                <w:iCs w:val="1"/>
                <w:color w:val="auto"/>
              </w:rPr>
              <w:t>Executive Officers</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20" w:type="dxa"/>
            <w:vAlign w:val="bottom"/>
          </w:tcPr>
          <w:p>
            <w:pPr>
              <w:spacing w:after="0"/>
              <w:rPr>
                <w:sz w:val="22"/>
                <w:szCs w:val="22"/>
                <w:color w:val="auto"/>
              </w:rPr>
            </w:pP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Gabi Seligsohn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Ofer Ben-Zur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President, Chief Technology Officer and 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Guy Avidan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Sarel Ashkenazy</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Executive Vice President of Sales</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Ofer Sandelson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Chief Operating Officer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Guy Zimmerman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w w:val="97"/>
              </w:rPr>
              <w:t>Vice President of Marketing &amp; Business Development</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Oded Kraft</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Vice President of Products</w:t>
            </w:r>
          </w:p>
        </w:tc>
      </w:tr>
      <w:tr>
        <w:trPr>
          <w:trHeight w:val="702"/>
        </w:trPr>
        <w:tc>
          <w:tcPr>
            <w:tcW w:w="3900" w:type="dxa"/>
            <w:vAlign w:val="bottom"/>
            <w:gridSpan w:val="2"/>
          </w:tcPr>
          <w:p>
            <w:pPr>
              <w:ind w:left="40"/>
              <w:spacing w:after="0"/>
              <w:rPr>
                <w:sz w:val="20"/>
                <w:szCs w:val="20"/>
                <w:color w:val="auto"/>
              </w:rPr>
            </w:pPr>
            <w:r>
              <w:rPr>
                <w:rFonts w:ascii="Arial" w:cs="Arial" w:eastAsia="Arial" w:hAnsi="Arial"/>
                <w:sz w:val="18"/>
                <w:szCs w:val="18"/>
                <w:i w:val="1"/>
                <w:iCs w:val="1"/>
                <w:color w:val="auto"/>
              </w:rPr>
              <w:t>Directors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Yuval Cohen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Eli Blatt</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Yoav Hineman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Marc Lesnick</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Moshe Nur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Joshua Maor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i w:val="1"/>
          <w:iCs w:val="1"/>
          <w:color w:val="auto"/>
        </w:rPr>
        <w:t xml:space="preserve">Gabi Seligsohn </w:t>
      </w:r>
      <w:r>
        <w:rPr>
          <w:rFonts w:ascii="Arial" w:cs="Arial" w:eastAsia="Arial" w:hAnsi="Arial"/>
          <w:sz w:val="17"/>
          <w:szCs w:val="17"/>
          <w:color w:val="auto"/>
        </w:rPr>
        <w:t>has served as our Chief Executive Officer since April 2014. From August 2006 until August 2013,</w:t>
      </w:r>
      <w:r>
        <w:rPr>
          <w:rFonts w:ascii="Arial" w:cs="Arial" w:eastAsia="Arial" w:hAnsi="Arial"/>
          <w:sz w:val="17"/>
          <w:szCs w:val="17"/>
          <w:i w:val="1"/>
          <w:iCs w:val="1"/>
          <w:color w:val="auto"/>
        </w:rPr>
        <w:t xml:space="preserve"> </w:t>
      </w:r>
      <w:r>
        <w:rPr>
          <w:rFonts w:ascii="Arial" w:cs="Arial" w:eastAsia="Arial" w:hAnsi="Arial"/>
          <w:sz w:val="17"/>
          <w:szCs w:val="17"/>
          <w:color w:val="auto"/>
        </w:rPr>
        <w:t>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88" w:lineRule="exact"/>
        <w:rPr>
          <w:sz w:val="20"/>
          <w:szCs w:val="20"/>
          <w:color w:val="auto"/>
        </w:rPr>
      </w:pPr>
    </w:p>
    <w:p>
      <w:pPr>
        <w:jc w:val="both"/>
        <w:ind w:left="120" w:right="119" w:firstLine="216"/>
        <w:spacing w:after="0" w:line="290" w:lineRule="auto"/>
        <w:rPr>
          <w:sz w:val="20"/>
          <w:szCs w:val="20"/>
          <w:color w:val="auto"/>
        </w:rPr>
      </w:pPr>
      <w:r>
        <w:rPr>
          <w:rFonts w:ascii="Arial" w:cs="Arial" w:eastAsia="Arial" w:hAnsi="Arial"/>
          <w:sz w:val="16"/>
          <w:szCs w:val="16"/>
          <w:i w:val="1"/>
          <w:iCs w:val="1"/>
          <w:color w:val="auto"/>
        </w:rPr>
        <w:t xml:space="preserve">Ofer Ben-Zur </w:t>
      </w:r>
      <w:r>
        <w:rPr>
          <w:rFonts w:ascii="Arial" w:cs="Arial" w:eastAsia="Arial" w:hAnsi="Arial"/>
          <w:sz w:val="16"/>
          <w:szCs w:val="16"/>
          <w:color w:val="auto"/>
        </w:rPr>
        <w:t>is a co-founder of our company and has served as our President and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2014 and a director since 2002.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66"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i w:val="1"/>
          <w:iCs w:val="1"/>
          <w:color w:val="auto"/>
        </w:rPr>
        <w:t xml:space="preserve">Guy Avidan </w:t>
      </w:r>
      <w:r>
        <w:rPr>
          <w:rFonts w:ascii="Arial" w:cs="Arial" w:eastAsia="Arial" w:hAnsi="Arial"/>
          <w:sz w:val="18"/>
          <w:szCs w:val="18"/>
          <w:color w:val="auto"/>
        </w:rPr>
        <w:t>has served as our Chief Financial Officer since November 2014. From July 2010 until November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Avidan served as Vice President of Finance and Chief Executive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w:t>
      </w:r>
    </w:p>
    <w:p>
      <w:pPr>
        <w:sectPr>
          <w:pgSz w:w="11900" w:h="16838" w:orient="portrait"/>
          <w:cols w:equalWidth="0" w:num="1">
            <w:col w:w="9019"/>
          </w:cols>
          <w:pgMar w:left="1440" w:top="33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1" w:name="page72"/>
    <w:bookmarkEnd w:id="71"/>
    <w:p>
      <w:pPr>
        <w:jc w:val="both"/>
        <w:ind w:left="120" w:right="119"/>
        <w:spacing w:after="0" w:line="264" w:lineRule="auto"/>
        <w:rPr>
          <w:sz w:val="20"/>
          <w:szCs w:val="20"/>
          <w:color w:val="auto"/>
        </w:rPr>
      </w:pPr>
      <w:r>
        <w:rPr>
          <w:rFonts w:ascii="Arial" w:cs="Arial" w:eastAsia="Arial" w:hAnsi="Arial"/>
          <w:sz w:val="18"/>
          <w:szCs w:val="18"/>
          <w:color w:val="auto"/>
        </w:rPr>
        <w:t>Mr. Avidan served as Vice President of Finance and Chief Financial Officer of Ace North Hills, which was acquired by MRV Communications. Mr. Avidan is a CPA in Israel and holds a B.A. in Economics and Accounting from Haifa University in Israel.</w:t>
      </w:r>
    </w:p>
    <w:p>
      <w:pPr>
        <w:spacing w:after="0" w:line="181" w:lineRule="exact"/>
        <w:rPr>
          <w:sz w:val="20"/>
          <w:szCs w:val="20"/>
          <w:color w:val="auto"/>
        </w:rPr>
      </w:pPr>
    </w:p>
    <w:p>
      <w:pPr>
        <w:jc w:val="both"/>
        <w:ind w:left="120" w:right="119" w:firstLine="216"/>
        <w:spacing w:after="0" w:line="293" w:lineRule="auto"/>
        <w:rPr>
          <w:sz w:val="20"/>
          <w:szCs w:val="20"/>
          <w:color w:val="auto"/>
        </w:rPr>
      </w:pPr>
      <w:r>
        <w:rPr>
          <w:rFonts w:ascii="Arial" w:cs="Arial" w:eastAsia="Arial" w:hAnsi="Arial"/>
          <w:sz w:val="16"/>
          <w:szCs w:val="16"/>
          <w:i w:val="1"/>
          <w:iCs w:val="1"/>
          <w:color w:val="auto"/>
        </w:rPr>
        <w:t xml:space="preserve">Sarel Ashkenazy </w:t>
      </w:r>
      <w:r>
        <w:rPr>
          <w:rFonts w:ascii="Arial" w:cs="Arial" w:eastAsia="Arial" w:hAnsi="Arial"/>
          <w:sz w:val="16"/>
          <w:szCs w:val="16"/>
          <w:color w:val="auto"/>
        </w:rPr>
        <w:t>has served as our Executive Vice President of Sales since April 2014. From August 2004 to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2014, Mr. Ashkenazy was our Manager of Business Development and Marketing and responsible for sales and marketing, as well as establishing and expanding our distributor network and business development. From 1999 until 2003, prior to joining our company, Mr. Ashkenazy served as Marketing Director for Image ID, a provider of Automatic Identification and Data Capture (AIDC) solutions based on imaging technology and sophisticated algorithms. Mr. Ashkenazy holds a B.B. degree in Business Management and Economics from the College of Management in Israel.</w:t>
      </w:r>
    </w:p>
    <w:p>
      <w:pPr>
        <w:spacing w:after="0" w:line="165"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i w:val="1"/>
          <w:iCs w:val="1"/>
          <w:color w:val="auto"/>
        </w:rPr>
        <w:t xml:space="preserve">Ofer Sandelson </w:t>
      </w:r>
      <w:r>
        <w:rPr>
          <w:rFonts w:ascii="Arial" w:cs="Arial" w:eastAsia="Arial" w:hAnsi="Arial"/>
          <w:sz w:val="17"/>
          <w:szCs w:val="17"/>
          <w:color w:val="auto"/>
        </w:rPr>
        <w:t>has served as our Chief Operating Officer since July 2013.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Sandelson served as Chief Executive 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183"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i w:val="1"/>
          <w:iCs w:val="1"/>
          <w:color w:val="auto"/>
        </w:rPr>
        <w:t xml:space="preserve">Guy Zimmerman </w:t>
      </w:r>
      <w:r>
        <w:rPr>
          <w:rFonts w:ascii="Arial" w:cs="Arial" w:eastAsia="Arial" w:hAnsi="Arial"/>
          <w:sz w:val="17"/>
          <w:szCs w:val="17"/>
          <w:color w:val="auto"/>
        </w:rPr>
        <w:t>has served as our Vice President of Marketing and Business Development since April 2013. From</w:t>
      </w:r>
      <w:r>
        <w:rPr>
          <w:rFonts w:ascii="Arial" w:cs="Arial" w:eastAsia="Arial" w:hAnsi="Arial"/>
          <w:sz w:val="17"/>
          <w:szCs w:val="17"/>
          <w:i w:val="1"/>
          <w:iCs w:val="1"/>
          <w:color w:val="auto"/>
        </w:rPr>
        <w:t xml:space="preserve"> </w:t>
      </w:r>
      <w:r>
        <w:rPr>
          <w:rFonts w:ascii="Arial" w:cs="Arial" w:eastAsia="Arial" w:hAnsi="Arial"/>
          <w:sz w:val="17"/>
          <w:szCs w:val="17"/>
          <w:color w:val="auto"/>
        </w:rPr>
        <w:t>2010 to April 2013, Mr. 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179"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i w:val="1"/>
          <w:iCs w:val="1"/>
          <w:color w:val="auto"/>
        </w:rPr>
        <w:t xml:space="preserve">Oded Kraft </w:t>
      </w:r>
      <w:r>
        <w:rPr>
          <w:rFonts w:ascii="Arial" w:cs="Arial" w:eastAsia="Arial" w:hAnsi="Arial"/>
          <w:sz w:val="17"/>
          <w:szCs w:val="17"/>
          <w:color w:val="auto"/>
        </w:rPr>
        <w:t>has served as our Vice President of Products since September 2014. From January 2013 to April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Kraft managed a portfolio of several businesses within the Diabetes Care Division of Roche in Germany. From 2008 to December 2012, he was the Vice President of Products at Medingo, a medical devices company, which was acquired by Roche GmbH in 2010. From 2001 to 2008, Mr. Kraft worked at GE Healthcare Nuclear Medicine division, serving as a Global Segment Leader from 2005 to 2008 and System Architect from 2002 to 2005. Mr. Kraft served in the Israel Defense Forces in an intelligence technology unit for seven years, finishing with the rank of captain and serving part of the time in the United States with a U.S. defense contractor. Mr. Kraft holds a B.Sc. in Electrical Engineering and M.B.A. from Technion-Israel Institute of Technology in Israel.</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i w:val="1"/>
          <w:iCs w:val="1"/>
          <w:color w:val="auto"/>
        </w:rPr>
        <w:t xml:space="preserve">Yuval Cohen </w:t>
      </w:r>
      <w:r>
        <w:rPr>
          <w:rFonts w:ascii="Arial" w:cs="Arial" w:eastAsia="Arial" w:hAnsi="Arial"/>
          <w:sz w:val="17"/>
          <w:szCs w:val="17"/>
          <w:color w:val="auto"/>
        </w:rPr>
        <w:t>has served as the Chairman of our board of directors since August 2011. Mr. Cohen is the founding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of Fortissimo 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the chairman of the board of directors of SodaStream International Ltd. (NASDAQ: SODA) and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78" w:lineRule="exact"/>
        <w:rPr>
          <w:sz w:val="20"/>
          <w:szCs w:val="20"/>
          <w:color w:val="auto"/>
        </w:rPr>
      </w:pPr>
    </w:p>
    <w:p>
      <w:pPr>
        <w:jc w:val="both"/>
        <w:ind w:left="120" w:right="119" w:firstLine="216"/>
        <w:spacing w:after="0" w:line="302" w:lineRule="auto"/>
        <w:rPr>
          <w:sz w:val="20"/>
          <w:szCs w:val="20"/>
          <w:color w:val="auto"/>
        </w:rPr>
      </w:pPr>
      <w:r>
        <w:rPr>
          <w:rFonts w:ascii="Arial" w:cs="Arial" w:eastAsia="Arial" w:hAnsi="Arial"/>
          <w:sz w:val="16"/>
          <w:szCs w:val="16"/>
          <w:i w:val="1"/>
          <w:iCs w:val="1"/>
          <w:color w:val="auto"/>
        </w:rPr>
        <w:t xml:space="preserve">Eli Blatt </w:t>
      </w:r>
      <w:r>
        <w:rPr>
          <w:rFonts w:ascii="Arial" w:cs="Arial" w:eastAsia="Arial" w:hAnsi="Arial"/>
          <w:sz w:val="16"/>
          <w:szCs w:val="16"/>
          <w:color w:val="auto"/>
        </w:rPr>
        <w:t>has served as a member of our board of directors since August 2011. Mr. Blatt joined Fortissimo Capital in</w:t>
      </w:r>
      <w:r>
        <w:rPr>
          <w:rFonts w:ascii="Arial" w:cs="Arial" w:eastAsia="Arial" w:hAnsi="Arial"/>
          <w:sz w:val="16"/>
          <w:szCs w:val="16"/>
          <w:i w:val="1"/>
          <w:iCs w:val="1"/>
          <w:color w:val="auto"/>
        </w:rPr>
        <w:t xml:space="preserve"> </w:t>
      </w:r>
      <w:r>
        <w:rPr>
          <w:rFonts w:ascii="Arial" w:cs="Arial" w:eastAsia="Arial" w:hAnsi="Arial"/>
          <w:sz w:val="16"/>
          <w:szCs w:val="16"/>
          <w:color w:val="auto"/>
        </w:rPr>
        <w:t>2004. From March 1999 to May 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jc w:val="both"/>
        <w:ind w:left="120" w:right="119"/>
        <w:spacing w:after="0" w:line="286" w:lineRule="auto"/>
        <w:rPr>
          <w:sz w:val="20"/>
          <w:szCs w:val="20"/>
          <w:color w:val="auto"/>
        </w:rPr>
      </w:pPr>
      <w:r>
        <w:rPr>
          <w:rFonts w:ascii="Arial" w:cs="Arial" w:eastAsia="Arial" w:hAnsi="Arial"/>
          <w:sz w:val="17"/>
          <w:szCs w:val="17"/>
          <w:color w:val="auto"/>
        </w:rPr>
        <w:t>(NASDAQ: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66"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i w:val="1"/>
          <w:iCs w:val="1"/>
          <w:color w:val="auto"/>
        </w:rPr>
        <w:t xml:space="preserve">Yoav Hineman </w:t>
      </w:r>
      <w:r>
        <w:rPr>
          <w:rFonts w:ascii="Arial" w:cs="Arial" w:eastAsia="Arial" w:hAnsi="Arial"/>
          <w:sz w:val="18"/>
          <w:szCs w:val="18"/>
          <w:color w:val="auto"/>
        </w:rPr>
        <w:t>has served as a member of our board of directors since August 2011. Mr. Hineman joined Fortissimo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in January 2009. From 2006 to 2009, Mr. Hineman was a Managing Director of Magnolia Capital, the Israeli arm of Thomas Weisel Partners. From 2004 to 2006 prior to joining Magnolia Capital, Mr. Hineman was a Software Analyst at SG Cowen &amp; Co., covering infrastructure software companies. From 2000 to 2004, Mr. Hineman was an associate at SoundView Technology Group. Currently, Mr. Hineman serves on the board of directors of several privately held portfolio companies of Fortissimo Capital. Mr. Hineman holds a B.S. in Business Administration from University of California, Berkeley Haas School of Business in California.</w:t>
      </w:r>
    </w:p>
    <w:p>
      <w:pPr>
        <w:spacing w:after="0" w:line="189"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i w:val="1"/>
          <w:iCs w:val="1"/>
          <w:color w:val="auto"/>
        </w:rPr>
        <w:t xml:space="preserve">Marc Lesnick </w:t>
      </w:r>
      <w:r>
        <w:rPr>
          <w:rFonts w:ascii="Arial" w:cs="Arial" w:eastAsia="Arial" w:hAnsi="Arial"/>
          <w:sz w:val="17"/>
          <w:szCs w:val="17"/>
          <w:color w:val="auto"/>
        </w:rPr>
        <w:t>has served as a member of our board of directors since August 2011. Mr. Lesnick joined Fortissimo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2004. From 2001 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79"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i w:val="1"/>
          <w:iCs w:val="1"/>
          <w:color w:val="auto"/>
        </w:rPr>
        <w:t xml:space="preserve">Moshe Nur </w:t>
      </w:r>
      <w:r>
        <w:rPr>
          <w:rFonts w:ascii="Arial" w:cs="Arial" w:eastAsia="Arial" w:hAnsi="Arial"/>
          <w:sz w:val="17"/>
          <w:szCs w:val="17"/>
          <w:color w:val="auto"/>
        </w:rPr>
        <w:t>has served as a member of the board of directors of our company since January 2002 and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our board of directors as well as a member of the compensation committee until 2012. Mr. Nur is also the Chief Executive Officer of Nur Star Media Ltd., a leading Israeli company specializing in billboards, as well as the chairman of the board of directors of Yahel (Nur Group) Holdings Ltd., a company holding a number of different investments in a range of industries. None of such investments are in companies that are or may be competitors, customers or suppliers of us. In addition, Mr. Nur is the chairman of the board of directors of Outform Ltd., a manufacturing company of 3D advertisement projects throughout Europe, the United States and Asia.</w:t>
      </w:r>
    </w:p>
    <w:p>
      <w:pPr>
        <w:spacing w:after="0" w:line="178"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i w:val="1"/>
          <w:iCs w:val="1"/>
          <w:color w:val="auto"/>
        </w:rPr>
        <w:t xml:space="preserve">Joshua Maor </w:t>
      </w:r>
      <w:r>
        <w:rPr>
          <w:rFonts w:ascii="Arial" w:cs="Arial" w:eastAsia="Arial" w:hAnsi="Arial"/>
          <w:sz w:val="18"/>
          <w:szCs w:val="18"/>
          <w:color w:val="auto"/>
        </w:rPr>
        <w:t>has served as a member of our board of directors since July 2005. Since 2001, Mr. Maor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Delek Investments and Properties Ltd.’s holdings of high-tech companies. Prior to Delek, Mr. Maor served as Chief Executive Officer and Chairman at Green Venture Capital Ltd. Mr. Maor also served as a member of the board of directors of both Inspire Investments Ltd. and Vericom Technologies Ltd. Currently, Mr. Maor serves as a member of the board of directors, among others, of Dip-Tech Ltd. and Yeda Reaserch and Development Ltd., the commercial arm of the Weizmann Institute of Science. Mr. Maor holds a B.Sc. in Mathematics and Physics and a B.A. from the Hebrew University in Israel.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Arrangements Concerning Election of Directors; Familial Relationships</w:t>
      </w:r>
    </w:p>
    <w:p>
      <w:pPr>
        <w:spacing w:after="0" w:line="225"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Our current board of directors consists of seven directors. Currently-serving directors that were appointed prior to this offering will continue to serve pursuant to their appointment until the first annual meeting of shareholders held after this offering. We are not a party to, and are not aware of, any voting agreements among our shareholders. In addition, there are no family relationships among our executive officers and directors.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After the completion of this offering, we will be a “controlled company” under the NASDAQ Stock Market rules. A “controlled company” is a company of which more than 50% of the voting power is held by an individual, group or another company. We will be a controlled company on the basis of Fortissimo Capital’s ownership in our company immediately following the offering. Pursuant to the “controlled company” exemption, we are not required and currently do not intend to comply with the requirement that we have a nominating committee comprised solely of independent directors and, instead, director nominations will be made by our board of directors as a whole. In the event that we cease to be a controlled company, we will be required to comply with this provision within the transition periods specified in the NASDAQ Stock Market rules, unless we elect to avail ourselves of the opt-out from NASDAQ Stock Market rules afforded to foreign private issuers, as discussed below.</w:t>
      </w:r>
    </w:p>
    <w:p>
      <w:pPr>
        <w:spacing w:after="0" w:line="182"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“controlled company” exemption does not modify the independence requirements for our audit committee. Accordingly, immediately following this offering, we will have an audit committee comprised of at least three members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jc w:val="both"/>
        <w:ind w:left="120" w:right="119"/>
        <w:spacing w:after="0" w:line="272" w:lineRule="auto"/>
        <w:rPr>
          <w:sz w:val="20"/>
          <w:szCs w:val="20"/>
          <w:color w:val="auto"/>
        </w:rPr>
      </w:pPr>
      <w:r>
        <w:rPr>
          <w:rFonts w:ascii="Arial" w:cs="Arial" w:eastAsia="Arial" w:hAnsi="Arial"/>
          <w:sz w:val="17"/>
          <w:szCs w:val="17"/>
          <w:color w:val="auto"/>
        </w:rPr>
        <w:t>of whom meet the NASDAQ Stock Market independence requirements and which must include all of our external directors and consist of a majority of “independent directors” as defined under the Israeli Companies Law. See “— Audit committee – Israeli Companies Law Requirements.” Furthermore, while we are exempt under the “controlled company” exemption from the requirement under the NASDAQ Stock Market rules that we have a compensation committee comprised solely of independent directors, we are required under the Israeli Companies Law to have a compensation committee consisting of at least three members, including all of our external directors. External directors must constitute a majority of the members of the compensation committee.</w:t>
      </w:r>
    </w:p>
    <w:p>
      <w:pPr>
        <w:spacing w:after="0" w:line="178"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In addition to the controlled company exemption, as a foreign private issuer, 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external directors, the audit committee and an internal auditor. This is the case even if our shares are not listed on a stock exchange in Israel. These requirements are in addition to the corporate governance requirements imposed by the Listing Rules of the NASDAQ Stock Market rules and other applicable provisions of U.S. securities laws to which we will become subject (as a foreign private issuer) upon the listing of our ordinary shares on the NASDAQ Global Market. Under the NASDAQ Stock Market rules, a foreign private issuer, such as us, may generally follow its home country rules of corporate governance in lieu of the comparable requirements of the NASDAQ Stock Market rules, except for certain matters including (among others) the composition and responsibilities of the audit committee and the independence of its members within the meaning of the rules and regulations of the Commission.</w:t>
      </w:r>
    </w:p>
    <w:p>
      <w:pPr>
        <w:spacing w:after="0" w:line="180"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We intend to comply with the rules generally applicable to U.S. domestic companies listed on the NASDAQ Stock Market, other than with respect to the quorum requirements. As permitted under the Israeli Companies Law, pursuant to our amended and restated articles of association to be effective upon completion of this offering, the quorum for an ordinary meeting of shareholders shall be the presence of at least two shareholders present in person, by proxy or by a voting instrument, who hold at least 25% of the voting power of our shares (and in an adjourned meeting, with some exceptions, any number of shareholders) instead of 33 1/3% of our issued share capital as required under NASDAQ corporate governance rules.</w:t>
      </w:r>
    </w:p>
    <w:p>
      <w:pPr>
        <w:spacing w:after="0" w:line="189"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We may in the future decide to use the controlled company exemption or foreign private issuer opt-out with respect to additional NASDAQ corporate governance rules.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w:t>
      </w:r>
    </w:p>
    <w:p>
      <w:pPr>
        <w:spacing w:after="0" w:line="46" w:lineRule="exact"/>
        <w:rPr>
          <w:sz w:val="20"/>
          <w:szCs w:val="20"/>
          <w:color w:val="auto"/>
        </w:rPr>
      </w:pPr>
    </w:p>
    <w:p>
      <w:pPr>
        <w:jc w:val="both"/>
        <w:ind w:left="120" w:right="119"/>
        <w:spacing w:after="0" w:line="265" w:lineRule="auto"/>
        <w:rPr>
          <w:sz w:val="20"/>
          <w:szCs w:val="20"/>
          <w:color w:val="auto"/>
        </w:rPr>
      </w:pPr>
      <w:r>
        <w:rPr>
          <w:rFonts w:ascii="Arial" w:cs="Arial" w:eastAsia="Arial" w:hAnsi="Arial"/>
          <w:sz w:val="17"/>
          <w:szCs w:val="17"/>
          <w:color w:val="auto"/>
        </w:rPr>
        <w:t>directors must consist of at least and not more than directors, including at least two external directors required to be appointed under the Israeli Companies Law. Our board of directors will consist of directors upon completion</w:t>
      </w:r>
    </w:p>
    <w:p>
      <w:pPr>
        <w:jc w:val="both"/>
        <w:ind w:left="120" w:right="119"/>
        <w:spacing w:after="0" w:line="268" w:lineRule="auto"/>
        <w:rPr>
          <w:sz w:val="20"/>
          <w:szCs w:val="20"/>
          <w:color w:val="auto"/>
        </w:rPr>
      </w:pPr>
      <w:r>
        <w:rPr>
          <w:rFonts w:ascii="Arial" w:cs="Arial" w:eastAsia="Arial" w:hAnsi="Arial"/>
          <w:sz w:val="17"/>
          <w:szCs w:val="17"/>
          <w:color w:val="auto"/>
        </w:rPr>
        <w:t>of this offering, including new directors and two external directors whose service will commence upon the completion of this offering. The appointment of the external 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at each annual general meeting the term of office of only one class of directors will expire. Each director will hold office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jc w:val="both"/>
        <w:ind w:left="120" w:right="119"/>
        <w:spacing w:after="0" w:line="312" w:lineRule="auto"/>
        <w:rPr>
          <w:sz w:val="20"/>
          <w:szCs w:val="20"/>
          <w:color w:val="auto"/>
        </w:rPr>
      </w:pPr>
      <w:r>
        <w:rPr>
          <w:rFonts w:ascii="Arial" w:cs="Arial" w:eastAsia="Arial" w:hAnsi="Arial"/>
          <w:sz w:val="16"/>
          <w:szCs w:val="16"/>
          <w:color w:val="auto"/>
        </w:rPr>
        <w:t>until the annual general meeting of our shareholders in which his or her term expires, unless they are removed by a vote of 65% of the total voting power of our shareholders at a general meeting of our shareholders or upon the occurrence of certain events, in accordance with the Israeli Companies Law and our amended and restated articles of association.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directors will be divided among the three classes as follows:</w:t>
      </w:r>
    </w:p>
    <w:p>
      <w:pPr>
        <w:sectPr>
          <w:pgSz w:w="11900" w:h="16838" w:orient="portrait"/>
          <w:cols w:equalWidth="0" w:num="1">
            <w:col w:w="9019"/>
          </w:cols>
          <w:pgMar w:left="1440" w:top="125" w:right="1440" w:bottom="1440" w:gutter="0" w:footer="0" w:header="0"/>
        </w:sectPr>
      </w:pPr>
    </w:p>
    <w:p>
      <w:pPr>
        <w:spacing w:after="0" w:line="205" w:lineRule="exact"/>
        <w:rPr>
          <w:sz w:val="20"/>
          <w:szCs w:val="20"/>
          <w:color w:val="auto"/>
        </w:rPr>
      </w:pPr>
    </w:p>
    <w:p>
      <w:pPr>
        <w:jc w:val="center"/>
        <w:ind w:left="340"/>
        <w:spacing w:after="0" w:line="238"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the Class I directors will be</w:t>
      </w:r>
      <w:r>
        <w:rPr>
          <w:rFonts w:ascii="Arial" w:cs="Arial" w:eastAsia="Arial" w:hAnsi="Arial"/>
          <w:sz w:val="21"/>
          <w:szCs w:val="21"/>
          <w:color w:val="auto"/>
        </w:rPr>
        <w:t xml:space="preserve"> </w:t>
      </w:r>
      <w:r>
        <w:rPr>
          <w:rFonts w:ascii="Arial" w:cs="Arial" w:eastAsia="Arial" w:hAnsi="Arial"/>
          <w:sz w:val="17"/>
          <w:szCs w:val="17"/>
          <w:color w:val="auto"/>
        </w:rPr>
        <w:t>shareholders to be held in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19" w:firstLine="480"/>
        <w:spacing w:after="0" w:line="277" w:lineRule="auto"/>
        <w:rPr>
          <w:sz w:val="20"/>
          <w:szCs w:val="20"/>
          <w:color w:val="auto"/>
        </w:rPr>
      </w:pPr>
      <w:r>
        <w:rPr>
          <w:rFonts w:ascii="Arial" w:cs="Arial" w:eastAsia="Arial" w:hAnsi="Arial"/>
          <w:sz w:val="18"/>
          <w:szCs w:val="18"/>
          <w:color w:val="auto"/>
        </w:rPr>
        <w:t>and , and their terms will expire at the annual general meeting of the and when their successors are elected and qualified;</w:t>
      </w:r>
    </w:p>
    <w:p>
      <w:pPr>
        <w:spacing w:after="0" w:line="150" w:lineRule="exact"/>
        <w:rPr>
          <w:sz w:val="20"/>
          <w:szCs w:val="20"/>
          <w:color w:val="auto"/>
        </w:rPr>
      </w:pPr>
    </w:p>
    <w:p>
      <w:pPr>
        <w:sectPr>
          <w:pgSz w:w="11900" w:h="16838" w:orient="portrait"/>
          <w:cols w:equalWidth="0" w:num="2">
            <w:col w:w="2620" w:space="140"/>
            <w:col w:w="6259"/>
          </w:cols>
          <w:pgMar w:left="1440" w:top="125" w:right="1440" w:bottom="1440" w:gutter="0" w:footer="0" w:header="0"/>
          <w:type w:val="continuous"/>
        </w:sectPr>
      </w:pPr>
    </w:p>
    <w:p>
      <w:pPr>
        <w:ind w:left="340"/>
        <w:spacing w:after="0"/>
        <w:tabs>
          <w:tab w:leader="none" w:pos="3280" w:val="left"/>
          <w:tab w:leader="none" w:pos="4120" w:val="left"/>
        </w:tabs>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Class II directors will be</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 and their terms will expire at the first annual general meeting</w:t>
      </w:r>
    </w:p>
    <w:p>
      <w:pPr>
        <w:sectPr>
          <w:pgSz w:w="11900" w:h="16838" w:orient="portrait"/>
          <w:cols w:equalWidth="0" w:num="1">
            <w:col w:w="9019"/>
          </w:cols>
          <w:pgMar w:left="1440" w:top="125" w:right="1440" w:bottom="1440" w:gutter="0" w:footer="0" w:header="0"/>
          <w:type w:val="continuous"/>
        </w:sectPr>
      </w:pPr>
    </w:p>
    <w:p>
      <w:pPr>
        <w:spacing w:after="0" w:line="22" w:lineRule="exact"/>
        <w:rPr>
          <w:sz w:val="20"/>
          <w:szCs w:val="20"/>
          <w:color w:val="auto"/>
        </w:rPr>
      </w:pPr>
    </w:p>
    <w:p>
      <w:pPr>
        <w:ind w:left="560" w:right="119"/>
        <w:spacing w:after="0" w:line="249" w:lineRule="auto"/>
        <w:rPr>
          <w:sz w:val="20"/>
          <w:szCs w:val="20"/>
          <w:color w:val="auto"/>
        </w:rPr>
      </w:pPr>
      <w:r>
        <w:rPr>
          <w:rFonts w:ascii="Arial" w:cs="Arial" w:eastAsia="Arial" w:hAnsi="Arial"/>
          <w:sz w:val="18"/>
          <w:szCs w:val="18"/>
          <w:color w:val="auto"/>
        </w:rPr>
        <w:t>of the shareholders following the meeting referred to in clause (i) above and when their successors are elected and qualified; and</w:t>
      </w:r>
    </w:p>
    <w:p>
      <w:pPr>
        <w:spacing w:after="0" w:line="174" w:lineRule="exact"/>
        <w:rPr>
          <w:sz w:val="20"/>
          <w:szCs w:val="20"/>
          <w:color w:val="auto"/>
        </w:rPr>
      </w:pPr>
    </w:p>
    <w:p>
      <w:pPr>
        <w:jc w:val="both"/>
        <w:ind w:left="560" w:right="119" w:hanging="215"/>
        <w:spacing w:after="0" w:line="272"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Class III directors will be</w:t>
      </w:r>
      <w:r>
        <w:rPr>
          <w:sz w:val="20"/>
          <w:szCs w:val="20"/>
          <w:color w:val="auto"/>
        </w:rPr>
        <w:t xml:space="preserve"> </w:t>
      </w:r>
      <w:r>
        <w:rPr>
          <w:rFonts w:ascii="Arial" w:cs="Arial" w:eastAsia="Arial" w:hAnsi="Arial"/>
          <w:sz w:val="18"/>
          <w:szCs w:val="18"/>
          <w:color w:val="auto"/>
        </w:rPr>
        <w:t>and , and their terms will expire at the first annual general meeting of the shareholders following the meeting referred to in clause (ii) above and when their successors are elected and qualified.</w:t>
      </w:r>
    </w:p>
    <w:p>
      <w:pPr>
        <w:spacing w:after="0" w:line="200" w:lineRule="exact"/>
        <w:rPr>
          <w:sz w:val="20"/>
          <w:szCs w:val="20"/>
          <w:color w:val="auto"/>
        </w:rPr>
      </w:pPr>
    </w:p>
    <w:p>
      <w:pPr>
        <w:spacing w:after="0" w:line="229"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Our board of directors has determined our directors, , and are independent under the rules of the NASDAQ Stock Market. The definition of “independent director” under the NASDAQ Stock Market rules and “external director” under the Israeli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Israeli Companies Law without qualifying as an “independent director” under the NASDAQ Stock Market rules, or vice-versa. The definition of external director under the Israeli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 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181"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Under the Israeli Companies Law and our amended and restated articles of association,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jc w:val="both"/>
        <w:ind w:left="120" w:right="119" w:firstLine="216"/>
        <w:spacing w:after="0" w:line="297"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Israeli Companies Law. See “—External Directors.”</w:t>
      </w:r>
    </w:p>
    <w:p>
      <w:pPr>
        <w:spacing w:after="0" w:line="158"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Under the Israeli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5" w:name="page76"/>
    <w:bookmarkEnd w:id="75"/>
    <w:p>
      <w:pPr>
        <w:ind w:left="1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we are required to include at least two members who qualify as external</w:t>
      </w:r>
    </w:p>
    <w:p>
      <w:pPr>
        <w:spacing w:after="0" w:line="23" w:lineRule="exact"/>
        <w:rPr>
          <w:sz w:val="20"/>
          <w:szCs w:val="20"/>
          <w:color w:val="auto"/>
        </w:rPr>
      </w:pPr>
    </w:p>
    <w:p>
      <w:pPr>
        <w:jc w:val="both"/>
        <w:ind w:left="120" w:right="119"/>
        <w:spacing w:after="0" w:line="290" w:lineRule="auto"/>
        <w:rPr>
          <w:sz w:val="20"/>
          <w:szCs w:val="20"/>
          <w:color w:val="auto"/>
        </w:rPr>
      </w:pPr>
      <w:r>
        <w:rPr>
          <w:rFonts w:ascii="Arial" w:cs="Arial" w:eastAsia="Arial" w:hAnsi="Arial"/>
          <w:sz w:val="17"/>
          <w:szCs w:val="17"/>
          <w:color w:val="auto"/>
        </w:rPr>
        <w:t>directors. and have agreed to serve as our external directors upon the closing of this offering, subject to ratification at a meeting of our shareholders to be held no later than three months following the closing of this offering.</w:t>
      </w:r>
    </w:p>
    <w:p>
      <w:pPr>
        <w:spacing w:after="0" w:line="162"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provisions of the Israeli Companies Law set forth special approval requirements for the election of external directors. External directors must be elected by a majority vote of the shares present and voting at a meeting of shareholders, provided that either:</w:t>
      </w:r>
    </w:p>
    <w:p>
      <w:pPr>
        <w:spacing w:after="0" w:line="195" w:lineRule="exact"/>
        <w:rPr>
          <w:sz w:val="20"/>
          <w:szCs w:val="20"/>
          <w:color w:val="auto"/>
        </w:rPr>
      </w:pPr>
    </w:p>
    <w:p>
      <w:pPr>
        <w:jc w:val="both"/>
        <w:ind w:left="560" w:right="119" w:hanging="219"/>
        <w:spacing w:after="0" w:line="241" w:lineRule="auto"/>
        <w:tabs>
          <w:tab w:leader="none" w:pos="717" w:val="left"/>
        </w:tabs>
        <w:numPr>
          <w:ilvl w:val="0"/>
          <w:numId w:val="39"/>
        </w:numPr>
        <w:rPr>
          <w:rFonts w:ascii="Arial" w:cs="Arial" w:eastAsia="Arial" w:hAnsi="Arial"/>
          <w:sz w:val="22"/>
          <w:szCs w:val="22"/>
          <w:color w:val="auto"/>
        </w:rPr>
      </w:pPr>
      <w:r>
        <w:rPr>
          <w:rFonts w:ascii="Arial" w:cs="Arial" w:eastAsia="Arial" w:hAnsi="Arial"/>
          <w:sz w:val="18"/>
          <w:szCs w:val="18"/>
          <w:color w:val="auto"/>
        </w:rPr>
        <w:t>such majority includes at least a majority of the shares held by all shareholders who are not controlling shareholders and do not have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216" w:lineRule="exact"/>
        <w:rPr>
          <w:rFonts w:ascii="Arial" w:cs="Arial" w:eastAsia="Arial" w:hAnsi="Arial"/>
          <w:sz w:val="22"/>
          <w:szCs w:val="22"/>
          <w:color w:val="auto"/>
        </w:rPr>
      </w:pPr>
    </w:p>
    <w:p>
      <w:pPr>
        <w:jc w:val="both"/>
        <w:ind w:left="560" w:right="119" w:hanging="219"/>
        <w:spacing w:after="0" w:line="238" w:lineRule="auto"/>
        <w:tabs>
          <w:tab w:leader="none" w:pos="586" w:val="left"/>
        </w:tabs>
        <w:numPr>
          <w:ilvl w:val="0"/>
          <w:numId w:val="39"/>
        </w:numPr>
        <w:rPr>
          <w:rFonts w:ascii="Arial" w:cs="Arial" w:eastAsia="Arial" w:hAnsi="Arial"/>
          <w:sz w:val="22"/>
          <w:szCs w:val="22"/>
          <w:color w:val="auto"/>
        </w:rPr>
      </w:pPr>
      <w:r>
        <w:rPr>
          <w:rFonts w:ascii="Arial" w:cs="Arial" w:eastAsia="Arial" w:hAnsi="Arial"/>
          <w:sz w:val="18"/>
          <w:szCs w:val="18"/>
          <w:color w:val="auto"/>
        </w:rPr>
        <w:t>the total number of shares voted by non-controlling shareholders and by shareholders who do not have a personal interest in the election of the external director against the election of the external director does not exceed 2% of the aggregate voting rights in the company.</w:t>
      </w:r>
    </w:p>
    <w:p>
      <w:pPr>
        <w:spacing w:after="0" w:line="203" w:lineRule="exact"/>
        <w:rPr>
          <w:sz w:val="20"/>
          <w:szCs w:val="20"/>
          <w:color w:val="auto"/>
        </w:rPr>
      </w:pPr>
    </w:p>
    <w:p>
      <w:pPr>
        <w:jc w:val="both"/>
        <w:ind w:left="120" w:right="119" w:firstLine="216"/>
        <w:spacing w:after="0" w:line="289"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With respect to certain matters, a controlling shareholder is deemed to include a shareholder that holds 25% or more of the voting rights in a public company if no other shareholder holds more than 50% of the voting rights in the company, but excludes a shareholder whose power derives solely from his or her position as a director of the company or from any other position with the company. We expect that following this offering, Fortissimo Capital, which prior to this offering beneficially owned 69.6% of our shares, will be a controlling shareholder, although this status may change in the future.</w:t>
      </w:r>
    </w:p>
    <w:p>
      <w:pPr>
        <w:spacing w:after="0" w:line="167"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 either:</w:t>
      </w:r>
    </w:p>
    <w:p>
      <w:pPr>
        <w:spacing w:after="0" w:line="184" w:lineRule="exact"/>
        <w:rPr>
          <w:sz w:val="20"/>
          <w:szCs w:val="20"/>
          <w:color w:val="auto"/>
        </w:rPr>
      </w:pPr>
    </w:p>
    <w:p>
      <w:pPr>
        <w:jc w:val="both"/>
        <w:ind w:left="560" w:right="119" w:hanging="219"/>
        <w:spacing w:after="0" w:line="260" w:lineRule="auto"/>
        <w:tabs>
          <w:tab w:leader="none" w:pos="595" w:val="left"/>
        </w:tabs>
        <w:numPr>
          <w:ilvl w:val="0"/>
          <w:numId w:val="40"/>
        </w:numPr>
        <w:rPr>
          <w:rFonts w:ascii="Arial" w:cs="Arial" w:eastAsia="Arial" w:hAnsi="Arial"/>
          <w:sz w:val="21"/>
          <w:szCs w:val="21"/>
          <w:color w:val="auto"/>
        </w:rPr>
      </w:pPr>
      <w:r>
        <w:rPr>
          <w:rFonts w:ascii="Arial" w:cs="Arial" w:eastAsia="Arial" w:hAnsi="Arial"/>
          <w:sz w:val="17"/>
          <w:szCs w:val="17"/>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Israeli Companies Law with respect to the affiliation of the external director nominee;</w:t>
      </w:r>
    </w:p>
    <w:p>
      <w:pPr>
        <w:spacing w:after="0" w:line="201" w:lineRule="exact"/>
        <w:rPr>
          <w:rFonts w:ascii="Arial" w:cs="Arial" w:eastAsia="Arial" w:hAnsi="Arial"/>
          <w:sz w:val="21"/>
          <w:szCs w:val="21"/>
          <w:color w:val="auto"/>
        </w:rPr>
      </w:pPr>
    </w:p>
    <w:p>
      <w:pPr>
        <w:ind w:left="560" w:right="119" w:hanging="219"/>
        <w:spacing w:after="0" w:line="232" w:lineRule="auto"/>
        <w:tabs>
          <w:tab w:leader="none" w:pos="609"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217" w:lineRule="exact"/>
        <w:rPr>
          <w:rFonts w:ascii="Arial" w:cs="Arial" w:eastAsia="Arial" w:hAnsi="Arial"/>
          <w:sz w:val="22"/>
          <w:szCs w:val="22"/>
          <w:color w:val="auto"/>
        </w:rPr>
      </w:pPr>
    </w:p>
    <w:p>
      <w:pPr>
        <w:jc w:val="both"/>
        <w:ind w:left="560" w:right="119" w:hanging="219"/>
        <w:spacing w:after="0" w:line="238" w:lineRule="auto"/>
        <w:tabs>
          <w:tab w:leader="none" w:pos="618" w:val="left"/>
        </w:tabs>
        <w:numPr>
          <w:ilvl w:val="0"/>
          <w:numId w:val="40"/>
        </w:numPr>
        <w:rPr>
          <w:rFonts w:ascii="Arial" w:cs="Arial" w:eastAsia="Arial" w:hAnsi="Arial"/>
          <w:sz w:val="22"/>
          <w:szCs w:val="22"/>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203"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82"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jc w:val="both"/>
        <w:ind w:left="120" w:right="119" w:firstLine="216"/>
        <w:spacing w:after="0" w:line="264" w:lineRule="auto"/>
        <w:rPr>
          <w:sz w:val="20"/>
          <w:szCs w:val="20"/>
          <w:color w:val="auto"/>
        </w:rPr>
      </w:pPr>
      <w:r>
        <w:rPr>
          <w:rFonts w:ascii="Arial" w:cs="Arial" w:eastAsia="Arial" w:hAnsi="Arial"/>
          <w:sz w:val="18"/>
          <w:szCs w:val="18"/>
          <w:color w:val="auto"/>
        </w:rPr>
        <w:t>If an external directorship becomes vacant and there are fewer than two external directors on the board of directors at the time, then the board of directors is required under the Israeli Companies Law to call a shareholders’ meeting as soon as practicable to appoint a replacement external director.</w:t>
      </w:r>
    </w:p>
    <w:p>
      <w:pPr>
        <w:spacing w:after="0" w:line="181"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Israeli Companies Law, external directors of a company are prohibited from receiving, directly or indirectly, any compensation from the company other than for their services as external directors pursuant to the Israeli Companies Law and the regulations promulgated thereunder. Compensation of an external director is determined prior to his or her appointment and may not be changed during his or her term subject to certain exceptions.</w:t>
      </w:r>
    </w:p>
    <w:p>
      <w:pPr>
        <w:spacing w:after="0" w:line="178" w:lineRule="exact"/>
        <w:rPr>
          <w:sz w:val="20"/>
          <w:szCs w:val="20"/>
          <w:color w:val="auto"/>
        </w:rPr>
      </w:pPr>
    </w:p>
    <w:p>
      <w:pPr>
        <w:jc w:val="both"/>
        <w:ind w:left="120" w:right="119" w:firstLine="216"/>
        <w:spacing w:after="0" w:line="253" w:lineRule="auto"/>
        <w:rPr>
          <w:sz w:val="20"/>
          <w:szCs w:val="20"/>
          <w:color w:val="auto"/>
        </w:rPr>
      </w:pPr>
      <w:r>
        <w:rPr>
          <w:rFonts w:ascii="Arial" w:cs="Arial" w:eastAsia="Arial" w:hAnsi="Arial"/>
          <w:sz w:val="18"/>
          <w:szCs w:val="18"/>
          <w:color w:val="auto"/>
        </w:rPr>
        <w:t>The Israeli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95"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 term “relative” is defined in the Israeli Companies Law as a spouse, sibling, parent, grandparent or descendant; spouse’s sibling, parent or descendant; and the spouse of each of the foregoing persons.</w:t>
      </w:r>
    </w:p>
    <w:p>
      <w:pPr>
        <w:spacing w:after="0" w:line="170"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Under the Israeli Companies Law, the term “affiliation” and the similar types of disqualifying relationships, as used above, include (subject to certain exceptions):</w:t>
      </w:r>
    </w:p>
    <w:p>
      <w:pPr>
        <w:spacing w:after="0" w:line="161" w:lineRule="exact"/>
        <w:rPr>
          <w:sz w:val="20"/>
          <w:szCs w:val="20"/>
          <w:color w:val="auto"/>
        </w:rPr>
      </w:pPr>
    </w:p>
    <w:p>
      <w:pPr>
        <w:ind w:left="560" w:hanging="219"/>
        <w:spacing w:after="0"/>
        <w:tabs>
          <w:tab w:leader="none" w:pos="5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an employment relationship;</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707" w:val="left"/>
        </w:tabs>
        <w:numPr>
          <w:ilvl w:val="0"/>
          <w:numId w:val="41"/>
        </w:numPr>
        <w:rPr>
          <w:rFonts w:ascii="Arial" w:cs="Arial" w:eastAsia="Arial" w:hAnsi="Arial"/>
          <w:sz w:val="22"/>
          <w:szCs w:val="22"/>
          <w:color w:val="auto"/>
        </w:rPr>
      </w:pPr>
      <w:r>
        <w:rPr>
          <w:rFonts w:ascii="Arial" w:cs="Arial" w:eastAsia="Arial" w:hAnsi="Arial"/>
          <w:sz w:val="18"/>
          <w:szCs w:val="18"/>
          <w:color w:val="auto"/>
        </w:rPr>
        <w:t>a business or professional relationship even if not maintained on a regular basis (excluding insignificant relationships); control; and</w:t>
      </w:r>
    </w:p>
    <w:p>
      <w:pPr>
        <w:spacing w:after="0" w:line="217" w:lineRule="exact"/>
        <w:rPr>
          <w:rFonts w:ascii="Arial" w:cs="Arial" w:eastAsia="Arial" w:hAnsi="Arial"/>
          <w:sz w:val="22"/>
          <w:szCs w:val="22"/>
          <w:color w:val="auto"/>
        </w:rPr>
      </w:pPr>
    </w:p>
    <w:p>
      <w:pPr>
        <w:jc w:val="both"/>
        <w:ind w:left="560" w:right="119" w:hanging="219"/>
        <w:spacing w:after="0" w:line="238" w:lineRule="auto"/>
        <w:tabs>
          <w:tab w:leader="none" w:pos="586" w:val="left"/>
        </w:tabs>
        <w:numPr>
          <w:ilvl w:val="0"/>
          <w:numId w:val="41"/>
        </w:numPr>
        <w:rPr>
          <w:rFonts w:ascii="Arial" w:cs="Arial" w:eastAsia="Arial" w:hAnsi="Arial"/>
          <w:sz w:val="22"/>
          <w:szCs w:val="22"/>
          <w:color w:val="auto"/>
        </w:rPr>
      </w:pPr>
      <w:r>
        <w:rPr>
          <w:rFonts w:ascii="Arial" w:cs="Arial" w:eastAsia="Arial" w:hAnsi="Arial"/>
          <w:sz w:val="18"/>
          <w:szCs w:val="18"/>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203"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The term “office holder” is defined in the Israeli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47"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Israeli Companies Law and the regulations promulgated thereunder.</w:t>
      </w:r>
    </w:p>
    <w:p>
      <w:pPr>
        <w:spacing w:after="0" w:line="178"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jc w:val="both"/>
        <w:ind w:left="120" w:right="119" w:firstLine="216"/>
        <w:spacing w:after="0" w:line="302"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54" w:lineRule="exact"/>
        <w:rPr>
          <w:sz w:val="20"/>
          <w:szCs w:val="20"/>
          <w:color w:val="auto"/>
        </w:rPr>
      </w:pPr>
    </w:p>
    <w:p>
      <w:pPr>
        <w:jc w:val="both"/>
        <w:ind w:left="120" w:right="119" w:firstLine="216"/>
        <w:spacing w:after="0" w:line="290" w:lineRule="auto"/>
        <w:rPr>
          <w:sz w:val="20"/>
          <w:szCs w:val="20"/>
          <w:color w:val="auto"/>
        </w:rPr>
      </w:pPr>
      <w:r>
        <w:rPr>
          <w:rFonts w:ascii="Arial" w:cs="Arial" w:eastAsia="Arial" w:hAnsi="Arial"/>
          <w:sz w:val="16"/>
          <w:szCs w:val="16"/>
          <w:color w:val="auto"/>
        </w:rPr>
        <w:t>According to the Israeli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Securities Exchange Act of 1934, as amended, or the Exchange Act, (ii) meets the standards of the Listing Rules of the NASDAQ Stock Market rules for membership on the audit committee, and (iii) has accounting and financial expertise as defined under the Israeli Companies Law, then neither of our external directors is required to possess accounting and financial expertise as long as each possesses the requisite professional qualifications.</w:t>
      </w:r>
    </w:p>
    <w:p>
      <w:pPr>
        <w:spacing w:after="0" w:line="166"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 (c) a senior position in public administration or service. The board of directors is charged with determining whether a director possesses financial and accounting expertise or professional qualifications.</w:t>
      </w:r>
    </w:p>
    <w:p>
      <w:pPr>
        <w:spacing w:after="0" w:line="173"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Our board of directors has determined that has accounting and financial expertise and possesses professional qualifications as required under the Israeli Companies Law.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Yuval Cohen to serve as chairman of the board of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listing of our ordinary shares on the NASDAQ Global Market, our audit committee will consist of our</w:t>
      </w:r>
    </w:p>
    <w:p>
      <w:pPr>
        <w:spacing w:after="0" w:line="35" w:lineRule="exact"/>
        <w:rPr>
          <w:sz w:val="20"/>
          <w:szCs w:val="20"/>
          <w:color w:val="auto"/>
        </w:rPr>
      </w:pPr>
    </w:p>
    <w:p>
      <w:pPr>
        <w:ind w:left="120"/>
        <w:spacing w:after="0"/>
        <w:tabs>
          <w:tab w:leader="none" w:pos="2120" w:val="left"/>
          <w:tab w:leader="none" w:pos="3760" w:val="left"/>
          <w:tab w:leader="none" w:pos="4500" w:val="left"/>
        </w:tabs>
        <w:rPr>
          <w:sz w:val="20"/>
          <w:szCs w:val="20"/>
          <w:color w:val="auto"/>
        </w:rPr>
      </w:pPr>
      <w:r>
        <w:rPr>
          <w:rFonts w:ascii="Arial" w:cs="Arial" w:eastAsia="Arial" w:hAnsi="Arial"/>
          <w:sz w:val="18"/>
          <w:szCs w:val="18"/>
          <w:color w:val="auto"/>
        </w:rPr>
        <w:t>two external directors</w:t>
      </w:r>
      <w:r>
        <w:rPr>
          <w:sz w:val="20"/>
          <w:szCs w:val="20"/>
          <w:color w:val="auto"/>
        </w:rPr>
        <w:tab/>
      </w:r>
      <w:r>
        <w:rPr>
          <w:rFonts w:ascii="Arial" w:cs="Arial" w:eastAsia="Arial" w:hAnsi="Arial"/>
          <w:sz w:val="18"/>
          <w:szCs w:val="18"/>
          <w:color w:val="auto"/>
        </w:rPr>
        <w:t>(Chairman) and</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Under the Israeli Companies Law, we will be required to appoint an audit committee following the closing of this offering. The audit committee must be comprised of at least three directors, including all of the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Israeli Companies Law, the audit committee of a publicly traded company must consist of a majority of independent directors. In general, an “independent director” under the Israeli Companies Law is defined as either an external director or as a director who meets the following criteria:</w:t>
      </w:r>
    </w:p>
    <w:p>
      <w:pPr>
        <w:spacing w:after="0" w:line="195" w:lineRule="exact"/>
        <w:rPr>
          <w:sz w:val="20"/>
          <w:szCs w:val="20"/>
          <w:color w:val="auto"/>
        </w:rPr>
      </w:pPr>
    </w:p>
    <w:p>
      <w:pPr>
        <w:ind w:left="560" w:right="119" w:hanging="219"/>
        <w:spacing w:after="0" w:line="297" w:lineRule="auto"/>
        <w:tabs>
          <w:tab w:leader="none" w:pos="572" w:val="left"/>
        </w:tabs>
        <w:numPr>
          <w:ilvl w:val="0"/>
          <w:numId w:val="42"/>
        </w:numPr>
        <w:rPr>
          <w:rFonts w:ascii="Arial" w:cs="Arial" w:eastAsia="Arial" w:hAnsi="Arial"/>
          <w:sz w:val="19"/>
          <w:szCs w:val="19"/>
          <w:color w:val="auto"/>
        </w:rPr>
      </w:pPr>
      <w:r>
        <w:rPr>
          <w:rFonts w:ascii="Arial" w:cs="Arial" w:eastAsia="Arial" w:hAnsi="Arial"/>
          <w:sz w:val="16"/>
          <w:szCs w:val="16"/>
          <w:color w:val="auto"/>
        </w:rPr>
        <w:t>he or she meets the qualifications for being appointed as an external director, except for the requirement (i) that the director be an Israeli resident (which does not apply to companies such as ours whose securities have been offered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560" w:right="119"/>
        <w:spacing w:after="0" w:line="277" w:lineRule="auto"/>
        <w:rPr>
          <w:sz w:val="20"/>
          <w:szCs w:val="20"/>
          <w:color w:val="auto"/>
        </w:rPr>
      </w:pPr>
      <w:r>
        <w:rPr>
          <w:rFonts w:ascii="Arial" w:cs="Arial" w:eastAsia="Arial" w:hAnsi="Arial"/>
          <w:sz w:val="18"/>
          <w:szCs w:val="18"/>
          <w:color w:val="auto"/>
        </w:rPr>
        <w:t>outside of Israel or are listed for trading outside of Israel) and (ii) for accounting and financial expertise or professional qualifications; and</w:t>
      </w:r>
    </w:p>
    <w:p>
      <w:pPr>
        <w:spacing w:after="0" w:line="184" w:lineRule="exact"/>
        <w:rPr>
          <w:sz w:val="20"/>
          <w:szCs w:val="20"/>
          <w:color w:val="auto"/>
        </w:rPr>
      </w:pPr>
    </w:p>
    <w:p>
      <w:pPr>
        <w:jc w:val="both"/>
        <w:ind w:left="560" w:right="119" w:hanging="219"/>
        <w:spacing w:after="0" w:line="238" w:lineRule="auto"/>
        <w:tabs>
          <w:tab w:leader="none" w:pos="626" w:val="left"/>
        </w:tabs>
        <w:numPr>
          <w:ilvl w:val="0"/>
          <w:numId w:val="43"/>
        </w:numPr>
        <w:rPr>
          <w:rFonts w:ascii="Arial" w:cs="Arial" w:eastAsia="Arial" w:hAnsi="Arial"/>
          <w:sz w:val="22"/>
          <w:szCs w:val="22"/>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81"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All members of our audit committee will meet the requirements for financial literacy under the applicable rules and regulations of the Commission and NASDAQ corporate governance rules. Our board of directors has determined that is an audit committee financial expert as defined by the Commission rules and has the requisite financial experience as defined by NASDAQ corporate governance rules.</w:t>
      </w:r>
    </w:p>
    <w:p>
      <w:pPr>
        <w:spacing w:after="0" w:line="187" w:lineRule="exact"/>
        <w:rPr>
          <w:sz w:val="20"/>
          <w:szCs w:val="20"/>
          <w:color w:val="auto"/>
        </w:rPr>
      </w:pPr>
    </w:p>
    <w:p>
      <w:pPr>
        <w:jc w:val="both"/>
        <w:ind w:left="120" w:right="119" w:firstLine="216"/>
        <w:spacing w:after="0" w:line="308" w:lineRule="auto"/>
        <w:rPr>
          <w:sz w:val="20"/>
          <w:szCs w:val="20"/>
          <w:color w:val="auto"/>
        </w:rPr>
      </w:pPr>
      <w:r>
        <w:rPr>
          <w:rFonts w:ascii="Arial" w:cs="Arial" w:eastAsia="Arial" w:hAnsi="Arial"/>
          <w:sz w:val="17"/>
          <w:szCs w:val="17"/>
          <w:color w:val="auto"/>
        </w:rPr>
        <w:t>Each of the members of our audit committee will be “independent” as such term is defined in Rule 10A-3(b)(1) under the Exchange Act and satisfies the independent director requirements under the NASDAQ Stock Market rules.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We expect that our board of directors will adopt an audit committee charter to be effective upon the listing of our shares on the NASDAQ Global Market that will set forth the responsibilities of the audit committee consistent with the rules and regulations of the Commission and the listing requirements of the NASDAQ Stock Market, as well as the requirements for such committee under the Israeli Companies Law, including the following:</w:t>
      </w:r>
    </w:p>
    <w:p>
      <w:pPr>
        <w:spacing w:after="0" w:line="185" w:lineRule="exact"/>
        <w:rPr>
          <w:sz w:val="20"/>
          <w:szCs w:val="20"/>
          <w:color w:val="auto"/>
        </w:rPr>
      </w:pPr>
    </w:p>
    <w:p>
      <w:pPr>
        <w:jc w:val="both"/>
        <w:ind w:left="560" w:right="119" w:hanging="219"/>
        <w:spacing w:after="0" w:line="238" w:lineRule="auto"/>
        <w:tabs>
          <w:tab w:leader="none" w:pos="586" w:val="left"/>
        </w:tabs>
        <w:numPr>
          <w:ilvl w:val="0"/>
          <w:numId w:val="44"/>
        </w:numPr>
        <w:rPr>
          <w:rFonts w:ascii="Arial" w:cs="Arial" w:eastAsia="Arial" w:hAnsi="Arial"/>
          <w:sz w:val="22"/>
          <w:szCs w:val="22"/>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93" w:lineRule="exact"/>
        <w:rPr>
          <w:rFonts w:ascii="Arial" w:cs="Arial" w:eastAsia="Arial" w:hAnsi="Arial"/>
          <w:sz w:val="22"/>
          <w:szCs w:val="22"/>
          <w:color w:val="auto"/>
        </w:rPr>
      </w:pPr>
    </w:p>
    <w:p>
      <w:pPr>
        <w:ind w:left="560" w:hanging="219"/>
        <w:spacing w:after="0"/>
        <w:tabs>
          <w:tab w:leader="none" w:pos="5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44"/>
        </w:numPr>
        <w:rPr>
          <w:rFonts w:ascii="Arial" w:cs="Arial" w:eastAsia="Arial" w:hAnsi="Arial"/>
          <w:sz w:val="22"/>
          <w:szCs w:val="22"/>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204"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239" w:lineRule="exact"/>
        <w:rPr>
          <w:sz w:val="20"/>
          <w:szCs w:val="20"/>
          <w:color w:val="auto"/>
        </w:rPr>
      </w:pPr>
    </w:p>
    <w:p>
      <w:pPr>
        <w:jc w:val="both"/>
        <w:ind w:left="560" w:right="119" w:hanging="219"/>
        <w:spacing w:after="0" w:line="238" w:lineRule="auto"/>
        <w:tabs>
          <w:tab w:leader="none" w:pos="626" w:val="left"/>
        </w:tabs>
        <w:numPr>
          <w:ilvl w:val="0"/>
          <w:numId w:val="45"/>
        </w:numPr>
        <w:rPr>
          <w:rFonts w:ascii="Arial" w:cs="Arial" w:eastAsia="Arial" w:hAnsi="Arial"/>
          <w:sz w:val="22"/>
          <w:szCs w:val="22"/>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216" w:lineRule="exact"/>
        <w:rPr>
          <w:rFonts w:ascii="Arial" w:cs="Arial" w:eastAsia="Arial" w:hAnsi="Arial"/>
          <w:sz w:val="22"/>
          <w:szCs w:val="22"/>
          <w:color w:val="auto"/>
        </w:rPr>
      </w:pPr>
    </w:p>
    <w:p>
      <w:pPr>
        <w:jc w:val="both"/>
        <w:ind w:left="560" w:right="119" w:hanging="219"/>
        <w:spacing w:after="0" w:line="238" w:lineRule="auto"/>
        <w:tabs>
          <w:tab w:leader="none" w:pos="572" w:val="left"/>
        </w:tabs>
        <w:numPr>
          <w:ilvl w:val="0"/>
          <w:numId w:val="45"/>
        </w:numPr>
        <w:rPr>
          <w:rFonts w:ascii="Arial" w:cs="Arial" w:eastAsia="Arial" w:hAnsi="Arial"/>
          <w:sz w:val="22"/>
          <w:szCs w:val="22"/>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w:t>
      </w:r>
    </w:p>
    <w:p>
      <w:pPr>
        <w:spacing w:after="0" w:line="216" w:lineRule="exact"/>
        <w:rPr>
          <w:rFonts w:ascii="Arial" w:cs="Arial" w:eastAsia="Arial" w:hAnsi="Arial"/>
          <w:sz w:val="22"/>
          <w:szCs w:val="22"/>
          <w:color w:val="auto"/>
        </w:rPr>
      </w:pPr>
    </w:p>
    <w:p>
      <w:pPr>
        <w:jc w:val="both"/>
        <w:ind w:left="560" w:right="119" w:hanging="219"/>
        <w:spacing w:after="0" w:line="238" w:lineRule="auto"/>
        <w:tabs>
          <w:tab w:leader="none" w:pos="626" w:val="left"/>
        </w:tabs>
        <w:numPr>
          <w:ilvl w:val="0"/>
          <w:numId w:val="45"/>
        </w:numPr>
        <w:rPr>
          <w:rFonts w:ascii="Arial" w:cs="Arial" w:eastAsia="Arial" w:hAnsi="Arial"/>
          <w:sz w:val="22"/>
          <w:szCs w:val="22"/>
          <w:color w:val="auto"/>
        </w:rPr>
      </w:pPr>
      <w:r>
        <w:rPr>
          <w:rFonts w:ascii="Arial" w:cs="Arial" w:eastAsia="Arial" w:hAnsi="Arial"/>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560" w:right="119" w:hanging="219"/>
        <w:spacing w:after="0" w:line="232" w:lineRule="auto"/>
        <w:tabs>
          <w:tab w:leader="none" w:pos="572" w:val="left"/>
        </w:tabs>
        <w:numPr>
          <w:ilvl w:val="0"/>
          <w:numId w:val="46"/>
        </w:numPr>
        <w:rPr>
          <w:rFonts w:ascii="Arial" w:cs="Arial" w:eastAsia="Arial" w:hAnsi="Arial"/>
          <w:sz w:val="22"/>
          <w:szCs w:val="22"/>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46"/>
        </w:numPr>
        <w:rPr>
          <w:rFonts w:ascii="Arial" w:cs="Arial" w:eastAsia="Arial" w:hAnsi="Arial"/>
          <w:sz w:val="22"/>
          <w:szCs w:val="22"/>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responsibilities;</w:t>
      </w:r>
    </w:p>
    <w:p>
      <w:pPr>
        <w:spacing w:after="0" w:line="217" w:lineRule="exact"/>
        <w:rPr>
          <w:rFonts w:ascii="Arial" w:cs="Arial" w:eastAsia="Arial" w:hAnsi="Arial"/>
          <w:sz w:val="22"/>
          <w:szCs w:val="22"/>
          <w:color w:val="auto"/>
        </w:rPr>
      </w:pPr>
    </w:p>
    <w:p>
      <w:pPr>
        <w:jc w:val="both"/>
        <w:ind w:left="560" w:right="119" w:hanging="219"/>
        <w:spacing w:after="0" w:line="238" w:lineRule="auto"/>
        <w:tabs>
          <w:tab w:leader="none" w:pos="653" w:val="left"/>
        </w:tabs>
        <w:numPr>
          <w:ilvl w:val="0"/>
          <w:numId w:val="46"/>
        </w:numPr>
        <w:rPr>
          <w:rFonts w:ascii="Arial" w:cs="Arial" w:eastAsia="Arial" w:hAnsi="Arial"/>
          <w:sz w:val="22"/>
          <w:szCs w:val="22"/>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216"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46"/>
        </w:numPr>
        <w:rPr>
          <w:rFonts w:ascii="Arial" w:cs="Arial" w:eastAsia="Arial" w:hAnsi="Arial"/>
          <w:sz w:val="22"/>
          <w:szCs w:val="22"/>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204"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Following the listing of our ordinary shares on the NASDAQ Global Market, our compensation committee will consist of (Chairman), and ..</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Under the Israeli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Market, and who do not have a controlling shareholder, do not have to meet this majority requirement; provided, however, that the compensation committee meets other Israeli Companies Law composition requirements, as well as the requirements of the jurisdiction where the company’s securities are traded. As we currently have a controlling shareholder, we are obligated to meet the majority requirement, although this may change in the future. Each compensation committee member who is not an external director must be a director whose compensation does not exceed an amount that may be paid to an external director. The compensation committee is subject to the same Israeli Companies Law restrictions as the audit committee as to who may not be a member of the compensation committee.</w:t>
      </w:r>
    </w:p>
    <w:p>
      <w:pPr>
        <w:spacing w:after="0" w:line="173"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will need to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 We will be required to adopt a compensation policy within nine months following our listing on the NASDAQ Global Market.</w:t>
      </w:r>
    </w:p>
    <w:p>
      <w:pPr>
        <w:spacing w:after="0" w:line="173" w:lineRule="exact"/>
        <w:rPr>
          <w:sz w:val="20"/>
          <w:szCs w:val="20"/>
          <w:color w:val="auto"/>
        </w:rPr>
      </w:pPr>
    </w:p>
    <w:p>
      <w:pPr>
        <w:jc w:val="both"/>
        <w:ind w:left="120" w:right="119" w:firstLine="216"/>
        <w:spacing w:after="0" w:line="290" w:lineRule="auto"/>
        <w:rPr>
          <w:sz w:val="20"/>
          <w:szCs w:val="20"/>
          <w:color w:val="auto"/>
        </w:rPr>
      </w:pPr>
      <w:r>
        <w:rPr>
          <w:rFonts w:ascii="Arial" w:cs="Arial" w:eastAsia="Arial" w:hAnsi="Arial"/>
          <w:sz w:val="16"/>
          <w:szCs w:val="16"/>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0" w:name="page81"/>
    <w:bookmarkEnd w:id="80"/>
    <w:p>
      <w:pPr>
        <w:jc w:val="both"/>
        <w:ind w:left="120" w:right="119" w:firstLine="216"/>
        <w:spacing w:after="0" w:line="279" w:lineRule="auto"/>
        <w:rPr>
          <w:sz w:val="20"/>
          <w:szCs w:val="20"/>
          <w:color w:val="auto"/>
        </w:rPr>
      </w:pPr>
      <w:r>
        <w:rPr>
          <w:rFonts w:ascii="Arial" w:cs="Arial" w:eastAsia="Arial" w:hAnsi="Arial"/>
          <w:sz w:val="17"/>
          <w:szCs w:val="17"/>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previously fulfilled by a company’s audit committee with respect to matters related to approval of the terms of engagement of office holders, including:</w:t>
      </w:r>
    </w:p>
    <w:p>
      <w:pPr>
        <w:spacing w:after="0" w:line="185" w:lineRule="exact"/>
        <w:rPr>
          <w:sz w:val="20"/>
          <w:szCs w:val="20"/>
          <w:color w:val="auto"/>
        </w:rPr>
      </w:pPr>
    </w:p>
    <w:p>
      <w:pPr>
        <w:jc w:val="both"/>
        <w:ind w:left="560" w:right="119" w:hanging="219"/>
        <w:spacing w:after="0" w:line="238" w:lineRule="auto"/>
        <w:tabs>
          <w:tab w:leader="none" w:pos="613" w:val="left"/>
        </w:tabs>
        <w:numPr>
          <w:ilvl w:val="0"/>
          <w:numId w:val="47"/>
        </w:numPr>
        <w:rPr>
          <w:rFonts w:ascii="Arial" w:cs="Arial" w:eastAsia="Arial" w:hAnsi="Arial"/>
          <w:sz w:val="22"/>
          <w:szCs w:val="22"/>
          <w:color w:val="auto"/>
        </w:rPr>
      </w:pPr>
      <w:r>
        <w:rPr>
          <w:rFonts w:ascii="Arial" w:cs="Arial" w:eastAsia="Arial" w:hAnsi="Arial"/>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216"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47"/>
        </w:numPr>
        <w:rPr>
          <w:rFonts w:ascii="Arial" w:cs="Arial" w:eastAsia="Arial" w:hAnsi="Arial"/>
          <w:sz w:val="22"/>
          <w:szCs w:val="22"/>
          <w:color w:val="auto"/>
        </w:rPr>
      </w:pPr>
      <w:r>
        <w:rPr>
          <w:rFonts w:ascii="Arial" w:cs="Arial" w:eastAsia="Arial" w:hAnsi="Arial"/>
          <w:sz w:val="18"/>
          <w:szCs w:val="18"/>
          <w:color w:val="auto"/>
        </w:rPr>
        <w:t>recommending to the board of directors periodic updates to the compensation policy and assessing implementation of the compensation policy;</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94" w:val="left"/>
        </w:tabs>
        <w:numPr>
          <w:ilvl w:val="0"/>
          <w:numId w:val="47"/>
        </w:numPr>
        <w:rPr>
          <w:rFonts w:ascii="Arial" w:cs="Arial" w:eastAsia="Arial" w:hAnsi="Arial"/>
          <w:sz w:val="22"/>
          <w:szCs w:val="22"/>
          <w:color w:val="auto"/>
        </w:rPr>
      </w:pPr>
      <w:r>
        <w:rPr>
          <w:rFonts w:ascii="Arial" w:cs="Arial" w:eastAsia="Arial" w:hAnsi="Arial"/>
          <w:sz w:val="18"/>
          <w:szCs w:val="18"/>
          <w:color w:val="auto"/>
        </w:rPr>
        <w:t>approving compensation terms of executive officers, directors and employees that require approval of the compensation committee;</w:t>
      </w:r>
    </w:p>
    <w:p>
      <w:pPr>
        <w:spacing w:after="0" w:line="217" w:lineRule="exact"/>
        <w:rPr>
          <w:rFonts w:ascii="Arial" w:cs="Arial" w:eastAsia="Arial" w:hAnsi="Arial"/>
          <w:sz w:val="22"/>
          <w:szCs w:val="22"/>
          <w:color w:val="auto"/>
        </w:rPr>
      </w:pPr>
    </w:p>
    <w:p>
      <w:pPr>
        <w:jc w:val="both"/>
        <w:ind w:left="560" w:right="119" w:hanging="219"/>
        <w:spacing w:after="0" w:line="238" w:lineRule="auto"/>
        <w:tabs>
          <w:tab w:leader="none" w:pos="694" w:val="left"/>
        </w:tabs>
        <w:numPr>
          <w:ilvl w:val="0"/>
          <w:numId w:val="47"/>
        </w:numPr>
        <w:rPr>
          <w:rFonts w:ascii="Arial" w:cs="Arial" w:eastAsia="Arial" w:hAnsi="Arial"/>
          <w:sz w:val="22"/>
          <w:szCs w:val="22"/>
          <w:color w:val="auto"/>
        </w:rPr>
      </w:pPr>
      <w:r>
        <w:rPr>
          <w:rFonts w:ascii="Arial" w:cs="Arial" w:eastAsia="Arial" w:hAnsi="Arial"/>
          <w:sz w:val="18"/>
          <w:szCs w:val="18"/>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216"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47"/>
        </w:numPr>
        <w:rPr>
          <w:rFonts w:ascii="Arial" w:cs="Arial" w:eastAsia="Arial" w:hAnsi="Arial"/>
          <w:sz w:val="22"/>
          <w:szCs w:val="22"/>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212" w:lineRule="exact"/>
        <w:rPr>
          <w:sz w:val="20"/>
          <w:szCs w:val="20"/>
          <w:color w:val="auto"/>
        </w:rPr>
      </w:pPr>
    </w:p>
    <w:p>
      <w:pPr>
        <w:jc w:val="both"/>
        <w:ind w:left="120" w:right="119" w:firstLine="216"/>
        <w:spacing w:after="0" w:line="302" w:lineRule="auto"/>
        <w:rPr>
          <w:sz w:val="20"/>
          <w:szCs w:val="20"/>
          <w:color w:val="auto"/>
        </w:rPr>
      </w:pPr>
      <w:r>
        <w:rPr>
          <w:rFonts w:ascii="Arial" w:cs="Arial" w:eastAsia="Arial" w:hAnsi="Arial"/>
          <w:sz w:val="16"/>
          <w:szCs w:val="16"/>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will satisfy those requirements.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Role</w:t>
      </w:r>
    </w:p>
    <w:p>
      <w:pPr>
        <w:spacing w:after="0" w:line="212" w:lineRule="exact"/>
        <w:rPr>
          <w:sz w:val="20"/>
          <w:szCs w:val="20"/>
          <w:color w:val="auto"/>
        </w:rPr>
      </w:pPr>
    </w:p>
    <w:p>
      <w:pPr>
        <w:jc w:val="both"/>
        <w:ind w:left="120" w:right="119" w:firstLine="216"/>
        <w:spacing w:after="0" w:line="308" w:lineRule="auto"/>
        <w:rPr>
          <w:sz w:val="20"/>
          <w:szCs w:val="20"/>
          <w:color w:val="auto"/>
        </w:rPr>
      </w:pPr>
      <w:r>
        <w:rPr>
          <w:rFonts w:ascii="Arial" w:cs="Arial" w:eastAsia="Arial" w:hAnsi="Arial"/>
          <w:sz w:val="17"/>
          <w:szCs w:val="17"/>
          <w:color w:val="auto"/>
        </w:rPr>
        <w:t>Our board of directors will adopt a compensation committee charter to be effective upon the listing of our shares on the NASDAQ Stock Market setting forth the responsibilities of the compensation committee, which include:</w:t>
      </w:r>
    </w:p>
    <w:p>
      <w:pPr>
        <w:spacing w:after="0" w:line="124" w:lineRule="exact"/>
        <w:rPr>
          <w:sz w:val="20"/>
          <w:szCs w:val="20"/>
          <w:color w:val="auto"/>
        </w:rPr>
      </w:pPr>
    </w:p>
    <w:p>
      <w:pPr>
        <w:ind w:left="560" w:hanging="219"/>
        <w:spacing w:after="0"/>
        <w:tabs>
          <w:tab w:leader="none" w:pos="5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the responsibilities set forth in the compensation policy;</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67" w:val="left"/>
        </w:tabs>
        <w:numPr>
          <w:ilvl w:val="0"/>
          <w:numId w:val="48"/>
        </w:numPr>
        <w:rPr>
          <w:rFonts w:ascii="Arial" w:cs="Arial" w:eastAsia="Arial" w:hAnsi="Arial"/>
          <w:sz w:val="22"/>
          <w:szCs w:val="22"/>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703" w:val="left"/>
        </w:tabs>
        <w:numPr>
          <w:ilvl w:val="0"/>
          <w:numId w:val="48"/>
        </w:numPr>
        <w:rPr>
          <w:rFonts w:ascii="Arial" w:cs="Arial" w:eastAsia="Arial" w:hAnsi="Arial"/>
          <w:sz w:val="22"/>
          <w:szCs w:val="22"/>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Compensation of Executive Officers</w:t>
      </w:r>
    </w:p>
    <w:p>
      <w:pPr>
        <w:spacing w:after="0" w:line="212" w:lineRule="exact"/>
        <w:rPr>
          <w:sz w:val="20"/>
          <w:szCs w:val="20"/>
          <w:color w:val="auto"/>
        </w:rPr>
      </w:pPr>
    </w:p>
    <w:p>
      <w:pPr>
        <w:jc w:val="both"/>
        <w:ind w:left="120" w:right="119" w:firstLine="216"/>
        <w:spacing w:after="0" w:line="254" w:lineRule="auto"/>
        <w:rPr>
          <w:sz w:val="20"/>
          <w:szCs w:val="20"/>
          <w:color w:val="auto"/>
        </w:rPr>
      </w:pPr>
      <w:r>
        <w:rPr>
          <w:rFonts w:ascii="Arial" w:cs="Arial" w:eastAsia="Arial" w:hAnsi="Arial"/>
          <w:sz w:val="18"/>
          <w:szCs w:val="18"/>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Nevertheless, a recent amendment to regulations promulgated under the Israeli Companies Law will require us, after we become a public company, to disclose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jc w:val="both"/>
        <w:ind w:left="120" w:right="119"/>
        <w:spacing w:after="0" w:line="308" w:lineRule="auto"/>
        <w:rPr>
          <w:sz w:val="20"/>
          <w:szCs w:val="20"/>
          <w:color w:val="auto"/>
        </w:rPr>
      </w:pPr>
      <w:r>
        <w:rPr>
          <w:rFonts w:ascii="Arial" w:cs="Arial" w:eastAsia="Arial" w:hAnsi="Arial"/>
          <w:sz w:val="17"/>
          <w:szCs w:val="17"/>
          <w:color w:val="auto"/>
        </w:rPr>
        <w:t>providing such disclosure, at the latest, in the annual proxy statement for our 2015 annual meeting of shareholders, which will be furnished under cover of a Form 6-K and we may elect to provide such information at an earlier date.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98" w:lineRule="exact"/>
        <w:rPr>
          <w:sz w:val="20"/>
          <w:szCs w:val="20"/>
          <w:color w:val="auto"/>
        </w:rPr>
      </w:pPr>
    </w:p>
    <w:p>
      <w:pPr>
        <w:jc w:val="both"/>
        <w:ind w:left="120" w:right="119" w:firstLine="216"/>
        <w:spacing w:after="0" w:line="297" w:lineRule="auto"/>
        <w:rPr>
          <w:sz w:val="20"/>
          <w:szCs w:val="20"/>
          <w:color w:val="auto"/>
        </w:rPr>
      </w:pPr>
      <w:r>
        <w:rPr>
          <w:rFonts w:ascii="Arial" w:cs="Arial" w:eastAsia="Arial" w:hAnsi="Arial"/>
          <w:sz w:val="16"/>
          <w:szCs w:val="16"/>
          <w:color w:val="auto"/>
        </w:rPr>
        <w:t>Under the Israeli Companies Law, compensation of directors requires the approval of a company’s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45"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81"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External directors are entitled to remuneration subject to the provisions and limitations set forth in the regulations promulgated under the Israeli Companies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“—Compensation of Officers and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 xml:space="preserve">Under the Israeli Companies Law, the board of directors of an Israeli public company must appoint an internal auditor </w:t>
      </w:r>
      <w:r>
        <w:rPr>
          <w:rFonts w:ascii="Arial" w:cs="Arial" w:eastAsia="Arial" w:hAnsi="Arial"/>
          <w:sz w:val="18"/>
          <w:szCs w:val="18"/>
          <w:color w:val="231F20"/>
        </w:rPr>
        <w:t xml:space="preserve">recommended </w:t>
      </w:r>
      <w:r>
        <w:rPr>
          <w:rFonts w:ascii="Arial" w:cs="Arial" w:eastAsia="Arial" w:hAnsi="Arial"/>
          <w:sz w:val="18"/>
          <w:szCs w:val="18"/>
          <w:color w:val="000000"/>
        </w:rPr>
        <w:t>by the audit committee. An internal auditor may not be:</w:t>
      </w:r>
    </w:p>
    <w:p>
      <w:pPr>
        <w:spacing w:after="0" w:line="184" w:lineRule="exact"/>
        <w:rPr>
          <w:sz w:val="20"/>
          <w:szCs w:val="20"/>
          <w:color w:val="auto"/>
        </w:rPr>
      </w:pPr>
    </w:p>
    <w:p>
      <w:pPr>
        <w:ind w:left="560" w:hanging="219"/>
        <w:spacing w:after="0"/>
        <w:tabs>
          <w:tab w:leader="none" w:pos="560" w:val="left"/>
        </w:tabs>
        <w:numPr>
          <w:ilvl w:val="0"/>
          <w:numId w:val="49"/>
        </w:numPr>
        <w:rPr>
          <w:rFonts w:ascii="Arial" w:cs="Arial" w:eastAsia="Arial" w:hAnsi="Arial"/>
          <w:sz w:val="19"/>
          <w:szCs w:val="19"/>
          <w:color w:val="auto"/>
        </w:rPr>
      </w:pPr>
      <w:r>
        <w:rPr>
          <w:rFonts w:ascii="Arial" w:cs="Arial" w:eastAsia="Arial" w:hAnsi="Arial"/>
          <w:sz w:val="16"/>
          <w:szCs w:val="16"/>
          <w:color w:val="auto"/>
        </w:rPr>
        <w:t>a person (or a relative of a person) who holds 5% or more of the company’s outstanding shares or voting rights;</w:t>
      </w:r>
    </w:p>
    <w:p>
      <w:pPr>
        <w:spacing w:after="0" w:line="227" w:lineRule="exact"/>
        <w:rPr>
          <w:rFonts w:ascii="Arial" w:cs="Arial" w:eastAsia="Arial" w:hAnsi="Arial"/>
          <w:sz w:val="19"/>
          <w:szCs w:val="19"/>
          <w:color w:val="auto"/>
        </w:rPr>
      </w:pPr>
    </w:p>
    <w:p>
      <w:pPr>
        <w:ind w:left="560" w:hanging="219"/>
        <w:spacing w:after="0"/>
        <w:tabs>
          <w:tab w:leader="none" w:pos="560" w:val="left"/>
        </w:tabs>
        <w:numPr>
          <w:ilvl w:val="0"/>
          <w:numId w:val="49"/>
        </w:numPr>
        <w:rPr>
          <w:rFonts w:ascii="Arial" w:cs="Arial" w:eastAsia="Arial" w:hAnsi="Arial"/>
          <w:sz w:val="19"/>
          <w:szCs w:val="19"/>
          <w:color w:val="auto"/>
        </w:rPr>
      </w:pPr>
      <w:r>
        <w:rPr>
          <w:rFonts w:ascii="Arial" w:cs="Arial" w:eastAsia="Arial" w:hAnsi="Arial"/>
          <w:sz w:val="16"/>
          <w:szCs w:val="16"/>
          <w:color w:val="auto"/>
        </w:rPr>
        <w:t>a person (or a relative of a person) who has the power to appoint a director or the general manager of the company;</w:t>
      </w:r>
    </w:p>
    <w:p>
      <w:pPr>
        <w:spacing w:after="0" w:line="204" w:lineRule="exact"/>
        <w:rPr>
          <w:rFonts w:ascii="Arial" w:cs="Arial" w:eastAsia="Arial" w:hAnsi="Arial"/>
          <w:sz w:val="19"/>
          <w:szCs w:val="19"/>
          <w:color w:val="auto"/>
        </w:rPr>
      </w:pPr>
    </w:p>
    <w:p>
      <w:pPr>
        <w:ind w:left="560" w:hanging="219"/>
        <w:spacing w:after="0"/>
        <w:tabs>
          <w:tab w:leader="none" w:pos="5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an office holder (including a director) of the company (or a relative thereof);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a member of the company’s independent auditor, or anyone on its behalf.</w:t>
      </w:r>
    </w:p>
    <w:p>
      <w:pPr>
        <w:spacing w:after="0" w:line="202"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We intend to appoint an internal auditor following the closing of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left="120" w:right="119" w:firstLine="216"/>
        <w:spacing w:after="0" w:line="342"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24"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color w:val="231F20"/>
        </w:rPr>
        <w:t>office</w:t>
      </w:r>
      <w:r>
        <w:rPr>
          <w:rFonts w:ascii="Arial" w:cs="Arial" w:eastAsia="Arial" w:hAnsi="Arial"/>
          <w:sz w:val="18"/>
          <w:szCs w:val="18"/>
          <w:color w:val="auto"/>
        </w:rPr>
        <w:t xml:space="preserv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duty of care </w:t>
      </w:r>
      <w:r>
        <w:rPr>
          <w:rFonts w:ascii="Arial" w:cs="Arial" w:eastAsia="Arial" w:hAnsi="Arial"/>
          <w:sz w:val="18"/>
          <w:szCs w:val="18"/>
          <w:color w:val="231F20"/>
        </w:rPr>
        <w:t>includes</w:t>
      </w:r>
      <w:r>
        <w:rPr>
          <w:rFonts w:ascii="Arial" w:cs="Arial" w:eastAsia="Arial" w:hAnsi="Arial"/>
          <w:sz w:val="18"/>
          <w:szCs w:val="18"/>
          <w:color w:val="auto"/>
        </w:rPr>
        <w:t xml:space="preserve"> a duty to use reasonable means to obtain:</w:t>
      </w:r>
    </w:p>
    <w:p>
      <w:pPr>
        <w:spacing w:after="0" w:line="239" w:lineRule="exact"/>
        <w:rPr>
          <w:sz w:val="20"/>
          <w:szCs w:val="20"/>
          <w:color w:val="auto"/>
        </w:rPr>
      </w:pPr>
    </w:p>
    <w:p>
      <w:pPr>
        <w:ind w:left="560" w:right="119" w:hanging="219"/>
        <w:spacing w:after="0" w:line="232" w:lineRule="auto"/>
        <w:tabs>
          <w:tab w:leader="none" w:pos="572" w:val="left"/>
        </w:tabs>
        <w:numPr>
          <w:ilvl w:val="0"/>
          <w:numId w:val="50"/>
        </w:numPr>
        <w:rPr>
          <w:rFonts w:ascii="Arial" w:cs="Arial" w:eastAsia="Arial" w:hAnsi="Arial"/>
          <w:sz w:val="22"/>
          <w:szCs w:val="22"/>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all other important information pertaining to any such 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340"/>
        <w:spacing w:after="0"/>
        <w:rPr>
          <w:sz w:val="20"/>
          <w:szCs w:val="20"/>
          <w:color w:val="auto"/>
        </w:rPr>
      </w:pPr>
      <w:r>
        <w:rPr>
          <w:rFonts w:ascii="Arial" w:cs="Arial" w:eastAsia="Arial" w:hAnsi="Arial"/>
          <w:sz w:val="18"/>
          <w:szCs w:val="18"/>
          <w:color w:val="auto"/>
        </w:rPr>
        <w:t>The duty of loyalty includes a duty to:</w:t>
      </w:r>
    </w:p>
    <w:p>
      <w:pPr>
        <w:spacing w:after="0" w:line="239" w:lineRule="exact"/>
        <w:rPr>
          <w:sz w:val="20"/>
          <w:szCs w:val="20"/>
          <w:color w:val="auto"/>
        </w:rPr>
      </w:pPr>
    </w:p>
    <w:p>
      <w:pPr>
        <w:ind w:left="560" w:right="119" w:hanging="219"/>
        <w:spacing w:after="0" w:line="232" w:lineRule="auto"/>
        <w:tabs>
          <w:tab w:leader="none" w:pos="613" w:val="left"/>
        </w:tabs>
        <w:numPr>
          <w:ilvl w:val="0"/>
          <w:numId w:val="51"/>
        </w:numPr>
        <w:rPr>
          <w:rFonts w:ascii="Arial" w:cs="Arial" w:eastAsia="Arial" w:hAnsi="Arial"/>
          <w:sz w:val="22"/>
          <w:szCs w:val="22"/>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refrain from any activity that is competitive with the business of the company;</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51"/>
        </w:numPr>
        <w:rPr>
          <w:rFonts w:ascii="Arial" w:cs="Arial" w:eastAsia="Arial" w:hAnsi="Arial"/>
          <w:sz w:val="22"/>
          <w:szCs w:val="22"/>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13" w:val="left"/>
        </w:tabs>
        <w:numPr>
          <w:ilvl w:val="0"/>
          <w:numId w:val="51"/>
        </w:numPr>
        <w:rPr>
          <w:rFonts w:ascii="Arial" w:cs="Arial" w:eastAsia="Arial" w:hAnsi="Arial"/>
          <w:sz w:val="22"/>
          <w:szCs w:val="22"/>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an Office Holder and Approval of Certain Transactions</w:t>
      </w:r>
    </w:p>
    <w:p>
      <w:pPr>
        <w:spacing w:after="0" w:line="225"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color w:val="auto"/>
        </w:rPr>
        <w:t xml:space="preserve">The Israeli Companies Law requires that an office holder promptly disclose to the board of directors any personal interest that he or she may be aware of and all related material information or documents concerning any existing or proposed </w:t>
      </w:r>
      <w:r>
        <w:rPr>
          <w:rFonts w:ascii="Arial" w:cs="Arial" w:eastAsia="Arial" w:hAnsi="Arial"/>
          <w:sz w:val="17"/>
          <w:szCs w:val="17"/>
          <w:color w:val="231F20"/>
        </w:rPr>
        <w:t>transaction</w:t>
      </w:r>
      <w:r>
        <w:rPr>
          <w:rFonts w:ascii="Arial" w:cs="Arial" w:eastAsia="Arial" w:hAnsi="Arial"/>
          <w:sz w:val="17"/>
          <w:szCs w:val="17"/>
          <w:color w:val="auto"/>
        </w:rPr>
        <w:t xml:space="preserve">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7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184" w:lineRule="exact"/>
        <w:rPr>
          <w:sz w:val="20"/>
          <w:szCs w:val="20"/>
          <w:color w:val="auto"/>
        </w:rPr>
      </w:pPr>
    </w:p>
    <w:p>
      <w:pPr>
        <w:ind w:left="560" w:hanging="219"/>
        <w:spacing w:after="0"/>
        <w:tabs>
          <w:tab w:leader="none" w:pos="5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a transaction other than in the ordinary course of business;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a transaction that is not on market terms;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a transaction that may have a material impact on a company’s profitability, assets or liabilities.</w:t>
      </w:r>
    </w:p>
    <w:p>
      <w:pPr>
        <w:spacing w:after="0" w:line="202"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 xml:space="preserve">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w:t>
      </w:r>
      <w:r>
        <w:rPr>
          <w:rFonts w:ascii="Arial" w:cs="Arial" w:eastAsia="Arial" w:hAnsi="Arial"/>
          <w:sz w:val="17"/>
          <w:szCs w:val="17"/>
          <w:color w:val="231F20"/>
        </w:rPr>
        <w:t>company’s</w:t>
      </w:r>
      <w:r>
        <w:rPr>
          <w:rFonts w:ascii="Arial" w:cs="Arial" w:eastAsia="Arial" w:hAnsi="Arial"/>
          <w:sz w:val="17"/>
          <w:szCs w:val="17"/>
          <w:color w:val="auto"/>
        </w:rPr>
        <w:t xml:space="preserve">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83"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Generally, a person who has a personal interest in a matter which is considered at a meeting of the board of directors or the audit committee may not be present at such a meeting or vote on that matter unless the chairman of the relevant committee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jc w:val="both"/>
        <w:ind w:left="120" w:right="119"/>
        <w:spacing w:after="0" w:line="257" w:lineRule="auto"/>
        <w:rPr>
          <w:sz w:val="20"/>
          <w:szCs w:val="20"/>
          <w:color w:val="auto"/>
        </w:rPr>
      </w:pPr>
      <w:r>
        <w:rPr>
          <w:rFonts w:ascii="Arial" w:cs="Arial" w:eastAsia="Arial" w:hAnsi="Arial"/>
          <w:sz w:val="18"/>
          <w:szCs w:val="18"/>
          <w:color w:val="auto"/>
        </w:rPr>
        <w:t>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Controlling Shareholders and Approval of Certain Transactions</w:t>
      </w:r>
    </w:p>
    <w:p>
      <w:pPr>
        <w:spacing w:after="0" w:line="225" w:lineRule="exact"/>
        <w:rPr>
          <w:sz w:val="20"/>
          <w:szCs w:val="20"/>
          <w:color w:val="auto"/>
        </w:rPr>
      </w:pPr>
    </w:p>
    <w:p>
      <w:pPr>
        <w:jc w:val="both"/>
        <w:ind w:left="120" w:right="119" w:firstLine="216"/>
        <w:spacing w:after="0" w:line="283" w:lineRule="auto"/>
        <w:rPr>
          <w:sz w:val="20"/>
          <w:szCs w:val="20"/>
          <w:color w:val="auto"/>
        </w:rPr>
      </w:pPr>
      <w:r>
        <w:rPr>
          <w:rFonts w:ascii="Arial" w:cs="Arial" w:eastAsia="Arial" w:hAnsi="Arial"/>
          <w:sz w:val="16"/>
          <w:szCs w:val="16"/>
          <w:color w:val="auto"/>
        </w:rPr>
        <w:t xml:space="preserve">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w:t>
      </w:r>
      <w:r>
        <w:rPr>
          <w:rFonts w:ascii="Arial" w:cs="Arial" w:eastAsia="Arial" w:hAnsi="Arial"/>
          <w:sz w:val="16"/>
          <w:szCs w:val="16"/>
          <w:color w:val="231F20"/>
        </w:rPr>
        <w:t>holdings</w:t>
      </w:r>
      <w:r>
        <w:rPr>
          <w:rFonts w:ascii="Arial" w:cs="Arial" w:eastAsia="Arial" w:hAnsi="Arial"/>
          <w:sz w:val="16"/>
          <w:szCs w:val="16"/>
          <w:color w:val="auto"/>
        </w:rPr>
        <w:t xml:space="preserve"> of all shareholders who have a personal interest in the same transaction will be aggregated. The approval of the audit committee or the compensation committee, the board of directors and the shareholders of the company, in that order, is required for (a) extraordinary transactions with a controlling shareholder or in which a controlling shareholder has a personal interest, (b) the engagement with a controlling shareholder or his or her relative, directly or indirectly, including through a company under control of the controlling shareholder, for the provision of services to the company,</w:t>
      </w:r>
    </w:p>
    <w:p>
      <w:pPr>
        <w:spacing w:after="0" w:line="7" w:lineRule="exact"/>
        <w:rPr>
          <w:sz w:val="20"/>
          <w:szCs w:val="20"/>
          <w:color w:val="auto"/>
        </w:rPr>
      </w:pPr>
    </w:p>
    <w:p>
      <w:pPr>
        <w:jc w:val="both"/>
        <w:ind w:left="120" w:right="119" w:firstLine="5"/>
        <w:spacing w:after="0" w:line="302" w:lineRule="auto"/>
        <w:tabs>
          <w:tab w:leader="none" w:pos="373"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terms of engagement and compensation of a controlling shareholder or his or her relative who is an office holder or (d) the employment of a controlling shareholder or his or her relative by the company, other than as an office holder. In addition, the shareholder approval requires one of the following, which we refer to as a Special Majority:</w:t>
      </w:r>
    </w:p>
    <w:p>
      <w:pPr>
        <w:spacing w:after="0" w:line="168" w:lineRule="exact"/>
        <w:rPr>
          <w:rFonts w:ascii="Arial" w:cs="Arial" w:eastAsia="Arial" w:hAnsi="Arial"/>
          <w:sz w:val="16"/>
          <w:szCs w:val="16"/>
          <w:color w:val="auto"/>
        </w:rPr>
      </w:pPr>
    </w:p>
    <w:p>
      <w:pPr>
        <w:ind w:left="560" w:right="119" w:hanging="219"/>
        <w:spacing w:after="0" w:line="251" w:lineRule="auto"/>
        <w:tabs>
          <w:tab w:leader="none" w:pos="572" w:val="left"/>
        </w:tabs>
        <w:numPr>
          <w:ilvl w:val="1"/>
          <w:numId w:val="53"/>
        </w:numPr>
        <w:rPr>
          <w:rFonts w:ascii="Arial" w:cs="Arial" w:eastAsia="Arial" w:hAnsi="Arial"/>
          <w:sz w:val="21"/>
          <w:szCs w:val="21"/>
          <w:color w:val="auto"/>
        </w:rPr>
      </w:pPr>
      <w:r>
        <w:rPr>
          <w:rFonts w:ascii="Arial" w:cs="Arial" w:eastAsia="Arial" w:hAnsi="Arial"/>
          <w:sz w:val="17"/>
          <w:szCs w:val="17"/>
          <w:color w:val="auto"/>
        </w:rPr>
        <w:t>at least a majority of the shares held by all shareholders who do not have a personal interest in the transaction and who are present and voting at the meeting approves the transaction, excluding abstentions; or</w:t>
      </w:r>
    </w:p>
    <w:p>
      <w:pPr>
        <w:spacing w:after="0" w:line="204" w:lineRule="exact"/>
        <w:rPr>
          <w:rFonts w:ascii="Arial" w:cs="Arial" w:eastAsia="Arial" w:hAnsi="Arial"/>
          <w:sz w:val="21"/>
          <w:szCs w:val="21"/>
          <w:color w:val="auto"/>
        </w:rPr>
      </w:pPr>
    </w:p>
    <w:p>
      <w:pPr>
        <w:ind w:left="560" w:right="119" w:hanging="219"/>
        <w:spacing w:after="0" w:line="251" w:lineRule="auto"/>
        <w:tabs>
          <w:tab w:leader="none" w:pos="586" w:val="left"/>
        </w:tabs>
        <w:numPr>
          <w:ilvl w:val="1"/>
          <w:numId w:val="53"/>
        </w:numPr>
        <w:rPr>
          <w:rFonts w:ascii="Arial" w:cs="Arial" w:eastAsia="Arial" w:hAnsi="Arial"/>
          <w:sz w:val="21"/>
          <w:szCs w:val="21"/>
          <w:color w:val="auto"/>
        </w:rPr>
      </w:pPr>
      <w:r>
        <w:rPr>
          <w:rFonts w:ascii="Arial" w:cs="Arial" w:eastAsia="Arial" w:hAnsi="Arial"/>
          <w:sz w:val="17"/>
          <w:szCs w:val="17"/>
          <w:color w:val="auto"/>
        </w:rPr>
        <w:t>the shares voted against the transaction by shareholders who have no personal interest in the transaction and who are present and voting at the meeting do not exceed 2% of the voting rights in the company.</w:t>
      </w:r>
    </w:p>
    <w:p>
      <w:pPr>
        <w:spacing w:after="0" w:line="191"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7"/>
          <w:szCs w:val="17"/>
          <w:color w:val="auto"/>
        </w:rPr>
        <w:t xml:space="preserve">To the extent that any such transaction with a controlling shareholder is for a period extending beyond three years, approval is </w:t>
      </w:r>
      <w:r>
        <w:rPr>
          <w:rFonts w:ascii="Arial" w:cs="Arial" w:eastAsia="Arial" w:hAnsi="Arial"/>
          <w:sz w:val="17"/>
          <w:szCs w:val="17"/>
          <w:color w:val="231F20"/>
        </w:rPr>
        <w:t>required</w:t>
      </w:r>
      <w:r>
        <w:rPr>
          <w:rFonts w:ascii="Arial" w:cs="Arial" w:eastAsia="Arial" w:hAnsi="Arial"/>
          <w:sz w:val="17"/>
          <w:szCs w:val="17"/>
          <w:color w:val="auto"/>
        </w:rPr>
        <w:t xml:space="preserve"> once every three years, unless, with respect to certain transactions, the audit committee determines that the duration of the transaction is reasonable given the circumstances related thereto.</w:t>
      </w:r>
    </w:p>
    <w:p>
      <w:pPr>
        <w:spacing w:after="0" w:line="166"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7"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color w:val="231F20"/>
        </w:rPr>
        <w:t>regulations</w:t>
      </w:r>
      <w:r>
        <w:rPr>
          <w:rFonts w:ascii="Arial" w:cs="Arial" w:eastAsia="Arial" w:hAnsi="Arial"/>
          <w:sz w:val="18"/>
          <w:szCs w:val="18"/>
          <w:color w:val="auto"/>
        </w:rPr>
        <w:t xml:space="preserve"> promulgated under the Israeli Companies Law, certain transactions with a controlling shareholder or his or her relative, or with directors, that would otherwise require approval of a company’s shareholders may be exempt from shareholder approval upon certain determinations of the audit committee and board of directors. Under these regulations, a shareholder holding at least 1% of the issued share capital of the </w:t>
      </w:r>
      <w:r>
        <w:rPr>
          <w:rFonts w:ascii="Arial" w:cs="Arial" w:eastAsia="Arial" w:hAnsi="Arial"/>
          <w:sz w:val="18"/>
          <w:szCs w:val="18"/>
          <w:color w:val="231F20"/>
        </w:rPr>
        <w:t xml:space="preserve">company </w:t>
      </w:r>
      <w:r>
        <w:rPr>
          <w:rFonts w:ascii="Arial" w:cs="Arial" w:eastAsia="Arial" w:hAnsi="Arial"/>
          <w:sz w:val="18"/>
          <w:szCs w:val="18"/>
          <w:color w:val="000000"/>
        </w:rPr>
        <w:t>may require, within 14 days of the publication of such determinations, that despite such determinations by</w:t>
      </w:r>
      <w:r>
        <w:rPr>
          <w:rFonts w:ascii="Arial" w:cs="Arial" w:eastAsia="Arial" w:hAnsi="Arial"/>
          <w:sz w:val="18"/>
          <w:szCs w:val="18"/>
          <w:color w:val="231F20"/>
        </w:rPr>
        <w:t xml:space="preserve"> </w:t>
      </w:r>
      <w:r>
        <w:rPr>
          <w:rFonts w:ascii="Arial" w:cs="Arial" w:eastAsia="Arial" w:hAnsi="Arial"/>
          <w:sz w:val="18"/>
          <w:szCs w:val="18"/>
          <w:color w:val="000000"/>
        </w:rPr>
        <w:t>the audit committee and the board of directors, such transaction will require shareholder approval under the same majority requirements that would otherwise apply to such transactions.</w:t>
      </w:r>
    </w:p>
    <w:p>
      <w:pPr>
        <w:spacing w:after="0" w:line="189"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We expect that following this offering, Fortissimo Capital, which prior to this offering beneficially owned 69.6% of our ordinary shares, will be a controlling shareholder, although this status may change in the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1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38" w:lineRule="exact"/>
        <w:rPr>
          <w:sz w:val="20"/>
          <w:szCs w:val="20"/>
          <w:color w:val="auto"/>
        </w:rPr>
      </w:pPr>
    </w:p>
    <w:p>
      <w:pPr>
        <w:ind w:left="560" w:hanging="219"/>
        <w:spacing w:after="0"/>
        <w:tabs>
          <w:tab w:leader="none" w:pos="5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an amendment to the company’s articles of association;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an increase of the company’s authorized share capital;</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 merger; or</w:t>
      </w:r>
    </w:p>
    <w:p>
      <w:pPr>
        <w:spacing w:after="0" w:line="215" w:lineRule="exact"/>
        <w:rPr>
          <w:rFonts w:ascii="Arial" w:cs="Arial" w:eastAsia="Arial" w:hAnsi="Arial"/>
          <w:sz w:val="22"/>
          <w:szCs w:val="22"/>
          <w:color w:val="auto"/>
        </w:rPr>
      </w:pPr>
    </w:p>
    <w:p>
      <w:pPr>
        <w:ind w:left="340" w:right="1179" w:firstLine="1"/>
        <w:spacing w:after="0" w:line="515" w:lineRule="auto"/>
        <w:tabs>
          <w:tab w:leader="none" w:pos="569" w:val="left"/>
        </w:tabs>
        <w:numPr>
          <w:ilvl w:val="0"/>
          <w:numId w:val="54"/>
        </w:numPr>
        <w:rPr>
          <w:rFonts w:ascii="Arial" w:cs="Arial" w:eastAsia="Arial" w:hAnsi="Arial"/>
          <w:sz w:val="19"/>
          <w:szCs w:val="19"/>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 xml:space="preserve">In addition, certain shareholders have a duty of fairness toward the company. These shareholders include any controlling shareholder, any shareholder who knows that he or she has the power to determine the outcome of a shareholder vote </w:t>
      </w:r>
      <w:r>
        <w:rPr>
          <w:rFonts w:ascii="Arial" w:cs="Arial" w:eastAsia="Arial" w:hAnsi="Arial"/>
          <w:sz w:val="18"/>
          <w:szCs w:val="18"/>
          <w:color w:val="231F20"/>
        </w:rPr>
        <w:t>and</w:t>
      </w:r>
      <w:r>
        <w:rPr>
          <w:rFonts w:ascii="Arial" w:cs="Arial" w:eastAsia="Arial" w:hAnsi="Arial"/>
          <w:sz w:val="18"/>
          <w:szCs w:val="18"/>
          <w:color w:val="auto"/>
        </w:rPr>
        <w:t xml:space="preserve">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02"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effective upon the closing of this offering, include such a provision. A company may not exculpate in advance a director from liability arising out of a prohibited dividend or distribution to shareholders.</w:t>
      </w:r>
    </w:p>
    <w:p>
      <w:pPr>
        <w:spacing w:after="0" w:line="178"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00" w:lineRule="exact"/>
        <w:rPr>
          <w:sz w:val="20"/>
          <w:szCs w:val="20"/>
          <w:color w:val="auto"/>
        </w:rPr>
      </w:pPr>
    </w:p>
    <w:p>
      <w:pPr>
        <w:jc w:val="both"/>
        <w:ind w:left="560" w:right="119" w:hanging="219"/>
        <w:spacing w:after="0" w:line="283" w:lineRule="auto"/>
        <w:tabs>
          <w:tab w:leader="none" w:pos="572" w:val="left"/>
        </w:tabs>
        <w:numPr>
          <w:ilvl w:val="0"/>
          <w:numId w:val="55"/>
        </w:numPr>
        <w:rPr>
          <w:rFonts w:ascii="Arial" w:cs="Arial" w:eastAsia="Arial" w:hAnsi="Arial"/>
          <w:sz w:val="19"/>
          <w:szCs w:val="19"/>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Arial" w:cs="Arial" w:eastAsia="Arial" w:hAnsi="Arial"/>
          <w:sz w:val="19"/>
          <w:szCs w:val="19"/>
          <w:color w:val="auto"/>
        </w:rPr>
      </w:pPr>
    </w:p>
    <w:p>
      <w:pPr>
        <w:jc w:val="both"/>
        <w:ind w:left="560" w:right="119" w:hanging="219"/>
        <w:spacing w:after="0" w:line="245" w:lineRule="auto"/>
        <w:tabs>
          <w:tab w:leader="none" w:pos="667" w:val="left"/>
        </w:tabs>
        <w:numPr>
          <w:ilvl w:val="0"/>
          <w:numId w:val="55"/>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16" w:lineRule="exact"/>
        <w:rPr>
          <w:rFonts w:ascii="Arial" w:cs="Arial" w:eastAsia="Arial" w:hAnsi="Arial"/>
          <w:sz w:val="22"/>
          <w:szCs w:val="22"/>
          <w:color w:val="auto"/>
        </w:rPr>
      </w:pPr>
    </w:p>
    <w:p>
      <w:pPr>
        <w:jc w:val="both"/>
        <w:ind w:left="560" w:right="119" w:hanging="219"/>
        <w:spacing w:after="0" w:line="241" w:lineRule="auto"/>
        <w:tabs>
          <w:tab w:leader="none" w:pos="613" w:val="left"/>
        </w:tabs>
        <w:numPr>
          <w:ilvl w:val="0"/>
          <w:numId w:val="55"/>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120" w:right="119" w:firstLine="216"/>
        <w:spacing w:after="0" w:line="342"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37" w:lineRule="exact"/>
        <w:rPr>
          <w:sz w:val="20"/>
          <w:szCs w:val="20"/>
          <w:color w:val="auto"/>
        </w:rPr>
      </w:pPr>
    </w:p>
    <w:p>
      <w:pPr>
        <w:ind w:left="560" w:right="119" w:hanging="219"/>
        <w:spacing w:after="0" w:line="232" w:lineRule="auto"/>
        <w:tabs>
          <w:tab w:leader="none" w:pos="626"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financial liability imposed on the office holder in favor of a third party.</w:t>
      </w:r>
    </w:p>
    <w:p>
      <w:pPr>
        <w:spacing w:after="0" w:line="202" w:lineRule="exact"/>
        <w:rPr>
          <w:sz w:val="20"/>
          <w:szCs w:val="20"/>
          <w:color w:val="auto"/>
        </w:rPr>
      </w:pPr>
    </w:p>
    <w:p>
      <w:pPr>
        <w:ind w:left="120" w:right="119" w:firstLine="216"/>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184" w:lineRule="exact"/>
        <w:rPr>
          <w:sz w:val="20"/>
          <w:szCs w:val="20"/>
          <w:color w:val="auto"/>
        </w:rPr>
      </w:pPr>
    </w:p>
    <w:p>
      <w:pPr>
        <w:jc w:val="both"/>
        <w:ind w:left="560" w:right="119" w:hanging="219"/>
        <w:spacing w:after="0" w:line="238" w:lineRule="auto"/>
        <w:tabs>
          <w:tab w:leader="none" w:pos="586" w:val="left"/>
        </w:tabs>
        <w:numPr>
          <w:ilvl w:val="0"/>
          <w:numId w:val="57"/>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16"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57"/>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 fine or forfeit levied against the office holder.</w:t>
      </w:r>
    </w:p>
    <w:p>
      <w:pPr>
        <w:spacing w:after="0" w:line="202"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47"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81"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completion of this offering and the Israeli Companies Law, including with respect to liabilities resulting from this offering to the extent that these liabilities are not covered by insurance. In the opinion of the Commission, indemnification of directors and office holders for liabilities arising under the Securities Act, however, is against public policy and therefore unenforceable.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Commission. Upon the effectiveness of the registration statement of which this prospectus forms a part, the full text of the Code of Business Conduct and Ethics will be posted on our website at www.kornit.com.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Commission. Under Item 16B of the Commission’s Form 20-F, if a waiver or amendment of the Code of Business Conduct and Ethics applies to our principal executive officer, principal financial officer, principal accounting officer or controller and relates to standards promoting any of the values described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jc w:val="both"/>
        <w:ind w:left="120" w:right="119"/>
        <w:spacing w:after="0" w:line="277" w:lineRule="auto"/>
        <w:rPr>
          <w:sz w:val="20"/>
          <w:szCs w:val="20"/>
          <w:color w:val="auto"/>
        </w:rPr>
      </w:pPr>
      <w:r>
        <w:rPr>
          <w:rFonts w:ascii="Arial" w:cs="Arial" w:eastAsia="Arial" w:hAnsi="Arial"/>
          <w:sz w:val="18"/>
          <w:szCs w:val="18"/>
          <w:color w:val="auto"/>
        </w:rPr>
        <w:t>in Item 16B(b) of Form 20-F, we are required to disclose such waiver or amendment on our website in accordance with the requirements of Instruction 4 to such Item 16B.</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The aggregate compensation paid and equity-based compensation and other payments expensed by us and our subsidiaries to our directors and executive officers with respect to the year ended December 31, 2014 was $2.0 million. This amount includes approximately $0.2 million set aside or accrued to provide pension, severance, retirement or similar benefits or expenses. As of December 31, 2014, options to purchase 192,121 ordinary shares granted to our directors and executive officers were outstanding under our share option plan at a weighted average exercise price of $11.75 per share. Certain of our officers and directors receive a severance payment of up to six months of their base salary upon termination of their employment.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252" w:lineRule="exact"/>
        <w:rPr>
          <w:sz w:val="20"/>
          <w:szCs w:val="20"/>
          <w:color w:val="auto"/>
        </w:rPr>
      </w:pPr>
    </w:p>
    <w:p>
      <w:pPr>
        <w:jc w:val="both"/>
        <w:ind w:left="120" w:right="119" w:firstLine="216"/>
        <w:spacing w:after="0" w:line="290" w:lineRule="auto"/>
        <w:rPr>
          <w:sz w:val="20"/>
          <w:szCs w:val="20"/>
          <w:color w:val="auto"/>
        </w:rPr>
      </w:pPr>
      <w:r>
        <w:rPr>
          <w:rFonts w:ascii="Arial" w:cs="Arial" w:eastAsia="Arial" w:hAnsi="Arial"/>
          <w:sz w:val="16"/>
          <w:szCs w:val="16"/>
          <w:color w:val="auto"/>
        </w:rPr>
        <w:t>We have entered into written employment agreements with all of our executive officers. These agreements contain standard provisions for a company in our industry regarding non-competition, confidentiality of information and assignment of inventions. These agreements do not provide for benefits upon the termination of these executives’ respective employment with us, other than payment of salary and benefits (but not accrual of vacation days) during the required notice period for termination of these agreements, which varies under these individual agreements. Under their employment agreements, certain of our officers and directors receive a severance payment of up to six months of their base salary upon termination of their employment. See “Certain Relationships and Related Party Transactions— Agreements and Arrangements with, and Compensation of, Directors and Executive Officers” for additional information.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In May 2004 our board of directors adopted and our shareholders approved our 2004 Share Option Plan, or the 2004 Plan. The 2004 Plan was amended on June 15, 2005. We are not granting options under the 2004 Plan anymore because it was superceded by the 2012 Plan, athough previously granted awards remain outstanding. As of September 30, 2014, a total of 179,350 ordinary shares remain outstanding under the 2004 Plan.</w:t>
      </w:r>
    </w:p>
    <w:p>
      <w:pPr>
        <w:spacing w:after="0" w:line="171"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 2004 Plan provides for the grant of options to our and our subsidiaries’ and affiliates’ directors, employees and officers, who are expected to continue to our future growth and success.</w:t>
      </w:r>
    </w:p>
    <w:p>
      <w:pPr>
        <w:spacing w:after="0" w:line="170"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The 2004 Plan is administered by our board of directors or by a compensation committee appointed by the board of directors, which determines, subject to Israeli law, the grantees of awards and the terms of the grant, including, exercise 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73"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(up to 50% in 2014).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jc w:val="both"/>
        <w:ind w:left="120" w:right="119"/>
        <w:spacing w:after="0" w:line="342" w:lineRule="auto"/>
        <w:rPr>
          <w:sz w:val="20"/>
          <w:szCs w:val="20"/>
          <w:color w:val="auto"/>
        </w:rPr>
      </w:pPr>
      <w:r>
        <w:rPr>
          <w:rFonts w:ascii="Arial" w:cs="Arial" w:eastAsia="Arial" w:hAnsi="Arial"/>
          <w:sz w:val="16"/>
          <w:szCs w:val="16"/>
          <w:color w:val="auto"/>
        </w:rPr>
        <w:t>the relevant grantee before 24 months from the date of grant and deposit of such securities with the trustee. However, under this track, we are not allowed to deduct an expense with respect to the issuance of the options or shares.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Vesting schedule of options granted under the 2004 Plan is set forth in each grantee’s grant letter.</w:t>
      </w:r>
    </w:p>
    <w:p>
      <w:pPr>
        <w:spacing w:after="0" w:line="225"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Options granted prior to June 15, 2005 may be exercised up to 10 years from the grant date and options granted thereafter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(i.e. seven or 10 years as set forth above).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90 days after the date of termination, or (ii) the term of the options.</w:t>
      </w:r>
    </w:p>
    <w:p>
      <w:pPr>
        <w:spacing w:after="0" w:line="178"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Options may not be sold, assigned, pledged or otherwise disposed of by the participant who holds such options, except by will or the laws of descent.</w:t>
      </w:r>
    </w:p>
    <w:p>
      <w:pPr>
        <w:spacing w:after="0" w:line="170" w:lineRule="exact"/>
        <w:rPr>
          <w:sz w:val="20"/>
          <w:szCs w:val="20"/>
          <w:color w:val="auto"/>
        </w:rPr>
      </w:pPr>
    </w:p>
    <w:p>
      <w:pPr>
        <w:jc w:val="both"/>
        <w:ind w:left="120" w:right="119" w:firstLine="216"/>
        <w:spacing w:after="0" w:line="293"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color w:val="auto"/>
        </w:rPr>
        <w:t>In October 2012, our board of directors adopted and our shareholders approved our 2012 Share Incentive Plan, or the 2012 Plan</w:t>
      </w:r>
      <w:r>
        <w:rPr>
          <w:rFonts w:ascii="Arial" w:cs="Arial" w:eastAsia="Arial" w:hAnsi="Arial"/>
          <w:sz w:val="17"/>
          <w:szCs w:val="17"/>
          <w:i w:val="1"/>
          <w:iCs w:val="1"/>
          <w:color w:val="auto"/>
        </w:rPr>
        <w:t>.</w:t>
      </w:r>
      <w:r>
        <w:rPr>
          <w:rFonts w:ascii="Arial" w:cs="Arial" w:eastAsia="Arial" w:hAnsi="Arial"/>
          <w:sz w:val="17"/>
          <w:szCs w:val="17"/>
          <w:color w:val="auto"/>
        </w:rPr>
        <w:t xml:space="preserve"> The 2012 Plan replaced our 2004 Plan.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September 30, 2014, we had available 68,217 shares for future grant and had 154,582 options to purchase ordinary shares outstanding under the 2012 Plan. Our board of directors may increase the number of shares available for future grant at any time.</w:t>
      </w:r>
    </w:p>
    <w:p>
      <w:pPr>
        <w:spacing w:after="0" w:line="179"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78"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102(b)(2) of the Ordinance. Our Israeli non-employee service providers and controlling shareholders may only be granted options under Section 3(i) of the Ordinance, which does not provide for similar tax benefits.</w:t>
      </w:r>
    </w:p>
    <w:p>
      <w:pPr>
        <w:spacing w:after="0" w:line="188"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7"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Awards under the 2012 Plan may be granted until 10 years from the date on which the 2012 Plan was adopted by our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jc w:val="both"/>
        <w:ind w:left="120" w:right="119" w:firstLine="216"/>
        <w:spacing w:after="0" w:line="257" w:lineRule="auto"/>
        <w:rPr>
          <w:sz w:val="20"/>
          <w:szCs w:val="20"/>
          <w:color w:val="auto"/>
        </w:rPr>
      </w:pPr>
      <w:r>
        <w:rPr>
          <w:rFonts w:ascii="Arial" w:cs="Arial" w:eastAsia="Arial" w:hAnsi="Arial"/>
          <w:sz w:val="18"/>
          <w:szCs w:val="18"/>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88"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88" w:lineRule="exact"/>
        <w:rPr>
          <w:sz w:val="20"/>
          <w:szCs w:val="20"/>
          <w:color w:val="auto"/>
        </w:rPr>
      </w:pPr>
    </w:p>
    <w:p>
      <w:pPr>
        <w:jc w:val="both"/>
        <w:ind w:left="120" w:right="119" w:firstLine="216"/>
        <w:spacing w:after="0" w:line="289"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67"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Restricted share awards are ordinary shares that are awarded to a participant subject to the satisfaction of the terms and conditions established by the board of directors or a committee designated by the board of directors. Until such time as the applicable restrictions lapse, restricted shares are subject to forfeiture and may not be sold, assigned, pledged or otherwise disposed of by the participant who holds those shares, except by will or the laws of descent. Generally, if a grantee’s employment or service is terminated for any reason prior to the expiration of the time when the restrictions lapse, shares that are still restricted will be forfeited by the participant.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119" w:firstLine="216"/>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the date of this prospectus and after this offering by:</w:t>
      </w:r>
    </w:p>
    <w:p>
      <w:pPr>
        <w:spacing w:after="0" w:line="161" w:lineRule="exact"/>
        <w:rPr>
          <w:sz w:val="20"/>
          <w:szCs w:val="20"/>
          <w:color w:val="auto"/>
        </w:rPr>
      </w:pPr>
    </w:p>
    <w:p>
      <w:pPr>
        <w:ind w:left="560" w:hanging="219"/>
        <w:spacing w:after="0"/>
        <w:tabs>
          <w:tab w:leader="none" w:pos="560" w:val="left"/>
        </w:tabs>
        <w:numPr>
          <w:ilvl w:val="0"/>
          <w:numId w:val="58"/>
        </w:numPr>
        <w:rPr>
          <w:rFonts w:ascii="Arial" w:cs="Arial" w:eastAsia="Arial" w:hAnsi="Arial"/>
          <w:sz w:val="22"/>
          <w:szCs w:val="22"/>
          <w:color w:val="auto"/>
        </w:rPr>
      </w:pPr>
      <w:r>
        <w:rPr>
          <w:rFonts w:ascii="Arial" w:cs="Arial" w:eastAsia="Arial" w:hAnsi="Arial"/>
          <w:sz w:val="18"/>
          <w:szCs w:val="18"/>
          <w:color w:val="auto"/>
        </w:rPr>
        <w:t>each person or entity known by us to own beneficially 5% or more of our outstanding ordinary shares;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8"/>
        </w:numPr>
        <w:rPr>
          <w:rFonts w:ascii="Arial" w:cs="Arial" w:eastAsia="Arial" w:hAnsi="Arial"/>
          <w:sz w:val="22"/>
          <w:szCs w:val="22"/>
          <w:color w:val="auto"/>
        </w:rPr>
      </w:pPr>
      <w:r>
        <w:rPr>
          <w:rFonts w:ascii="Arial" w:cs="Arial" w:eastAsia="Arial" w:hAnsi="Arial"/>
          <w:sz w:val="18"/>
          <w:szCs w:val="18"/>
          <w:color w:val="auto"/>
        </w:rPr>
        <w:t>each of our directors and executive officers individually;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8"/>
        </w:numPr>
        <w:rPr>
          <w:rFonts w:ascii="Arial" w:cs="Arial" w:eastAsia="Arial" w:hAnsi="Arial"/>
          <w:sz w:val="22"/>
          <w:szCs w:val="22"/>
          <w:color w:val="auto"/>
        </w:rPr>
      </w:pPr>
      <w:r>
        <w:rPr>
          <w:rFonts w:ascii="Arial" w:cs="Arial" w:eastAsia="Arial" w:hAnsi="Arial"/>
          <w:sz w:val="18"/>
          <w:szCs w:val="18"/>
          <w:color w:val="auto"/>
        </w:rPr>
        <w:t>all of our executive officers and directors as a group.</w:t>
      </w:r>
    </w:p>
    <w:p>
      <w:pPr>
        <w:spacing w:after="0" w:line="202"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or warrants that are currently exercisable or exercisable within 60 days of December 31, 2014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prior to the offering is based on 3,296,450 ordinary shares outstanding as of December 31, 2014, assuming the conversion of all outstanding preferred shares as of that date. Except where otherwise indicated, we believe, based on information furnished to us by such owners, that the beneficial owners of the ordinary shares listed below have sole investment and voting power with respect to such shares.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not aware of any U.S. persons that are holders of record of our shares as of December 31, 2014.</w:t>
      </w:r>
    </w:p>
    <w:p>
      <w:pPr>
        <w:spacing w:after="0" w:line="225"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Unless otherwise noted below, each shareholder’s address is c/o Kornit Digital Ltd., 12 Ha’Amal Street, Rosh – Ha’Ayin 4809246, Israel.</w:t>
      </w:r>
    </w:p>
    <w:p>
      <w:pPr>
        <w:spacing w:after="0" w:line="170" w:lineRule="exact"/>
        <w:rPr>
          <w:sz w:val="20"/>
          <w:szCs w:val="20"/>
          <w:color w:val="auto"/>
        </w:rPr>
      </w:pPr>
    </w:p>
    <w:p>
      <w:pPr>
        <w:jc w:val="both"/>
        <w:ind w:left="120" w:right="119" w:firstLine="216"/>
        <w:spacing w:after="0" w:line="342" w:lineRule="auto"/>
        <w:rPr>
          <w:sz w:val="20"/>
          <w:szCs w:val="20"/>
          <w:color w:val="auto"/>
        </w:rPr>
      </w:pPr>
      <w:r>
        <w:rPr>
          <w:rFonts w:ascii="Arial" w:cs="Arial" w:eastAsia="Arial" w:hAnsi="Arial"/>
          <w:sz w:val="16"/>
          <w:szCs w:val="16"/>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1"/>
              </w:rPr>
              <w:t>Number and Percentage of</w:t>
            </w:r>
          </w:p>
        </w:tc>
        <w:tc>
          <w:tcPr>
            <w:tcW w:w="28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Percentage of Ordinary</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Ordinary Shares Beneficially</w:t>
            </w:r>
          </w:p>
        </w:tc>
        <w:tc>
          <w:tcPr>
            <w:tcW w:w="28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4"/>
              </w:rPr>
              <w:t>Owned Prior to Offering</w:t>
            </w:r>
          </w:p>
        </w:tc>
        <w:tc>
          <w:tcPr>
            <w:tcW w:w="28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5"/>
              </w:rPr>
              <w:t>After the Offering</w:t>
            </w: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9"/>
              </w:rPr>
              <w:t>Assuming No</w:t>
            </w:r>
          </w:p>
        </w:tc>
        <w:tc>
          <w:tcPr>
            <w:tcW w:w="11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w w:val="99"/>
              </w:rPr>
              <w:t>Assuming Full</w:t>
            </w: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Exercise of the</w:t>
            </w: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Exercise of the</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Over-Allotment</w:t>
            </w: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Over-Allotment</w:t>
            </w:r>
          </w:p>
        </w:tc>
      </w:tr>
      <w:tr>
        <w:trPr>
          <w:trHeight w:val="213"/>
        </w:trPr>
        <w:tc>
          <w:tcPr>
            <w:tcW w:w="342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Number</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Percent</w:t>
            </w: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Option</w:t>
            </w:r>
          </w:p>
        </w:tc>
        <w:tc>
          <w:tcPr>
            <w:tcW w:w="1320" w:type="dxa"/>
            <w:vAlign w:val="bottom"/>
            <w:gridSpan w:val="2"/>
          </w:tcPr>
          <w:p>
            <w:pPr>
              <w:ind w:left="340"/>
              <w:spacing w:after="0"/>
              <w:rPr>
                <w:sz w:val="20"/>
                <w:szCs w:val="20"/>
                <w:color w:val="auto"/>
              </w:rPr>
            </w:pPr>
            <w:r>
              <w:rPr>
                <w:rFonts w:ascii="Arial" w:cs="Arial" w:eastAsia="Arial" w:hAnsi="Arial"/>
                <w:sz w:val="16"/>
                <w:szCs w:val="16"/>
                <w:b w:val="1"/>
                <w:bCs w:val="1"/>
                <w:color w:val="auto"/>
              </w:rPr>
              <w:t>Option</w:t>
            </w:r>
          </w:p>
        </w:tc>
      </w:tr>
      <w:tr>
        <w:trPr>
          <w:trHeight w:val="240"/>
        </w:trPr>
        <w:tc>
          <w:tcPr>
            <w:tcW w:w="20" w:type="dxa"/>
            <w:vAlign w:val="bottom"/>
          </w:tcPr>
          <w:p>
            <w:pPr>
              <w:spacing w:after="0"/>
              <w:rPr>
                <w:sz w:val="20"/>
                <w:szCs w:val="20"/>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1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43"/>
        </w:trPr>
        <w:tc>
          <w:tcPr>
            <w:tcW w:w="3420" w:type="dxa"/>
            <w:vAlign w:val="bottom"/>
            <w:gridSpan w:val="3"/>
          </w:tcPr>
          <w:p>
            <w:pPr>
              <w:spacing w:after="0" w:line="243" w:lineRule="exact"/>
              <w:rPr>
                <w:sz w:val="20"/>
                <w:szCs w:val="20"/>
                <w:color w:val="auto"/>
              </w:rPr>
            </w:pPr>
            <w:r>
              <w:rPr>
                <w:rFonts w:ascii="Arial" w:cs="Arial" w:eastAsia="Arial" w:hAnsi="Arial"/>
                <w:sz w:val="18"/>
                <w:szCs w:val="18"/>
                <w:color w:val="auto"/>
              </w:rPr>
              <w:t>Fortissimo Capital Fund II (Israel), L.P.</w:t>
            </w:r>
            <w:r>
              <w:rPr>
                <w:rFonts w:ascii="Arial" w:cs="Arial" w:eastAsia="Arial" w:hAnsi="Arial"/>
                <w:sz w:val="23"/>
                <w:szCs w:val="23"/>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Gavriel Weinshtock</w:t>
            </w:r>
            <w:r>
              <w:rPr>
                <w:rFonts w:ascii="Arial" w:cs="Arial" w:eastAsia="Arial" w:hAnsi="Arial"/>
                <w:sz w:val="23"/>
                <w:szCs w:val="23"/>
                <w:color w:val="auto"/>
                <w:vertAlign w:val="superscript"/>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205,920</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gridSpan w:val="3"/>
          </w:tcPr>
          <w:p>
            <w:pPr>
              <w:spacing w:after="0" w:line="243" w:lineRule="exact"/>
              <w:rPr>
                <w:sz w:val="20"/>
                <w:szCs w:val="20"/>
                <w:color w:val="auto"/>
              </w:rPr>
            </w:pPr>
            <w:r>
              <w:rPr>
                <w:rFonts w:ascii="Arial" w:cs="Arial" w:eastAsia="Arial" w:hAnsi="Arial"/>
                <w:sz w:val="18"/>
                <w:szCs w:val="18"/>
                <w:color w:val="auto"/>
              </w:rPr>
              <w:t>Yossef Nuriel</w:t>
            </w:r>
            <w:r>
              <w:rPr>
                <w:rFonts w:ascii="Arial" w:cs="Arial" w:eastAsia="Arial" w:hAnsi="Arial"/>
                <w:sz w:val="23"/>
                <w:szCs w:val="23"/>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192,890</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Yahel (Nur Group) Holdings Ltd.</w:t>
            </w:r>
            <w:r>
              <w:rPr>
                <w:rFonts w:ascii="Arial" w:cs="Arial" w:eastAsia="Arial" w:hAnsi="Arial"/>
                <w:sz w:val="23"/>
                <w:szCs w:val="23"/>
                <w:color w:val="auto"/>
                <w:vertAlign w:val="superscript"/>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167,217</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2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gridSpan w:val="3"/>
          </w:tcPr>
          <w:p>
            <w:pPr>
              <w:spacing w:after="0" w:line="243" w:lineRule="exact"/>
              <w:rPr>
                <w:sz w:val="20"/>
                <w:szCs w:val="20"/>
                <w:color w:val="auto"/>
              </w:rPr>
            </w:pPr>
            <w:r>
              <w:rPr>
                <w:rFonts w:ascii="Arial" w:cs="Arial" w:eastAsia="Arial" w:hAnsi="Arial"/>
                <w:sz w:val="18"/>
                <w:szCs w:val="18"/>
                <w:color w:val="auto"/>
              </w:rPr>
              <w:t>Yuval Cohen</w:t>
            </w:r>
            <w:r>
              <w:rPr>
                <w:rFonts w:ascii="Arial" w:cs="Arial" w:eastAsia="Arial" w:hAnsi="Arial"/>
                <w:sz w:val="23"/>
                <w:szCs w:val="23"/>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Ofer Ben Zur</w:t>
            </w:r>
            <w:r>
              <w:rPr>
                <w:rFonts w:ascii="Arial" w:cs="Arial" w:eastAsia="Arial" w:hAnsi="Arial"/>
                <w:sz w:val="23"/>
                <w:szCs w:val="23"/>
                <w:color w:val="auto"/>
                <w:vertAlign w:val="superscript"/>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226,990</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gridSpan w:val="3"/>
          </w:tcPr>
          <w:p>
            <w:pPr>
              <w:spacing w:after="0" w:line="243" w:lineRule="exact"/>
              <w:rPr>
                <w:sz w:val="20"/>
                <w:szCs w:val="20"/>
                <w:color w:val="auto"/>
              </w:rPr>
            </w:pPr>
            <w:r>
              <w:rPr>
                <w:rFonts w:ascii="Arial" w:cs="Arial" w:eastAsia="Arial" w:hAnsi="Arial"/>
                <w:sz w:val="18"/>
                <w:szCs w:val="18"/>
                <w:color w:val="auto"/>
              </w:rPr>
              <w:t>Eli Blatt</w:t>
            </w:r>
            <w:r>
              <w:rPr>
                <w:rFonts w:ascii="Arial" w:cs="Arial" w:eastAsia="Arial" w:hAnsi="Arial"/>
                <w:sz w:val="23"/>
                <w:szCs w:val="23"/>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Yoav Hineman</w:t>
            </w:r>
            <w:r>
              <w:rPr>
                <w:rFonts w:ascii="Arial" w:cs="Arial" w:eastAsia="Arial" w:hAnsi="Arial"/>
                <w:sz w:val="23"/>
                <w:szCs w:val="23"/>
                <w:color w:val="auto"/>
                <w:vertAlign w:val="superscript"/>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gridSpan w:val="3"/>
          </w:tcPr>
          <w:p>
            <w:pPr>
              <w:spacing w:after="0" w:line="243" w:lineRule="exact"/>
              <w:rPr>
                <w:sz w:val="20"/>
                <w:szCs w:val="20"/>
                <w:color w:val="auto"/>
              </w:rPr>
            </w:pPr>
            <w:r>
              <w:rPr>
                <w:rFonts w:ascii="Arial" w:cs="Arial" w:eastAsia="Arial" w:hAnsi="Arial"/>
                <w:sz w:val="18"/>
                <w:szCs w:val="18"/>
                <w:color w:val="auto"/>
              </w:rPr>
              <w:t>Marc Lesnick</w:t>
            </w:r>
            <w:r>
              <w:rPr>
                <w:rFonts w:ascii="Arial" w:cs="Arial" w:eastAsia="Arial" w:hAnsi="Arial"/>
                <w:sz w:val="23"/>
                <w:szCs w:val="23"/>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Moshe Nur</w:t>
            </w:r>
            <w:r>
              <w:rPr>
                <w:rFonts w:ascii="Arial" w:cs="Arial" w:eastAsia="Arial" w:hAnsi="Arial"/>
                <w:sz w:val="23"/>
                <w:szCs w:val="23"/>
                <w:color w:val="auto"/>
                <w:vertAlign w:val="superscript"/>
              </w:rPr>
              <w:t>(4)(6)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173,217</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gridSpan w:val="3"/>
          </w:tcPr>
          <w:p>
            <w:pPr>
              <w:spacing w:after="0"/>
              <w:rPr>
                <w:sz w:val="20"/>
                <w:szCs w:val="20"/>
                <w:color w:val="auto"/>
              </w:rPr>
            </w:pPr>
            <w:r>
              <w:rPr>
                <w:rFonts w:ascii="Arial" w:cs="Arial" w:eastAsia="Arial" w:hAnsi="Arial"/>
                <w:sz w:val="18"/>
                <w:szCs w:val="18"/>
                <w:color w:val="auto"/>
              </w:rPr>
              <w:t>Joshua Maor</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gridSpan w:val="3"/>
          </w:tcPr>
          <w:p>
            <w:pPr>
              <w:spacing w:after="0"/>
              <w:rPr>
                <w:sz w:val="20"/>
                <w:szCs w:val="20"/>
                <w:color w:val="auto"/>
              </w:rPr>
            </w:pPr>
            <w:r>
              <w:rPr>
                <w:rFonts w:ascii="Arial" w:cs="Arial" w:eastAsia="Arial" w:hAnsi="Arial"/>
                <w:sz w:val="18"/>
                <w:szCs w:val="18"/>
                <w:color w:val="auto"/>
              </w:rPr>
              <w:t>Guy Avidan</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Sarel Ashkenazy</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84"/>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86</w:t>
            </w: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90" w:name="page91"/>
    <w:bookmarkEnd w:id="90"/>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3"/>
          </w:tcPr>
          <w:p>
            <w:pPr>
              <w:jc w:val="center"/>
              <w:ind w:left="34"/>
              <w:spacing w:after="0"/>
              <w:rPr>
                <w:sz w:val="20"/>
                <w:szCs w:val="20"/>
                <w:color w:val="auto"/>
              </w:rPr>
            </w:pPr>
            <w:r>
              <w:rPr>
                <w:rFonts w:ascii="Arial" w:cs="Arial" w:eastAsia="Arial" w:hAnsi="Arial"/>
                <w:sz w:val="16"/>
                <w:szCs w:val="16"/>
                <w:b w:val="1"/>
                <w:bCs w:val="1"/>
                <w:color w:val="auto"/>
                <w:w w:val="91"/>
              </w:rPr>
              <w:t>Number and Percentage of</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Percentage of Ordinary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Ordinary Shares Beneficially</w:t>
            </w:r>
          </w:p>
        </w:tc>
        <w:tc>
          <w:tcPr>
            <w:tcW w:w="28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Shares Beneficially 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tcPr>
          <w:p>
            <w:pPr>
              <w:jc w:val="center"/>
              <w:ind w:left="94"/>
              <w:spacing w:after="0"/>
              <w:rPr>
                <w:sz w:val="20"/>
                <w:szCs w:val="20"/>
                <w:color w:val="auto"/>
              </w:rPr>
            </w:pPr>
            <w:r>
              <w:rPr>
                <w:rFonts w:ascii="Arial" w:cs="Arial" w:eastAsia="Arial" w:hAnsi="Arial"/>
                <w:sz w:val="16"/>
                <w:szCs w:val="16"/>
                <w:b w:val="1"/>
                <w:bCs w:val="1"/>
                <w:color w:val="auto"/>
                <w:w w:val="94"/>
              </w:rPr>
              <w:t>Owned Prior to Offering</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5"/>
              </w:rPr>
              <w:t>After the Offering</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9"/>
              </w:rPr>
              <w:t>Assuming No</w:t>
            </w:r>
          </w:p>
        </w:tc>
        <w:tc>
          <w:tcPr>
            <w:tcW w:w="11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w w:val="99"/>
              </w:rPr>
              <w:t>Assuming Full</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Exercise of the</w:t>
            </w: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Exercise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Over-Allotment</w:t>
            </w: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213"/>
        </w:trPr>
        <w:tc>
          <w:tcPr>
            <w:tcW w:w="342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w:t>
            </w:r>
          </w:p>
        </w:tc>
        <w:tc>
          <w:tcPr>
            <w:tcW w:w="760" w:type="dxa"/>
            <w:vAlign w:val="bottom"/>
          </w:tcPr>
          <w:p>
            <w:pPr>
              <w:ind w:left="200"/>
              <w:spacing w:after="0"/>
              <w:rPr>
                <w:sz w:val="20"/>
                <w:szCs w:val="20"/>
                <w:color w:val="auto"/>
              </w:rPr>
            </w:pPr>
            <w:r>
              <w:rPr>
                <w:rFonts w:ascii="Arial" w:cs="Arial" w:eastAsia="Arial" w:hAnsi="Arial"/>
                <w:sz w:val="16"/>
                <w:szCs w:val="16"/>
                <w:b w:val="1"/>
                <w:bCs w:val="1"/>
                <w:color w:val="auto"/>
                <w:w w:val="91"/>
              </w:rPr>
              <w:t>Percent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Option</w:t>
            </w:r>
          </w:p>
        </w:tc>
        <w:tc>
          <w:tcPr>
            <w:tcW w:w="1320" w:type="dxa"/>
            <w:vAlign w:val="bottom"/>
            <w:gridSpan w:val="2"/>
          </w:tcPr>
          <w:p>
            <w:pPr>
              <w:ind w:left="340"/>
              <w:spacing w:after="0"/>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Ofer Sandelson</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spacing w:after="0"/>
              <w:rPr>
                <w:sz w:val="20"/>
                <w:szCs w:val="20"/>
                <w:color w:val="auto"/>
              </w:rPr>
            </w:pPr>
            <w:r>
              <w:rPr>
                <w:rFonts w:ascii="Arial" w:cs="Arial" w:eastAsia="Arial" w:hAnsi="Arial"/>
                <w:sz w:val="18"/>
                <w:szCs w:val="18"/>
                <w:color w:val="auto"/>
              </w:rPr>
              <w:t>Guy Zimmerman</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Oded Kraft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7"/>
              </w:rPr>
              <w:t>All Directors and Executive Officers as a</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81.8</w:t>
            </w:r>
            <w:r>
              <w:rPr>
                <w:rFonts w:ascii="Arial" w:cs="Arial" w:eastAsia="Arial" w:hAnsi="Arial"/>
                <w:sz w:val="21"/>
                <w:szCs w:val="21"/>
                <w:color w:val="auto"/>
              </w:rPr>
              <w:t>%</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Group (13 persons)</w:t>
            </w:r>
            <w:r>
              <w:rPr>
                <w:rFonts w:ascii="Arial" w:cs="Arial" w:eastAsia="Arial" w:hAnsi="Arial"/>
                <w:sz w:val="23"/>
                <w:szCs w:val="23"/>
                <w:b w:val="1"/>
                <w:bCs w:val="1"/>
                <w:color w:val="auto"/>
                <w:vertAlign w:val="superscript"/>
              </w:rPr>
              <w:t>(7)</w:t>
            </w:r>
          </w:p>
        </w:tc>
        <w:tc>
          <w:tcPr>
            <w:tcW w:w="960" w:type="dxa"/>
            <w:vAlign w:val="bottom"/>
          </w:tcPr>
          <w:p>
            <w:pPr>
              <w:jc w:val="right"/>
              <w:spacing w:after="0"/>
              <w:rPr>
                <w:sz w:val="20"/>
                <w:szCs w:val="20"/>
                <w:color w:val="auto"/>
              </w:rPr>
            </w:pPr>
            <w:r>
              <w:rPr>
                <w:rFonts w:ascii="Arial" w:cs="Arial" w:eastAsia="Arial" w:hAnsi="Arial"/>
                <w:sz w:val="18"/>
                <w:szCs w:val="18"/>
                <w:color w:val="auto"/>
              </w:rPr>
              <w:t>2,723,818</w:t>
            </w:r>
          </w:p>
        </w:tc>
        <w:tc>
          <w:tcPr>
            <w:tcW w:w="300" w:type="dxa"/>
            <w:vAlign w:val="bottom"/>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440" w:hanging="315"/>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 w:lineRule="exact"/>
        <w:rPr>
          <w:sz w:val="20"/>
          <w:szCs w:val="20"/>
          <w:color w:val="auto"/>
        </w:rPr>
      </w:pPr>
    </w:p>
    <w:p>
      <w:pPr>
        <w:jc w:val="both"/>
        <w:ind w:left="440" w:right="119" w:hanging="315"/>
        <w:spacing w:after="0" w:line="265" w:lineRule="auto"/>
        <w:tabs>
          <w:tab w:leader="none" w:pos="557"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Consists of 367,573 ordinary shares and 1,927,140 Series A-1 Preferred Shares. Fortissimo Capital Fund II (GP), L.P. is a Cayman Island limited partnership, which serves as the general partner of Fortissimo Capital Fund II (Israel), L.P., an Israeli limited partnership: The general partner of Fortissimo Capital Fund II (GP), L.P. is Fortissimo Capital 2 Management (GP) Ltd., a Cayman Islands corporation (“Fortissimo Capital”). Messrs. Eli Blatt, Yuval Cohen, Yoav Hineman and Marc Lesnick are members of the investment committee of Fortissimo Capital and share voting and dispositive power with respect to such shares. The principal address of Fortissimo Capital is 14 Hamelacha St., Park Afek, Rosh Ha’Ayin 48091, Israel.</w:t>
      </w:r>
    </w:p>
    <w:p>
      <w:pPr>
        <w:spacing w:after="0" w:line="1" w:lineRule="exact"/>
        <w:rPr>
          <w:rFonts w:ascii="Arial" w:cs="Arial" w:eastAsia="Arial" w:hAnsi="Arial"/>
          <w:sz w:val="17"/>
          <w:szCs w:val="17"/>
          <w:color w:val="auto"/>
        </w:rPr>
      </w:pPr>
    </w:p>
    <w:p>
      <w:pPr>
        <w:ind w:left="420" w:hanging="295"/>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principal address of Mr. Weinshtock is 10 Bertonov, Petach Tikva, Israel.</w:t>
      </w:r>
    </w:p>
    <w:p>
      <w:pPr>
        <w:spacing w:after="0" w:line="9" w:lineRule="exact"/>
        <w:rPr>
          <w:rFonts w:ascii="Arial" w:cs="Arial" w:eastAsia="Arial" w:hAnsi="Arial"/>
          <w:sz w:val="18"/>
          <w:szCs w:val="18"/>
          <w:color w:val="auto"/>
        </w:rPr>
      </w:pPr>
    </w:p>
    <w:p>
      <w:pPr>
        <w:ind w:left="420" w:hanging="295"/>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principal address of Mr. Nuriel is 10 Ein Gedi St., Ganei Tikva, Israel.</w:t>
      </w:r>
    </w:p>
    <w:p>
      <w:pPr>
        <w:spacing w:after="0" w:line="9" w:lineRule="exact"/>
        <w:rPr>
          <w:rFonts w:ascii="Arial" w:cs="Arial" w:eastAsia="Arial" w:hAnsi="Arial"/>
          <w:sz w:val="18"/>
          <w:szCs w:val="18"/>
          <w:color w:val="auto"/>
        </w:rPr>
      </w:pPr>
    </w:p>
    <w:p>
      <w:pPr>
        <w:jc w:val="both"/>
        <w:ind w:left="440" w:right="119" w:hanging="315"/>
        <w:spacing w:after="0" w:line="265" w:lineRule="auto"/>
        <w:tabs>
          <w:tab w:leader="none" w:pos="46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principal address of Yahel (Nur Group) Holdings Ltd., or Yahel, is 5 David Navon St., Magshimim, Israel. Substantially all of the shares of Yahel are held by Zevik Nur. Moshe Nur, the father of Zevik Nur and a director of our company, is the sole director of Yahel. The address of Yahel is Moshav Magshimim 56910, Israel.</w:t>
      </w:r>
    </w:p>
    <w:p>
      <w:pPr>
        <w:ind w:left="440" w:right="119" w:hanging="315"/>
        <w:spacing w:after="0" w:line="250" w:lineRule="auto"/>
        <w:tabs>
          <w:tab w:leader="none" w:pos="3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226,990 ordinary shares and options to purchase 3,000 ordinary shares exercisable within 60 days of December 31, 2014.</w:t>
      </w:r>
    </w:p>
    <w:p>
      <w:pPr>
        <w:ind w:left="440" w:right="119" w:hanging="315"/>
        <w:spacing w:after="0" w:line="250" w:lineRule="auto"/>
        <w:tabs>
          <w:tab w:leader="none" w:pos="4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167,217 ordinary shares held directly by Yahel and options to purchase 6,000 ordinary shares exercisable within 60 days of December 31, 2014. Mr. Nur is the sole director of Yahel.</w:t>
      </w:r>
    </w:p>
    <w:p>
      <w:pPr>
        <w:ind w:left="440" w:right="119" w:hanging="315"/>
        <w:spacing w:after="0" w:line="261" w:lineRule="auto"/>
        <w:tabs>
          <w:tab w:leader="none" w:pos="4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2,691,468 ordinary shares and options to purchase 32,350 ordinary shares exercisable within 60 days of December 31, 2014.</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2012 to which we were or will be a party and in which the other parties included or will include our directors, executive officers, holders of more than 5% of our voting securities or any member of the immediate family of any of the foregoing persons.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Related Parties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12" w:lineRule="exact"/>
        <w:rPr>
          <w:sz w:val="20"/>
          <w:szCs w:val="20"/>
          <w:color w:val="auto"/>
        </w:rPr>
      </w:pPr>
    </w:p>
    <w:p>
      <w:pPr>
        <w:jc w:val="both"/>
        <w:ind w:left="120" w:right="119" w:firstLine="216"/>
        <w:spacing w:after="0" w:line="308" w:lineRule="auto"/>
        <w:rPr>
          <w:sz w:val="20"/>
          <w:szCs w:val="20"/>
          <w:color w:val="auto"/>
        </w:rPr>
      </w:pPr>
      <w:r>
        <w:rPr>
          <w:rFonts w:ascii="Arial" w:cs="Arial" w:eastAsia="Arial" w:hAnsi="Arial"/>
          <w:sz w:val="17"/>
          <w:szCs w:val="17"/>
          <w:i w:val="1"/>
          <w:iCs w:val="1"/>
          <w:color w:val="auto"/>
        </w:rPr>
        <w:t xml:space="preserve">Original Rounds of Financing. </w:t>
      </w:r>
      <w:r>
        <w:rPr>
          <w:rFonts w:ascii="Arial" w:cs="Arial" w:eastAsia="Arial" w:hAnsi="Arial"/>
          <w:sz w:val="17"/>
          <w:szCs w:val="17"/>
          <w:color w:val="auto"/>
        </w:rPr>
        <w:t>Since our founding, we have raised capital through equity financings. Between 2002</w:t>
      </w:r>
      <w:r>
        <w:rPr>
          <w:rFonts w:ascii="Arial" w:cs="Arial" w:eastAsia="Arial" w:hAnsi="Arial"/>
          <w:sz w:val="17"/>
          <w:szCs w:val="17"/>
          <w:i w:val="1"/>
          <w:iCs w:val="1"/>
          <w:color w:val="auto"/>
        </w:rPr>
        <w:t xml:space="preserve"> </w:t>
      </w:r>
      <w:r>
        <w:rPr>
          <w:rFonts w:ascii="Arial" w:cs="Arial" w:eastAsia="Arial" w:hAnsi="Arial"/>
          <w:sz w:val="17"/>
          <w:szCs w:val="17"/>
          <w:color w:val="auto"/>
        </w:rPr>
        <w:t>and 2011, we raised capital through sales of our ordinary shares and Series A and A-1 preferred shares.</w:t>
      </w:r>
    </w:p>
    <w:p>
      <w:pPr>
        <w:spacing w:after="0" w:line="133"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i w:val="1"/>
          <w:iCs w:val="1"/>
          <w:color w:val="auto"/>
        </w:rPr>
        <w:t xml:space="preserve">Series A-1 Financing. </w:t>
      </w:r>
      <w:r>
        <w:rPr>
          <w:rFonts w:ascii="Arial" w:cs="Arial" w:eastAsia="Arial" w:hAnsi="Arial"/>
          <w:sz w:val="17"/>
          <w:szCs w:val="17"/>
          <w:color w:val="auto"/>
        </w:rPr>
        <w:t>In 2011, we sold Series A-1 preferred shares convertible into 602,230 ordinary shares at a price</w:t>
      </w:r>
      <w:r>
        <w:rPr>
          <w:rFonts w:ascii="Arial" w:cs="Arial" w:eastAsia="Arial" w:hAnsi="Arial"/>
          <w:sz w:val="17"/>
          <w:szCs w:val="17"/>
          <w:i w:val="1"/>
          <w:iCs w:val="1"/>
          <w:color w:val="auto"/>
        </w:rPr>
        <w:t xml:space="preserve"> </w:t>
      </w:r>
      <w:r>
        <w:rPr>
          <w:rFonts w:ascii="Arial" w:cs="Arial" w:eastAsia="Arial" w:hAnsi="Arial"/>
          <w:sz w:val="17"/>
          <w:szCs w:val="17"/>
          <w:color w:val="auto"/>
        </w:rPr>
        <w:t>per underlying preferred share of $8.30243 for an aggregate purchase price of approximately $5 million. Concurrently with this transaction, Fortissimo Capital purchased Series A-1 preferred shares convertible into 1,324,910 ordinary shares from certain of our shareholders at a price per underlying preferred share of $8.30243 for an aggregate purchase price of approximately $11 million (these shares were reclassified as Series A-1 preferred shares immediately prior to this transaction). Each Series A-1 preferred share will convert into one ordinary share upon the closing of this offering. The following table sets forth the number of ordinary shares resulting from conversion upon the closing of this offering of the Series A-1 preferred shares purchased by Fortissimo Capital:</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Number of Ordinary</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Shares Resulting from</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the Conversion</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of Series A-1 Preferred</w:t>
            </w:r>
          </w:p>
        </w:tc>
      </w:tr>
      <w:tr>
        <w:trPr>
          <w:trHeight w:val="213"/>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Aggregate Purchase Price</w:t>
            </w:r>
          </w:p>
        </w:tc>
        <w:tc>
          <w:tcPr>
            <w:tcW w:w="44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Fortissimo Capital</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1,927,140</w:t>
            </w:r>
          </w:p>
        </w:tc>
        <w:tc>
          <w:tcPr>
            <w:tcW w:w="16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98"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We are party to an investors’ rights agreement, dated July 18, 2011, or the Investors’ Rights Agreement, with certain of our shareholders. The Investors’ Rights Agreement provides that certain holders of our ordinary shares and Series A-1 preferred shares have the right to demand that we file a registration statement or request that their ordinary shares be covered by a registration statement that we are otherwise filing.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 The Investors’ Rights Agreement also includes certain information rights, which will terminate upon the completion of this offering. The registration rights are described in more detail under “Description of Share Capital—Registration Rights.”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12" w:lineRule="exact"/>
        <w:rPr>
          <w:sz w:val="20"/>
          <w:szCs w:val="20"/>
          <w:color w:val="auto"/>
        </w:rPr>
      </w:pPr>
    </w:p>
    <w:p>
      <w:pPr>
        <w:jc w:val="both"/>
        <w:ind w:left="120" w:right="119" w:firstLine="216"/>
        <w:spacing w:after="0" w:line="254" w:lineRule="auto"/>
        <w:rPr>
          <w:sz w:val="20"/>
          <w:szCs w:val="20"/>
          <w:color w:val="auto"/>
        </w:rPr>
      </w:pPr>
      <w:r>
        <w:rPr>
          <w:rFonts w:ascii="Arial" w:cs="Arial" w:eastAsia="Arial" w:hAnsi="Arial"/>
          <w:sz w:val="18"/>
          <w:szCs w:val="18"/>
          <w:color w:val="auto"/>
        </w:rPr>
        <w:t>We are party to a management services agreement, dated August 11, 2011, pursuant to which our principal shareholder, Fortissimo Capital, assists and advises our management on matters concerning our business and renders other management services and advice as agreed from time to time. In consideration of these management services, we pay to Fortissimo Capital an annual management fee of $120,000 plus the amount by which 5% of our net income, as defined in the management services agreement, exceeds this management fee, up to a maximum of $250,000 per year in the aggregate. In 2012, 2013 and the nine months ended September 30, 2014, we recorded expenses for management fees paid to Fortissimo of $175,000, $120,000 and $139,000, respectively. The agreement may be terminated when our board of directors includes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2" w:name="page93"/>
    <w:bookmarkEnd w:id="92"/>
    <w:p>
      <w:pPr>
        <w:jc w:val="both"/>
        <w:ind w:left="120" w:right="119"/>
        <w:spacing w:after="0" w:line="277" w:lineRule="auto"/>
        <w:rPr>
          <w:sz w:val="20"/>
          <w:szCs w:val="20"/>
          <w:color w:val="auto"/>
        </w:rPr>
      </w:pPr>
      <w:r>
        <w:rPr>
          <w:rFonts w:ascii="Arial" w:cs="Arial" w:eastAsia="Arial" w:hAnsi="Arial"/>
          <w:sz w:val="18"/>
          <w:szCs w:val="18"/>
          <w:color w:val="auto"/>
        </w:rPr>
        <w:t>less than two directors appointed by Fortissimo Capital, and the agreement terminates automatically in the event that Fortissimo Capital holds less than 15% of our issued share capital.</w:t>
      </w:r>
    </w:p>
    <w:p>
      <w:pPr>
        <w:spacing w:after="0" w:line="157"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color w:val="auto"/>
        </w:rPr>
        <w:t>We and Fortissimo Capital have agreed to terminate the management services agreement upon the consummation of this offering. As consideration for Fortissimo Capital’s agreement to terminate the management services agreement, we</w:t>
      </w:r>
    </w:p>
    <w:p>
      <w:pPr>
        <w:jc w:val="both"/>
        <w:ind w:left="120" w:right="119"/>
        <w:spacing w:after="0" w:line="261" w:lineRule="auto"/>
        <w:rPr>
          <w:sz w:val="20"/>
          <w:szCs w:val="20"/>
          <w:color w:val="auto"/>
        </w:rPr>
      </w:pPr>
      <w:r>
        <w:rPr>
          <w:rFonts w:ascii="Arial" w:cs="Arial" w:eastAsia="Arial" w:hAnsi="Arial"/>
          <w:sz w:val="18"/>
          <w:szCs w:val="18"/>
          <w:color w:val="auto"/>
        </w:rPr>
        <w:t>will make a one-time payment of $ to Fortissimo Capital. Fortissimo Capital will receive no other compensation from us in connection with this offering or in connection with the management services agreement.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of Appointment</w:t>
      </w:r>
    </w:p>
    <w:p>
      <w:pPr>
        <w:spacing w:after="0" w:line="229"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Our current board of directors consists of seven directors. Pursuant to our articles of association in effect prior to this offering, certain of our shareholders had rights to appoint members of our board of directors. The following table sets forth the shareholders who are entitled to appoint board members and the number and identities of the members they appointed:</w:t>
      </w:r>
    </w:p>
    <w:p>
      <w:pPr>
        <w:spacing w:after="0" w:line="228"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100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79"/>
              </w:rPr>
              <w:t>of</w:t>
            </w:r>
          </w:p>
        </w:tc>
        <w:tc>
          <w:tcPr>
            <w:tcW w:w="100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Members</w:t>
            </w:r>
          </w:p>
        </w:tc>
        <w:tc>
          <w:tcPr>
            <w:tcW w:w="1000" w:type="dxa"/>
            <w:vAlign w:val="bottom"/>
          </w:tcPr>
          <w:p>
            <w:pPr>
              <w:ind w:left="160"/>
              <w:spacing w:after="0"/>
              <w:rPr>
                <w:sz w:val="20"/>
                <w:szCs w:val="20"/>
                <w:color w:val="auto"/>
              </w:rPr>
            </w:pPr>
            <w:r>
              <w:rPr>
                <w:rFonts w:ascii="Arial" w:cs="Arial" w:eastAsia="Arial" w:hAnsi="Arial"/>
                <w:sz w:val="16"/>
                <w:szCs w:val="16"/>
                <w:b w:val="1"/>
                <w:bCs w:val="1"/>
                <w:color w:val="auto"/>
              </w:rPr>
              <w:t>Members</w:t>
            </w:r>
          </w:p>
        </w:tc>
      </w:tr>
      <w:tr>
        <w:trPr>
          <w:trHeight w:val="216"/>
        </w:trPr>
        <w:tc>
          <w:tcPr>
            <w:tcW w:w="6640" w:type="dxa"/>
            <w:vAlign w:val="bottom"/>
            <w:gridSpan w:val="2"/>
          </w:tcPr>
          <w:p>
            <w:pPr>
              <w:ind w:left="2600"/>
              <w:spacing w:after="0"/>
              <w:rPr>
                <w:sz w:val="20"/>
                <w:szCs w:val="20"/>
                <w:color w:val="auto"/>
              </w:rPr>
            </w:pPr>
            <w:r>
              <w:rPr>
                <w:rFonts w:ascii="Arial" w:cs="Arial" w:eastAsia="Arial" w:hAnsi="Arial"/>
                <w:sz w:val="16"/>
                <w:szCs w:val="16"/>
                <w:b w:val="1"/>
                <w:bCs w:val="1"/>
                <w:color w:val="auto"/>
              </w:rPr>
              <w:t>Appointing Party</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Appointed</w:t>
            </w:r>
          </w:p>
        </w:tc>
        <w:tc>
          <w:tcPr>
            <w:tcW w:w="1000" w:type="dxa"/>
            <w:vAlign w:val="bottom"/>
          </w:tcPr>
          <w:p>
            <w:pPr>
              <w:ind w:left="140"/>
              <w:spacing w:after="0"/>
              <w:rPr>
                <w:sz w:val="20"/>
                <w:szCs w:val="20"/>
                <w:color w:val="auto"/>
              </w:rPr>
            </w:pPr>
            <w:r>
              <w:rPr>
                <w:rFonts w:ascii="Arial" w:cs="Arial" w:eastAsia="Arial" w:hAnsi="Arial"/>
                <w:sz w:val="16"/>
                <w:szCs w:val="16"/>
                <w:b w:val="1"/>
                <w:bCs w:val="1"/>
                <w:color w:val="auto"/>
              </w:rPr>
              <w:t>Appointed</w:t>
            </w:r>
          </w:p>
        </w:tc>
      </w:tr>
      <w:tr>
        <w:trPr>
          <w:trHeight w:val="60"/>
        </w:trPr>
        <w:tc>
          <w:tcPr>
            <w:tcW w:w="65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0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Fortissimo Capital</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Four</w:t>
            </w:r>
          </w:p>
        </w:tc>
        <w:tc>
          <w:tcPr>
            <w:tcW w:w="1000" w:type="dxa"/>
            <w:vAlign w:val="bottom"/>
          </w:tcPr>
          <w:p>
            <w:pPr>
              <w:ind w:left="40"/>
              <w:spacing w:after="0"/>
              <w:rPr>
                <w:sz w:val="20"/>
                <w:szCs w:val="20"/>
                <w:color w:val="auto"/>
              </w:rPr>
            </w:pPr>
            <w:r>
              <w:rPr>
                <w:rFonts w:ascii="Arial" w:cs="Arial" w:eastAsia="Arial" w:hAnsi="Arial"/>
                <w:sz w:val="18"/>
                <w:szCs w:val="18"/>
                <w:color w:val="auto"/>
              </w:rPr>
              <w:t>Yuval</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Cohen, Eli</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Blatt, Yoav</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Hineman</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and Marc</w:t>
            </w:r>
          </w:p>
        </w:tc>
      </w:tr>
      <w:tr>
        <w:trPr>
          <w:trHeight w:val="230"/>
        </w:trPr>
        <w:tc>
          <w:tcPr>
            <w:tcW w:w="6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Lesnick</w:t>
            </w:r>
          </w:p>
        </w:tc>
      </w:tr>
      <w:tr>
        <w:trPr>
          <w:trHeight w:val="364"/>
        </w:trPr>
        <w:tc>
          <w:tcPr>
            <w:tcW w:w="6640" w:type="dxa"/>
            <w:vAlign w:val="bottom"/>
            <w:gridSpan w:val="2"/>
          </w:tcPr>
          <w:p>
            <w:pPr>
              <w:ind w:left="40"/>
              <w:spacing w:after="0"/>
              <w:rPr>
                <w:sz w:val="20"/>
                <w:szCs w:val="20"/>
                <w:color w:val="auto"/>
              </w:rPr>
            </w:pPr>
            <w:r>
              <w:rPr>
                <w:rFonts w:ascii="Arial" w:cs="Arial" w:eastAsia="Arial" w:hAnsi="Arial"/>
                <w:sz w:val="18"/>
                <w:szCs w:val="18"/>
                <w:color w:val="auto"/>
                <w:w w:val="98"/>
              </w:rPr>
              <w:t>Ofer Ben-Zur, together with other shareholders who are not directors, officers or 5%</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One</w:t>
            </w:r>
          </w:p>
        </w:tc>
        <w:tc>
          <w:tcPr>
            <w:tcW w:w="1000" w:type="dxa"/>
            <w:vAlign w:val="bottom"/>
          </w:tcPr>
          <w:p>
            <w:pPr>
              <w:ind w:left="40"/>
              <w:spacing w:after="0"/>
              <w:rPr>
                <w:sz w:val="20"/>
                <w:szCs w:val="20"/>
                <w:color w:val="auto"/>
              </w:rPr>
            </w:pPr>
            <w:r>
              <w:rPr>
                <w:rFonts w:ascii="Arial" w:cs="Arial" w:eastAsia="Arial" w:hAnsi="Arial"/>
                <w:sz w:val="18"/>
                <w:szCs w:val="18"/>
                <w:color w:val="auto"/>
              </w:rPr>
              <w:t>Ofer Ben-</w:t>
            </w: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shareholders provided such group holds 9% of our outstanding ordinary shares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Zur</w:t>
            </w:r>
          </w:p>
        </w:tc>
      </w:tr>
      <w:tr>
        <w:trPr>
          <w:trHeight w:val="364"/>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Gavriel Weinshtock, Yossef Nuriel and Yahel (Nur Group) Holdings Ltd. (formerly</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One</w:t>
            </w:r>
          </w:p>
        </w:tc>
        <w:tc>
          <w:tcPr>
            <w:tcW w:w="1000" w:type="dxa"/>
            <w:vAlign w:val="bottom"/>
          </w:tcPr>
          <w:p>
            <w:pPr>
              <w:ind w:left="40"/>
              <w:spacing w:after="0"/>
              <w:rPr>
                <w:sz w:val="20"/>
                <w:szCs w:val="20"/>
                <w:color w:val="auto"/>
              </w:rPr>
            </w:pPr>
            <w:r>
              <w:rPr>
                <w:rFonts w:ascii="Arial" w:cs="Arial" w:eastAsia="Arial" w:hAnsi="Arial"/>
                <w:sz w:val="18"/>
                <w:szCs w:val="18"/>
                <w:color w:val="auto"/>
              </w:rPr>
              <w:t>Moshe Nur</w:t>
            </w:r>
          </w:p>
        </w:tc>
      </w:tr>
      <w:tr>
        <w:trPr>
          <w:trHeight w:val="216"/>
        </w:trPr>
        <w:tc>
          <w:tcPr>
            <w:tcW w:w="6640" w:type="dxa"/>
            <w:vAlign w:val="bottom"/>
            <w:gridSpan w:val="2"/>
          </w:tcPr>
          <w:p>
            <w:pPr>
              <w:ind w:left="40"/>
              <w:spacing w:after="0"/>
              <w:rPr>
                <w:sz w:val="20"/>
                <w:szCs w:val="20"/>
                <w:color w:val="auto"/>
              </w:rPr>
            </w:pPr>
            <w:r>
              <w:rPr>
                <w:rFonts w:ascii="Arial" w:cs="Arial" w:eastAsia="Arial" w:hAnsi="Arial"/>
                <w:sz w:val="18"/>
                <w:szCs w:val="18"/>
                <w:color w:val="auto"/>
                <w:w w:val="96"/>
              </w:rPr>
              <w:t>Yahel Productions K.D.M. and Events Ltd.), together with other shareholders who are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not directors, officers or 5% shareholders provided such group holds 9% of our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outstanding ordinary shares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29"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In addition, our former shareholder, Delek Investments and Properties Ltd. was entitled to appoint one member and elected to appoint Joshua Maor who continues to serve on our board of directors.</w:t>
      </w:r>
    </w:p>
    <w:p>
      <w:pPr>
        <w:spacing w:after="0" w:line="170"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All rights to appoint directors will terminate following the adoption of our amended and restated articles of association upon the closing of this offering, although the existing board members will continue to serve until our next annual meeting absent their earlier resignation or removal.</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“Management—Share Incentive Plans”. “ If the relationship between us and an executive officer or a director is terminated, except for cause (as defined in the option plans), all options that are vested will generally remain exercisable for ninety days after such termination.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jc w:val="both"/>
        <w:ind w:left="120" w:right="119"/>
        <w:spacing w:after="0" w:line="264" w:lineRule="auto"/>
        <w:rPr>
          <w:sz w:val="20"/>
          <w:szCs w:val="20"/>
          <w:color w:val="auto"/>
        </w:rPr>
      </w:pPr>
      <w:r>
        <w:rPr>
          <w:rFonts w:ascii="Arial" w:cs="Arial" w:eastAsia="Arial" w:hAnsi="Arial"/>
          <w:sz w:val="18"/>
          <w:szCs w:val="18"/>
          <w:color w:val="auto"/>
        </w:rPr>
        <w:t>The following table provides information regarding the options to purchase our ordinary shares held by each of our directors and officers who beneficially owns greater than one percent of our ordinary shares immediately prior to the closing of this offering:</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3640" w:type="dxa"/>
            <w:vAlign w:val="bottom"/>
            <w:gridSpan w:val="3"/>
          </w:tcPr>
          <w:p>
            <w:pPr>
              <w:spacing w:after="0"/>
              <w:rPr>
                <w:sz w:val="20"/>
                <w:szCs w:val="20"/>
                <w:color w:val="auto"/>
              </w:rPr>
            </w:pPr>
            <w:r>
              <w:rPr>
                <w:rFonts w:ascii="Arial" w:cs="Arial" w:eastAsia="Arial" w:hAnsi="Arial"/>
                <w:sz w:val="18"/>
                <w:szCs w:val="18"/>
                <w:b w:val="1"/>
                <w:bCs w:val="1"/>
                <w:color w:val="auto"/>
              </w:rPr>
              <w:t>Name/Title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195"/>
        </w:trPr>
        <w:tc>
          <w:tcPr>
            <w:tcW w:w="20" w:type="dxa"/>
            <w:vAlign w:val="bottom"/>
          </w:tcPr>
          <w:p>
            <w:pPr>
              <w:spacing w:after="0"/>
              <w:rPr>
                <w:sz w:val="16"/>
                <w:szCs w:val="16"/>
                <w:color w:val="auto"/>
              </w:rPr>
            </w:pPr>
          </w:p>
        </w:tc>
        <w:tc>
          <w:tcPr>
            <w:tcW w:w="3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Ofer Ben-Zur, President and Chief Technology</w:t>
            </w:r>
          </w:p>
        </w:tc>
        <w:tc>
          <w:tcPr>
            <w:tcW w:w="10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 and Director</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27, 2017</w:t>
            </w:r>
          </w:p>
        </w:tc>
      </w:tr>
      <w:tr>
        <w:trPr>
          <w:trHeight w:val="230"/>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Moshe Nur,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27, 2017</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left="120" w:right="119" w:firstLine="216"/>
        <w:spacing w:after="0" w:line="308" w:lineRule="auto"/>
        <w:rPr>
          <w:sz w:val="20"/>
          <w:szCs w:val="20"/>
          <w:color w:val="auto"/>
        </w:rPr>
      </w:pPr>
      <w:r>
        <w:rPr>
          <w:rFonts w:ascii="Arial" w:cs="Arial" w:eastAsia="Arial" w:hAnsi="Arial"/>
          <w:sz w:val="17"/>
          <w:szCs w:val="17"/>
          <w:color w:val="auto"/>
        </w:rPr>
        <w:t>The following description of our share capital and provisions of our amended and restated articles of association which will be effective upon the completion of this offering are summaries and do not purport to be complete.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120" w:right="119" w:firstLine="216"/>
        <w:spacing w:after="0" w:line="274" w:lineRule="auto"/>
        <w:rPr>
          <w:sz w:val="20"/>
          <w:szCs w:val="20"/>
          <w:color w:val="auto"/>
        </w:rPr>
      </w:pPr>
      <w:r>
        <w:rPr>
          <w:rFonts w:ascii="Arial" w:cs="Arial" w:eastAsia="Arial" w:hAnsi="Arial"/>
          <w:sz w:val="17"/>
          <w:szCs w:val="17"/>
          <w:color w:val="auto"/>
        </w:rPr>
        <w:t>Upon the closing of this offering, our authorized share capital will consist of ordinary shares, par value NIS 0.01 per share, of which shares will be issued and outstanding (assuming that the underwriters do not exercise their</w:t>
      </w:r>
    </w:p>
    <w:p>
      <w:pPr>
        <w:ind w:left="120"/>
        <w:spacing w:after="0"/>
        <w:rPr>
          <w:sz w:val="20"/>
          <w:szCs w:val="20"/>
          <w:color w:val="auto"/>
        </w:rPr>
      </w:pPr>
      <w:r>
        <w:rPr>
          <w:rFonts w:ascii="Arial" w:cs="Arial" w:eastAsia="Arial" w:hAnsi="Arial"/>
          <w:sz w:val="18"/>
          <w:szCs w:val="18"/>
          <w:color w:val="auto"/>
        </w:rPr>
        <w:t>option to purchase additional ordinary shares).</w:t>
      </w:r>
    </w:p>
    <w:p>
      <w:pPr>
        <w:spacing w:after="0" w:line="211"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amended and restated articles of association is to engage in any lawful activity.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 and Conversion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120" w:right="119" w:firstLine="216"/>
        <w:spacing w:after="0" w:line="297" w:lineRule="auto"/>
        <w:rPr>
          <w:sz w:val="20"/>
          <w:szCs w:val="20"/>
          <w:color w:val="auto"/>
        </w:rPr>
      </w:pPr>
      <w:r>
        <w:rPr>
          <w:rFonts w:ascii="Arial" w:cs="Arial" w:eastAsia="Arial" w:hAnsi="Arial"/>
          <w:sz w:val="16"/>
          <w:szCs w:val="16"/>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meeting of shareholders have the power to elect all of our directors that are proposed for election at that meeting, subject to the special approval requirements for external directors described under “Management—Board Practices—External Directors.”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w:t>
      </w:r>
    </w:p>
    <w:p>
      <w:pPr>
        <w:spacing w:after="0" w:line="46" w:lineRule="exact"/>
        <w:rPr>
          <w:sz w:val="20"/>
          <w:szCs w:val="20"/>
          <w:color w:val="auto"/>
        </w:rPr>
      </w:pPr>
    </w:p>
    <w:p>
      <w:pPr>
        <w:jc w:val="both"/>
        <w:ind w:left="120" w:right="119"/>
        <w:spacing w:after="0" w:line="266" w:lineRule="auto"/>
        <w:rPr>
          <w:sz w:val="20"/>
          <w:szCs w:val="20"/>
          <w:color w:val="auto"/>
        </w:rPr>
      </w:pPr>
      <w:r>
        <w:rPr>
          <w:rFonts w:ascii="Arial" w:cs="Arial" w:eastAsia="Arial" w:hAnsi="Arial"/>
          <w:sz w:val="17"/>
          <w:szCs w:val="17"/>
          <w:color w:val="auto"/>
        </w:rPr>
        <w:t>directors must consist of not less than but no more than directors, including two external directors as required by the Israeli Companies Law. Pursuant to our amended and restated articles of association,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until they are removed by a vote of 65% of the total voting power of our shareholders at a general meeting of our shareholders or upon the occurrence of certain events, in accordance with the Israeli Companies Law and our articles of association. In addition, our articles of association allow our board of directors to fill vacancies on the board of directors or to appoint new directors up to the maximum number of directors permitted under our articles of association.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 See “Management—Board Practices— External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5" w:name="page96"/>
    <w:bookmarkEnd w:id="95"/>
    <w:p>
      <w:pPr>
        <w:ind w:left="120"/>
        <w:spacing w:after="0"/>
        <w:rPr>
          <w:sz w:val="20"/>
          <w:szCs w:val="20"/>
          <w:color w:val="auto"/>
        </w:rPr>
      </w:pPr>
      <w:r>
        <w:rPr>
          <w:rFonts w:ascii="Arial" w:cs="Arial" w:eastAsia="Arial" w:hAnsi="Arial"/>
          <w:sz w:val="18"/>
          <w:szCs w:val="18"/>
          <w:b w:val="1"/>
          <w:bCs w:val="1"/>
          <w:color w:val="auto"/>
        </w:rPr>
        <w:t>Dividend and Liquidation Rights</w:t>
      </w:r>
    </w:p>
    <w:p>
      <w:pPr>
        <w:spacing w:after="0" w:line="216"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46"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6"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Controls</w:t>
      </w:r>
    </w:p>
    <w:p>
      <w:pPr>
        <w:spacing w:after="0" w:line="202"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216"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Israeli Companies Law provides that our board of directors is required to convene an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55"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21 days prior to the date of the meeting, and in certain circumstances, between 4 and 40 days prior to the date of the meeting. Furthermore, the Israeli Companies Law requires that resolutions regarding the following matters must be passed at a general meeting of our shareholders:</w:t>
      </w:r>
    </w:p>
    <w:p>
      <w:pPr>
        <w:spacing w:after="0" w:line="163" w:lineRule="exact"/>
        <w:rPr>
          <w:sz w:val="20"/>
          <w:szCs w:val="20"/>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amendments to our articles of association;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appointment or termination of our auditors;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appointment of external directors;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approval of certain related party transactions;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increases or reductions of our authorized share capital;</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 merger;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ind w:left="560" w:right="119" w:hanging="219"/>
        <w:spacing w:after="0" w:line="232" w:lineRule="auto"/>
        <w:tabs>
          <w:tab w:leader="none" w:pos="586" w:val="left"/>
        </w:tabs>
        <w:numPr>
          <w:ilvl w:val="0"/>
          <w:numId w:val="62"/>
        </w:numPr>
        <w:rPr>
          <w:rFonts w:ascii="Arial" w:cs="Arial" w:eastAsia="Arial" w:hAnsi="Arial"/>
          <w:sz w:val="22"/>
          <w:szCs w:val="22"/>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04"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The Israeli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87"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not permitted to take action by way of written consent in lieu of a meeting.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12"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98" w:lineRule="exact"/>
        <w:rPr>
          <w:sz w:val="20"/>
          <w:szCs w:val="20"/>
          <w:color w:val="auto"/>
        </w:rPr>
      </w:pPr>
    </w:p>
    <w:p>
      <w:pPr>
        <w:jc w:val="both"/>
        <w:ind w:left="120" w:right="119" w:firstLine="216"/>
        <w:spacing w:after="0" w:line="285"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Law—Disclosure of Personal Interests of Controlling Shareholders and Approval of Certain Transactions” and (iii) approval of certain compensation-related matters require the approval described above under “—Board Committees—Compensation Committee and Compensation Policy.” Under our amended and restated articles of association,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and voting on the resolution.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12" w:lineRule="exact"/>
        <w:rPr>
          <w:sz w:val="20"/>
          <w:szCs w:val="20"/>
          <w:color w:val="auto"/>
        </w:rPr>
      </w:pPr>
    </w:p>
    <w:p>
      <w:pPr>
        <w:jc w:val="both"/>
        <w:ind w:left="120" w:right="119" w:firstLine="216"/>
        <w:spacing w:after="0" w:line="254" w:lineRule="auto"/>
        <w:rPr>
          <w:sz w:val="20"/>
          <w:szCs w:val="20"/>
          <w:color w:val="auto"/>
        </w:rPr>
      </w:pPr>
      <w:r>
        <w:rPr>
          <w:rFonts w:ascii="Arial" w:cs="Arial" w:eastAsia="Arial" w:hAnsi="Arial"/>
          <w:sz w:val="18"/>
          <w:szCs w:val="18"/>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Class Rights</w:t>
      </w:r>
    </w:p>
    <w:p>
      <w:pPr>
        <w:spacing w:after="0" w:line="216" w:lineRule="exact"/>
        <w:rPr>
          <w:sz w:val="20"/>
          <w:szCs w:val="20"/>
          <w:color w:val="auto"/>
        </w:rPr>
      </w:pPr>
    </w:p>
    <w:p>
      <w:pPr>
        <w:jc w:val="both"/>
        <w:ind w:left="120" w:right="119" w:firstLine="216"/>
        <w:spacing w:after="0" w:line="342" w:lineRule="auto"/>
        <w:rPr>
          <w:sz w:val="20"/>
          <w:szCs w:val="20"/>
          <w:color w:val="auto"/>
        </w:rPr>
      </w:pPr>
      <w:r>
        <w:rPr>
          <w:rFonts w:ascii="Arial" w:cs="Arial" w:eastAsia="Arial" w:hAnsi="Arial"/>
          <w:sz w:val="16"/>
          <w:szCs w:val="16"/>
          <w:color w:val="auto"/>
        </w:rPr>
        <w:t>Under the Israeli Companies Law and our amended and restated articles of association, the rights attached to any class of share, such as voting, liquidation and dividend rights, may be amended by adoption of a resolution by the holders of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7" w:name="page98"/>
    <w:bookmarkEnd w:id="97"/>
    <w:p>
      <w:pPr>
        <w:jc w:val="both"/>
        <w:ind w:left="120" w:right="119"/>
        <w:spacing w:after="0" w:line="277" w:lineRule="auto"/>
        <w:rPr>
          <w:sz w:val="20"/>
          <w:szCs w:val="20"/>
          <w:color w:val="auto"/>
        </w:rPr>
      </w:pPr>
      <w:r>
        <w:rPr>
          <w:rFonts w:ascii="Arial" w:cs="Arial" w:eastAsia="Arial" w:hAnsi="Arial"/>
          <w:sz w:val="18"/>
          <w:szCs w:val="18"/>
          <w:color w:val="auto"/>
        </w:rPr>
        <w:t>majority of the shares of that class present at a separate class meeting, or otherwise in accordance with the rights attached to such class of shares, as set forth in our amended and restated articles of association.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We have entered into the Investors’ Rights Agreement with certain of our shareholders. Upon the closing of this offering, holders of a total of 3,176,744 shares of our ordinary shares as of September 30, 2014, will have the right to require us to register these shares under the Securities Act under specified circumstances and will have incidental registration rights as described below. After registration pursuant to these rights, these shares will become freely tradable without restriction under the Securities Act.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At any time after six months after the closing of this offering or such earlier date as is agreed by the underwriters of this offering, Fortissimo Capital may request that we file a registration statement. Upon receipt of such registration request, we are obligated to use best commercial efforts to file the registration statement, unless in the good faith judgment of our board of directors, such registration would be seriously detrimental to the company and its shareholders, in which event we shall have the right to defer such filing for a period of not more than 60 days after receipt of the request of Fortissimo Capital; provided that such right to delay a request shall be exercised by us no more than once in any 12-month period. In addition, we have the right not to effect or take any action to effect a registration statement during the period that is 90 days before the actual date of filing of a registration statement or during 180-day period following the effective date of a registration statement (other than the registration statement for this offering). We are not obligated to file a registration statement after we have filed two effective registration statements pursuant to these demand provisions. Any other holder of registrable securities has the right to include its registrable securities in an underwritten registration pursuant to a demand registration.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jc w:val="both"/>
        <w:ind w:left="120" w:right="119" w:firstLine="269"/>
        <w:spacing w:after="0" w:line="259" w:lineRule="auto"/>
        <w:rPr>
          <w:sz w:val="20"/>
          <w:szCs w:val="20"/>
          <w:color w:val="auto"/>
        </w:rPr>
      </w:pPr>
      <w:r>
        <w:rPr>
          <w:rFonts w:ascii="Arial" w:cs="Arial" w:eastAsia="Arial" w:hAnsi="Arial"/>
          <w:sz w:val="18"/>
          <w:szCs w:val="18"/>
          <w:color w:val="auto"/>
        </w:rPr>
        <w:t>If we register any of our ordinary shares in connection with the public offering of such securities, the holders of all registrable securities are entitled to at least 20 days’ notice of the registration and to include all or a portion of their shares in the registration if Fortissimo Capital has included in such registration statement all or part of the registrable securities it holds.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25" w:lineRule="exact"/>
        <w:rPr>
          <w:sz w:val="20"/>
          <w:szCs w:val="20"/>
          <w:color w:val="auto"/>
        </w:rPr>
      </w:pPr>
    </w:p>
    <w:p>
      <w:pPr>
        <w:jc w:val="both"/>
        <w:ind w:left="120" w:right="119" w:firstLine="216"/>
        <w:spacing w:after="0" w:line="285" w:lineRule="auto"/>
        <w:rPr>
          <w:sz w:val="20"/>
          <w:szCs w:val="20"/>
          <w:color w:val="auto"/>
        </w:rPr>
      </w:pPr>
      <w:r>
        <w:rPr>
          <w:rFonts w:ascii="Arial" w:cs="Arial" w:eastAsia="Arial" w:hAnsi="Arial"/>
          <w:sz w:val="16"/>
          <w:szCs w:val="16"/>
          <w:color w:val="auto"/>
        </w:rPr>
        <w:t>In addition, if we become eligible to register any of our shares on Form F-3, Fortissimo Capital may request that we file a registration statement for an offering to be made on a delayed or continuous basis pursuant to Rule 415 under the Securities Act registering the resale from time to time by Fortissimo Capital of registrable shares with a sale price, based on a recent average closing price of the ordinary shares, of at least $500,000, or the Shelf Registration Statement, then we are required, within 30 days of the delivery thereof, to give written notice of such request to all holders of registrable securities, who may elect to join in such request. We are required to use our reasonable efforts to cause the Shelf Registration Statement to be declared effective under the Securities Act within three months after Fortissimo Capital’s initial request and to keep such Shelf Registration Statement continuously effective under the Securities Act until the earliest of (i) two years following the date such registration was declared effective; (ii) the disposition of all registrable securities included in such Shelf Registration Statement; and (iii) the time all registrable securities included in the Shelf Registration Statement may be sold without restriction pursuant to Rule 144. We shall not be required to effect a registration pursuant to a shelf registration if (i) within 10 days of receipt of a written request from Fortissimo Capital, we give notice of our good faith intention to file a registration statement for a public offering within 30 days, provided that we actually file such registration statement within such 30 days and makes reasonable good faith efforts to cause such registration statement to become effective; or (ii) in the good faith judgment of the board of directors, it would be seriously detrimental to us and our shareholders for such registration statement to be effected at such time, in which event we shall have the right to defer such filing for a period of not more than 60 days after receipt of the request of Fortissimo Capital, provided that such right to delay a request shall be exercised by us not more than once in any 12-month period.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212"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We will pay all registration expenses (other than underwriting discounts and selling commissions) and the reasonable fees and expenses of a single counsel for the selling shareholders, related to any demand, piggyback or shelf registration.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 under Israeli Law</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12"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73"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93"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78"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1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47"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 Approval of Related Party Transactions under Israeli Law—Disclosure of Personal Interests of Controlling Shareholders and Approval of Certain Transactions.”)</w:t>
      </w:r>
    </w:p>
    <w:p>
      <w:pPr>
        <w:spacing w:after="0" w:line="182" w:lineRule="exact"/>
        <w:rPr>
          <w:sz w:val="20"/>
          <w:szCs w:val="20"/>
          <w:color w:val="auto"/>
        </w:rPr>
      </w:pPr>
    </w:p>
    <w:p>
      <w:pPr>
        <w:jc w:val="both"/>
        <w:ind w:left="120" w:right="119" w:firstLine="216"/>
        <w:spacing w:after="0" w:line="297"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58"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47"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120" w:right="119"/>
        <w:spacing w:after="0" w:line="277" w:lineRule="auto"/>
        <w:rPr>
          <w:sz w:val="20"/>
          <w:szCs w:val="20"/>
          <w:color w:val="auto"/>
        </w:rPr>
      </w:pPr>
      <w:r>
        <w:rPr>
          <w:rFonts w:ascii="Arial" w:cs="Arial" w:eastAsia="Arial" w:hAnsi="Arial"/>
          <w:sz w:val="18"/>
          <w:szCs w:val="18"/>
          <w:color w:val="auto"/>
        </w:rPr>
        <w:t>payment of dividends in the absence of sufficient retained earnings or profits, require the approval of both our board of directors and an Israeli court.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ordinary shares is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Its address is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and its telephone number</w:t>
      </w:r>
    </w:p>
    <w:p>
      <w:pPr>
        <w:spacing w:after="0" w:line="453" w:lineRule="exact"/>
        <w:rPr>
          <w:sz w:val="20"/>
          <w:szCs w:val="20"/>
          <w:color w:val="auto"/>
        </w:rPr>
      </w:pPr>
    </w:p>
    <w:p>
      <w:pPr>
        <w:sectPr>
          <w:pgSz w:w="11900" w:h="16838" w:orient="portrait"/>
          <w:cols w:equalWidth="0" w:num="4">
            <w:col w:w="240" w:space="100"/>
            <w:col w:w="4260" w:space="640"/>
            <w:col w:w="1060" w:space="620"/>
            <w:col w:w="2099"/>
          </w:cols>
          <w:pgMar w:left="1440" w:top="125" w:right="1440" w:bottom="1440" w:gutter="0" w:footer="0" w:header="0"/>
          <w:type w:val="continuous"/>
        </w:sectPr>
      </w:pP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apply to have our ordinary shares listed on the NASDAQ Global Market under the symbol “KRNT”.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6"/>
          <w:szCs w:val="16"/>
          <w:color w:val="auto"/>
        </w:rPr>
        <w:t>Prior to this offering, no public market existed for our ordinary shares. Sales of substantial amounts of our ordinary shares, including shares issued upon the exercise of outstanding options in the public market following this offering, or the possibility of these sales occurring, could adversely affect the prevailing market price of our ordinary shares and could impair our future ability to obtain capital, especially through an offering of equity securities. Assuming no exercise</w:t>
      </w:r>
    </w:p>
    <w:p>
      <w:pPr>
        <w:spacing w:after="0" w:line="2" w:lineRule="exact"/>
        <w:rPr>
          <w:sz w:val="20"/>
          <w:szCs w:val="20"/>
          <w:color w:val="auto"/>
        </w:rPr>
      </w:pPr>
    </w:p>
    <w:p>
      <w:pPr>
        <w:jc w:val="both"/>
        <w:ind w:left="120" w:right="119"/>
        <w:spacing w:after="0" w:line="265" w:lineRule="auto"/>
        <w:rPr>
          <w:sz w:val="20"/>
          <w:szCs w:val="20"/>
          <w:color w:val="auto"/>
        </w:rPr>
      </w:pPr>
      <w:r>
        <w:rPr>
          <w:rFonts w:ascii="Arial" w:cs="Arial" w:eastAsia="Arial" w:hAnsi="Arial"/>
          <w:sz w:val="17"/>
          <w:szCs w:val="17"/>
          <w:color w:val="auto"/>
        </w:rPr>
        <w:t>of options or warrants outstanding following this offering, we will have an aggregate of ordinary shares outstanding upon the completion of this offering. Of these shares, the ordinary shares sold in this offering will be</w:t>
      </w:r>
    </w:p>
    <w:p>
      <w:pPr>
        <w:jc w:val="both"/>
        <w:ind w:left="120" w:right="119"/>
        <w:spacing w:after="0" w:line="255" w:lineRule="auto"/>
        <w:rPr>
          <w:sz w:val="20"/>
          <w:szCs w:val="20"/>
          <w:color w:val="auto"/>
        </w:rPr>
      </w:pPr>
      <w:r>
        <w:rPr>
          <w:rFonts w:ascii="Arial" w:cs="Arial" w:eastAsia="Arial" w:hAnsi="Arial"/>
          <w:sz w:val="18"/>
          <w:szCs w:val="18"/>
          <w:color w:val="auto"/>
        </w:rPr>
        <w:t>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90" w:lineRule="exact"/>
        <w:rPr>
          <w:sz w:val="20"/>
          <w:szCs w:val="20"/>
          <w:color w:val="auto"/>
        </w:rPr>
      </w:pPr>
    </w:p>
    <w:p>
      <w:pPr>
        <w:jc w:val="both"/>
        <w:ind w:left="120" w:right="119" w:firstLine="216"/>
        <w:spacing w:after="0" w:line="297" w:lineRule="auto"/>
        <w:rPr>
          <w:sz w:val="20"/>
          <w:szCs w:val="20"/>
          <w:color w:val="auto"/>
        </w:rPr>
      </w:pPr>
      <w:r>
        <w:rPr>
          <w:rFonts w:ascii="Arial" w:cs="Arial" w:eastAsia="Arial" w:hAnsi="Arial"/>
          <w:sz w:val="16"/>
          <w:szCs w:val="16"/>
          <w:color w:val="auto"/>
        </w:rPr>
        <w:t>The remaining ordinary shares will be held by our existing shareholders and will be deemed to be “restricted securities” (as that phrase is defined under Rule 144 of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 and Rule 701 under the Securities Act. These rules are summarized below.</w:t>
      </w:r>
    </w:p>
    <w:p>
      <w:pPr>
        <w:spacing w:after="0" w:line="158"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restricted securities will be available for sale in the public market as follows:</w:t>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Number of Shares</w:t>
      </w:r>
    </w:p>
    <w:p>
      <w:pPr>
        <w:spacing w:after="0" w:line="4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Eligible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-4639945</wp:posOffset>
            </wp:positionH>
            <wp:positionV relativeFrom="paragraph">
              <wp:posOffset>50165</wp:posOffset>
            </wp:positionV>
            <wp:extent cx="5574030" cy="2317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4030" cy="231775"/>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6720" w:space="720"/>
            <w:col w:w="1579"/>
          </w:cols>
          <w:pgMar w:left="1440" w:top="337" w:right="1440"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At the date of this prospectus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 to 180 days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48895</wp:posOffset>
            </wp:positionV>
            <wp:extent cx="557403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4030" cy="222885"/>
                    </a:xfrm>
                    <a:prstGeom prst="rect">
                      <a:avLst/>
                    </a:prstGeom>
                    <a:noFill/>
                  </pic:spPr>
                </pic:pic>
              </a:graphicData>
            </a:graphic>
          </wp:anchor>
        </w:drawing>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180 days after the date of this prospectus</w:t>
      </w:r>
    </w:p>
    <w:p>
      <w:pPr>
        <w:spacing w:after="0" w:line="23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We, all of our directors and executive officers and holders of substantially all of our outstanding shares and shares issuable upon the exercise of warrants and vested options, have agreed not to offer, sell, agree to sell, directly or indirectly, or otherwise dispose of any ordinary shares or any securities convertible into or exchangeable for ordinary shares except for the ordinary shares offered in this offering without the prior written consent of Barclays Capital Inc. and Citigroup Global Markets Inc. for a period of 180 days after the date of this prospectus.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ordinary shares that are not being sold in this offering, but which will be outstanding at the time this offering is complete, will be eligible for sale into the public market under the provisions of Rule 144 and Rule 701 (but subject to the further contractual restrictions arising under the lock-up agreements described above).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2" w:name="page103"/>
    <w:bookmarkEnd w:id="102"/>
    <w:p>
      <w:pPr>
        <w:jc w:val="both"/>
        <w:ind w:left="120" w:right="119" w:firstLine="216"/>
        <w:spacing w:after="0" w:line="273"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ordinary shares or the average weekly trading volume of our ordinary shares on the during the four calendar weeks preceding such sale. Such sales are also subject to certain manner of sale provisions, notice requirements and the availability of current public information about us.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In general, under Rule 701, any of our employees, directors, officers, consultants or advisors who received or purchased ordinary shares from us under our 2004 Plan or 2012 Plan or other written agreement before the closing of this offering is entitled to resell these shares.</w:t>
      </w:r>
    </w:p>
    <w:p>
      <w:pPr>
        <w:spacing w:after="0" w:line="181"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The Commission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above (under “—Lock-Up Agreements”), may be sold beginning 90 days after the closing of this offering in reliance on Rule 144 by:</w:t>
      </w:r>
    </w:p>
    <w:p>
      <w:pPr>
        <w:spacing w:after="0" w:line="179" w:lineRule="exact"/>
        <w:rPr>
          <w:sz w:val="20"/>
          <w:szCs w:val="20"/>
          <w:color w:val="auto"/>
        </w:rPr>
      </w:pPr>
    </w:p>
    <w:p>
      <w:pPr>
        <w:ind w:left="560" w:hanging="219"/>
        <w:spacing w:after="0"/>
        <w:tabs>
          <w:tab w:leader="none" w:pos="5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persons other than affiliates, without restriction; and</w:t>
      </w:r>
    </w:p>
    <w:p>
      <w:pPr>
        <w:spacing w:after="0" w:line="215" w:lineRule="exact"/>
        <w:rPr>
          <w:rFonts w:ascii="Arial" w:cs="Arial" w:eastAsia="Arial" w:hAnsi="Arial"/>
          <w:sz w:val="22"/>
          <w:szCs w:val="22"/>
          <w:color w:val="auto"/>
        </w:rPr>
      </w:pPr>
    </w:p>
    <w:p>
      <w:pPr>
        <w:ind w:left="340" w:right="979" w:firstLine="1"/>
        <w:spacing w:after="0" w:line="472" w:lineRule="auto"/>
        <w:tabs>
          <w:tab w:leader="none" w:pos="569" w:val="left"/>
        </w:tabs>
        <w:numPr>
          <w:ilvl w:val="0"/>
          <w:numId w:val="63"/>
        </w:numPr>
        <w:rPr>
          <w:rFonts w:ascii="Arial" w:cs="Arial" w:eastAsia="Arial" w:hAnsi="Arial"/>
          <w:sz w:val="21"/>
          <w:szCs w:val="21"/>
          <w:color w:val="auto"/>
        </w:rPr>
      </w:pPr>
      <w:r>
        <w:rPr>
          <w:rFonts w:ascii="Arial" w:cs="Arial" w:eastAsia="Arial" w:hAnsi="Arial"/>
          <w:sz w:val="17"/>
          <w:szCs w:val="17"/>
          <w:color w:val="auto"/>
        </w:rPr>
        <w:t>affiliates, subject to the manner-of-sale, current public information and filing requirements of Rule 144, in each case, without compliance with the six-month holding period requirement of Rule 144.</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the completion of this offering, we intend to file a registration statement on Form S-8 under the Securities</w:t>
      </w:r>
    </w:p>
    <w:p>
      <w:pPr>
        <w:spacing w:after="0" w:line="46" w:lineRule="exact"/>
        <w:rPr>
          <w:sz w:val="20"/>
          <w:szCs w:val="20"/>
          <w:color w:val="auto"/>
        </w:rPr>
      </w:pPr>
    </w:p>
    <w:p>
      <w:pPr>
        <w:jc w:val="both"/>
        <w:ind w:left="120" w:right="119"/>
        <w:spacing w:after="0" w:line="261" w:lineRule="auto"/>
        <w:rPr>
          <w:sz w:val="20"/>
          <w:szCs w:val="20"/>
          <w:color w:val="auto"/>
        </w:rPr>
      </w:pPr>
      <w:r>
        <w:rPr>
          <w:rFonts w:ascii="Arial" w:cs="Arial" w:eastAsia="Arial" w:hAnsi="Arial"/>
          <w:sz w:val="18"/>
          <w:szCs w:val="18"/>
          <w:color w:val="auto"/>
        </w:rPr>
        <w:t>Act to register up to ordinary shares issued or reserved for issuance under the 2004 Plan and 2012 Plan. The registration statement on Form S-8 will become effective automatically upon filing.</w:t>
      </w:r>
    </w:p>
    <w:p>
      <w:pPr>
        <w:spacing w:after="0" w:line="184"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lock-up agreements with the underwriters and Rule 144 volume limitations applicable to our affiliates, be available for sale in the open market immediately after the 180-day lock-up period expires. See “Management—Share Incentive Plans.”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color w:val="auto"/>
        </w:rPr>
        <w:t>Following the completion of this offering, the holders of up to 3,176,744 ordinary shares are entitled to request that we register their ordinary shares under the 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affiliates, immediately upon the effectiveness of such registration. See “Description of Share Capital—Registration Rights.” Any sales of securities by these shareholders could have a material adverse effect on the trading price of our ordinary shares.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3" w:name="page104"/>
    <w:bookmarkEnd w:id="103"/>
    <w:p>
      <w:pPr>
        <w:ind w:left="740"/>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229"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 following is a brief summary of the material Israeli tax laws applicable to us, and certain Israeli Government programs that benefit 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Israeli companies are generally subject to corporate tax. In 2013, the corporate tax rate was 25% of their taxable income. In August 2014 the Israeli Knesset amended the corporate tax rate from 2014 and thereafter to 26.5%.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Industry (Taxes), 5729-1969</w:t>
      </w:r>
    </w:p>
    <w:p>
      <w:pPr>
        <w:spacing w:after="0" w:line="225"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81"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239" w:lineRule="exact"/>
        <w:rPr>
          <w:sz w:val="20"/>
          <w:szCs w:val="20"/>
          <w:color w:val="auto"/>
        </w:rPr>
      </w:pPr>
    </w:p>
    <w:p>
      <w:pPr>
        <w:ind w:left="560" w:right="119" w:hanging="219"/>
        <w:spacing w:after="0" w:line="232" w:lineRule="auto"/>
        <w:tabs>
          <w:tab w:leader="none" w:pos="613" w:val="left"/>
        </w:tabs>
        <w:numPr>
          <w:ilvl w:val="0"/>
          <w:numId w:val="64"/>
        </w:numPr>
        <w:rPr>
          <w:rFonts w:ascii="Arial" w:cs="Arial" w:eastAsia="Arial" w:hAnsi="Arial"/>
          <w:sz w:val="22"/>
          <w:szCs w:val="22"/>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company;</w:t>
      </w:r>
    </w:p>
    <w:p>
      <w:pPr>
        <w:spacing w:after="0" w:line="217" w:lineRule="exact"/>
        <w:rPr>
          <w:rFonts w:ascii="Arial" w:cs="Arial" w:eastAsia="Arial" w:hAnsi="Arial"/>
          <w:sz w:val="22"/>
          <w:szCs w:val="22"/>
          <w:color w:val="auto"/>
        </w:rPr>
      </w:pPr>
    </w:p>
    <w:p>
      <w:pPr>
        <w:ind w:left="560" w:hanging="219"/>
        <w:spacing w:after="0"/>
        <w:tabs>
          <w:tab w:leader="none" w:pos="560" w:val="left"/>
        </w:tabs>
        <w:numPr>
          <w:ilvl w:val="0"/>
          <w:numId w:val="64"/>
        </w:numPr>
        <w:rPr>
          <w:rFonts w:ascii="Arial" w:cs="Arial" w:eastAsia="Arial" w:hAnsi="Arial"/>
          <w:sz w:val="19"/>
          <w:szCs w:val="19"/>
          <w:color w:val="auto"/>
        </w:rPr>
      </w:pPr>
      <w:r>
        <w:rPr>
          <w:rFonts w:ascii="Arial" w:cs="Arial" w:eastAsia="Arial" w:hAnsi="Arial"/>
          <w:sz w:val="16"/>
          <w:szCs w:val="16"/>
          <w:color w:val="auto"/>
        </w:rPr>
        <w:t>under limited conditions, an election to file consolidated tax returns with related Israeli Industrial Companies; and</w:t>
      </w:r>
    </w:p>
    <w:p>
      <w:pPr>
        <w:spacing w:after="0" w:line="204" w:lineRule="exact"/>
        <w:rPr>
          <w:rFonts w:ascii="Arial" w:cs="Arial" w:eastAsia="Arial" w:hAnsi="Arial"/>
          <w:sz w:val="19"/>
          <w:szCs w:val="19"/>
          <w:color w:val="auto"/>
        </w:rPr>
      </w:pPr>
    </w:p>
    <w:p>
      <w:pPr>
        <w:ind w:left="560" w:hanging="219"/>
        <w:spacing w:after="0"/>
        <w:tabs>
          <w:tab w:leader="none" w:pos="560" w:val="left"/>
        </w:tabs>
        <w:numPr>
          <w:ilvl w:val="0"/>
          <w:numId w:val="64"/>
        </w:numPr>
        <w:rPr>
          <w:rFonts w:ascii="Arial" w:cs="Arial" w:eastAsia="Arial" w:hAnsi="Arial"/>
          <w:sz w:val="22"/>
          <w:szCs w:val="22"/>
          <w:color w:val="auto"/>
        </w:rPr>
      </w:pPr>
      <w:r>
        <w:rPr>
          <w:rFonts w:ascii="Arial" w:cs="Arial" w:eastAsia="Arial" w:hAnsi="Arial"/>
          <w:sz w:val="18"/>
          <w:szCs w:val="18"/>
          <w:color w:val="auto"/>
        </w:rPr>
        <w:t>expenses related to a public offering are deductible in equal amounts over three years.</w:t>
      </w:r>
    </w:p>
    <w:p>
      <w:pPr>
        <w:spacing w:after="0" w:line="202"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There can be no assurance that we will continue to qualify as an Industrial Company or that the benefits described above will be available in the future.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Capital Investments, 5719-1959</w:t>
      </w:r>
    </w:p>
    <w:p>
      <w:pPr>
        <w:spacing w:after="0" w:line="225"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81"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for our company, and for our Israeli subsidiary we elected to apply the benefit under the 2011 Amendment.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4" w:name="page105"/>
    <w:bookmarkEnd w:id="104"/>
    <w:p>
      <w:pPr>
        <w:ind w:left="120"/>
        <w:spacing w:after="0"/>
        <w:rPr>
          <w:sz w:val="20"/>
          <w:szCs w:val="20"/>
          <w:color w:val="auto"/>
        </w:rPr>
      </w:pPr>
      <w:r>
        <w:rPr>
          <w:rFonts w:ascii="Arial" w:cs="Arial" w:eastAsia="Arial" w:hAnsi="Arial"/>
          <w:sz w:val="18"/>
          <w:szCs w:val="18"/>
          <w:b w:val="1"/>
          <w:bCs w:val="1"/>
          <w:i w:val="1"/>
          <w:iCs w:val="1"/>
          <w:color w:val="auto"/>
        </w:rPr>
        <w:t>Tax Benefits Subsequent to the 2005 Amendment</w:t>
      </w:r>
    </w:p>
    <w:p>
      <w:pPr>
        <w:spacing w:after="0" w:line="225"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17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from the end of the year in which the company requested to have the tax benefits apply to its Benefited Enterprise.</w:t>
      </w:r>
    </w:p>
    <w:p>
      <w:pPr>
        <w:spacing w:after="0" w:line="182"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6"/>
          <w:szCs w:val="16"/>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to 25%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rate of 25%, or a lower rate in the case of a qualified FIC which is at least 49% owned by non-Israeli residents. Dividends paid out of income attributed to a Benefited Enterprise are generally subject to withholding tax at source at the rate of 15% or such lower rate as may be provided in an applicable tax treaty. The 15% tax rate is limited to dividends and distributions out of income derived during the benefits period and actually paid at any time up to 12 years thereafter. After this period, the withholding tax is applied at a rate of up to 30%, or at a lower rate under an applicable tax treaty. In the case of an FIC, the 12-year limitation on reduced withholding tax on dividends does not apply.</w:t>
      </w:r>
    </w:p>
    <w:p>
      <w:pPr>
        <w:spacing w:after="0" w:line="172"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The benefits available to a Benefited Enterprise are subject to the fulfillment of conditions stipulated in the Investment Law and its regulations, which are generally required to derive more than 25% of their business income from export to specific markets with a population of at least 14 million in 2012 (with such export criteria increasing in the future by 1.4% per annum). In order to receive the tax benefits, the amendment states that the company must make an investment which meets all of the conditions that are set out in the amendment for tax benefits and which exceeds a minimum amount specified in the Investment Law. Such investment allows the company to receive a beneficiary enterprise status, and may be made over a period of no more than three years ending at the end of the year in which the company requested to have the tax benefits apply to the beneficiary enterprise. Where the company requests to have the tax benefits apply to an expansion of existing facilities, only the expansion will be considered to be a beneficiary enterprise, and the company's effective tax rate will be the weighted average of the applicable rates. In this case, the minimum investment required in order to qualify as a Benefited Enterprise is required to exceed a certain percentage of the value of the company's production assets before the expansion. If a company does not meet these conditions, it may be required to refund the amount of tax benefits, as adjusted by the Israeli consumer price index, and interest, or other monetary penalties.</w:t>
      </w:r>
    </w:p>
    <w:p>
      <w:pPr>
        <w:spacing w:after="0" w:line="185"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We currently have Benefited Enterprise programs under the Investments Law, which, we believe, entitle us to a tax exemption for undistributed income and a reduced tax rate. The benefits period for our company began in 2010. Our company is expected to enjoy these tax benefits until 2019. Our subsidiary Kornit Digital Technologies Ltd. is subject to the 2011 Amendment (as described below) and thus the tax benefits will not be subject to time limitations.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120"/>
        <w:spacing w:after="0"/>
        <w:rPr>
          <w:sz w:val="20"/>
          <w:szCs w:val="20"/>
          <w:color w:val="auto"/>
        </w:rPr>
      </w:pPr>
      <w:r>
        <w:rPr>
          <w:rFonts w:ascii="Arial" w:cs="Arial" w:eastAsia="Arial" w:hAnsi="Arial"/>
          <w:sz w:val="18"/>
          <w:szCs w:val="18"/>
          <w:b w:val="1"/>
          <w:bCs w:val="1"/>
          <w:i w:val="1"/>
          <w:iCs w:val="1"/>
          <w:color w:val="auto"/>
        </w:rPr>
        <w:t>Tax Benefits Under the 2011 Amendment</w:t>
      </w:r>
    </w:p>
    <w:p>
      <w:pPr>
        <w:spacing w:after="0" w:line="225" w:lineRule="exact"/>
        <w:rPr>
          <w:sz w:val="20"/>
          <w:szCs w:val="20"/>
          <w:color w:val="auto"/>
        </w:rPr>
      </w:pPr>
    </w:p>
    <w:p>
      <w:pPr>
        <w:jc w:val="both"/>
        <w:ind w:left="120" w:right="119" w:firstLine="216"/>
        <w:spacing w:after="0" w:line="253" w:lineRule="auto"/>
        <w:rPr>
          <w:sz w:val="20"/>
          <w:szCs w:val="20"/>
          <w:color w:val="auto"/>
        </w:rPr>
      </w:pPr>
      <w:r>
        <w:rPr>
          <w:rFonts w:ascii="Arial" w:cs="Arial" w:eastAsia="Arial" w:hAnsi="Arial"/>
          <w:sz w:val="18"/>
          <w:szCs w:val="18"/>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 2012, unless the Preferred Enterprise is located in a certain development zone, in which case the rate will be 10%. Such corporate tax rate reduced to 12.5% and 7%, respectively, in 2013 and increased to 16% and 9% in 2014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a certain development zone.</w:t>
      </w:r>
    </w:p>
    <w:p>
      <w:pPr>
        <w:spacing w:after="0" w:line="191" w:lineRule="exact"/>
        <w:rPr>
          <w:sz w:val="20"/>
          <w:szCs w:val="20"/>
          <w:color w:val="auto"/>
        </w:rPr>
      </w:pPr>
    </w:p>
    <w:p>
      <w:pPr>
        <w:jc w:val="both"/>
        <w:ind w:left="120" w:right="119" w:firstLine="216"/>
        <w:spacing w:after="0" w:line="302" w:lineRule="auto"/>
        <w:rPr>
          <w:sz w:val="20"/>
          <w:szCs w:val="20"/>
          <w:color w:val="auto"/>
        </w:rPr>
      </w:pPr>
      <w:r>
        <w:rPr>
          <w:rFonts w:ascii="Arial" w:cs="Arial" w:eastAsia="Arial" w:hAnsi="Arial"/>
          <w:sz w:val="16"/>
          <w:szCs w:val="16"/>
          <w:color w:val="auto"/>
        </w:rPr>
        <w:t>As of 2014, dividends paid out of income attributed to a Preferred Enterprise are generally subject to withholding tax at source at the rate of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154"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w:t>
      </w:r>
    </w:p>
    <w:p>
      <w:pPr>
        <w:spacing w:after="0" w:line="173"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229"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Israeli Tax Consequences</w:t>
      </w:r>
    </w:p>
    <w:p>
      <w:pPr>
        <w:spacing w:after="0" w:line="229" w:lineRule="exact"/>
        <w:rPr>
          <w:sz w:val="20"/>
          <w:szCs w:val="20"/>
          <w:color w:val="auto"/>
        </w:rPr>
      </w:pPr>
    </w:p>
    <w:p>
      <w:pPr>
        <w:jc w:val="both"/>
        <w:ind w:left="120" w:right="119" w:firstLine="216"/>
        <w:spacing w:after="0" w:line="289"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225" w:lineRule="exact"/>
        <w:rPr>
          <w:sz w:val="20"/>
          <w:szCs w:val="20"/>
          <w:color w:val="auto"/>
        </w:rPr>
      </w:pPr>
    </w:p>
    <w:p>
      <w:pPr>
        <w:jc w:val="both"/>
        <w:ind w:left="120" w:right="119" w:firstLine="216"/>
        <w:spacing w:after="0" w:line="285" w:lineRule="auto"/>
        <w:rPr>
          <w:sz w:val="20"/>
          <w:szCs w:val="20"/>
          <w:color w:val="auto"/>
        </w:rPr>
      </w:pPr>
      <w:r>
        <w:rPr>
          <w:rFonts w:ascii="Arial" w:cs="Arial" w:eastAsia="Arial" w:hAnsi="Arial"/>
          <w:sz w:val="16"/>
          <w:szCs w:val="16"/>
          <w:i w:val="1"/>
          <w:iCs w:val="1"/>
          <w:color w:val="auto"/>
        </w:rPr>
        <w:t xml:space="preserve">Capital Gains Taxes Applicable to Non-Israeli Resident Shareholders. </w:t>
      </w:r>
      <w:r>
        <w:rPr>
          <w:rFonts w:ascii="Arial" w:cs="Arial" w:eastAsia="Arial" w:hAnsi="Arial"/>
          <w:sz w:val="16"/>
          <w:szCs w:val="16"/>
          <w:color w:val="auto"/>
        </w:rPr>
        <w:t>Generally, a non-Israeli resident who derives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25% or more in such non-Israeli corporation or</w:t>
      </w:r>
    </w:p>
    <w:p>
      <w:pPr>
        <w:spacing w:after="0" w:line="2" w:lineRule="exact"/>
        <w:rPr>
          <w:sz w:val="20"/>
          <w:szCs w:val="20"/>
          <w:color w:val="auto"/>
        </w:rPr>
      </w:pPr>
    </w:p>
    <w:p>
      <w:pPr>
        <w:jc w:val="both"/>
        <w:ind w:left="120" w:right="119" w:firstLine="5"/>
        <w:spacing w:after="0" w:line="255" w:lineRule="auto"/>
        <w:tabs>
          <w:tab w:leader="none" w:pos="3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90"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69"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 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jc w:val="both"/>
        <w:ind w:left="120" w:right="119"/>
        <w:spacing w:after="0" w:line="277" w:lineRule="auto"/>
        <w:rPr>
          <w:sz w:val="20"/>
          <w:szCs w:val="20"/>
          <w:color w:val="auto"/>
        </w:rPr>
      </w:pPr>
      <w:r>
        <w:rPr>
          <w:rFonts w:ascii="Arial" w:cs="Arial" w:eastAsia="Arial" w:hAnsi="Arial"/>
          <w:sz w:val="18"/>
          <w:szCs w:val="18"/>
          <w:color w:val="auto"/>
        </w:rPr>
        <w:t>the tax deferral, a pre-ruling from the Israel Tax Authority might be required only with respect to shareholders which cannot demonstrate that they are exempt from tax on their capital gains from such transaction.</w:t>
      </w:r>
    </w:p>
    <w:p>
      <w:pPr>
        <w:spacing w:after="0" w:line="170" w:lineRule="exact"/>
        <w:rPr>
          <w:sz w:val="20"/>
          <w:szCs w:val="20"/>
          <w:color w:val="auto"/>
        </w:rPr>
      </w:pPr>
    </w:p>
    <w:p>
      <w:pPr>
        <w:jc w:val="both"/>
        <w:ind w:left="120" w:right="119" w:firstLine="216"/>
        <w:spacing w:after="0" w:line="267" w:lineRule="auto"/>
        <w:rPr>
          <w:sz w:val="20"/>
          <w:szCs w:val="20"/>
          <w:color w:val="auto"/>
        </w:rPr>
      </w:pPr>
      <w:r>
        <w:rPr>
          <w:rFonts w:ascii="Arial" w:cs="Arial" w:eastAsia="Arial" w:hAnsi="Arial"/>
          <w:sz w:val="17"/>
          <w:szCs w:val="17"/>
          <w:i w:val="1"/>
          <w:iCs w:val="1"/>
          <w:color w:val="auto"/>
        </w:rPr>
        <w:t xml:space="preserve">Taxation of Non-Israeli Shareholders on Receipt of Dividends. </w:t>
      </w:r>
      <w:r>
        <w:rPr>
          <w:rFonts w:ascii="Arial" w:cs="Arial" w:eastAsia="Arial" w:hAnsi="Arial"/>
          <w:sz w:val="17"/>
          <w:szCs w:val="17"/>
          <w:color w:val="auto"/>
        </w:rPr>
        <w:t>Non-Israeli residents are generally subject to Israeli</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193"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178"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188"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Excess Tax</w:t>
      </w:r>
    </w:p>
    <w:p>
      <w:pPr>
        <w:spacing w:after="0" w:line="225"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7"/>
          <w:szCs w:val="17"/>
          <w:color w:val="auto"/>
        </w:rPr>
        <w:t>Individuals who are subject to tax in Israel are also subject to an additional tax at a rate of 2% on annual income exceeding NIS 811,560 for 2014, which amount is linked to the annual change in the Israeli consumer price index, including, but not limited to, dividends, interest and capital gain, subject to the provisions of an applicable tax treaty.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29"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The following is a description of the United States federal income tax consequences relating to the ownership and disposition of our ordinary shares by a U.S. Holder (as defined below). This description addresses only the United States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163" w:lineRule="exact"/>
        <w:rPr>
          <w:sz w:val="20"/>
          <w:szCs w:val="20"/>
          <w:color w:val="auto"/>
        </w:rPr>
      </w:pPr>
    </w:p>
    <w:p>
      <w:pPr>
        <w:ind w:left="580" w:hanging="239"/>
        <w:spacing w:after="0"/>
        <w:tabs>
          <w:tab w:leader="none" w:pos="580" w:val="left"/>
        </w:tabs>
        <w:numPr>
          <w:ilvl w:val="0"/>
          <w:numId w:val="66"/>
        </w:numPr>
        <w:rPr>
          <w:rFonts w:ascii="Arial" w:cs="Arial" w:eastAsia="Arial" w:hAnsi="Arial"/>
          <w:sz w:val="22"/>
          <w:szCs w:val="22"/>
          <w:color w:val="auto"/>
        </w:rPr>
      </w:pPr>
      <w:r>
        <w:rPr>
          <w:rFonts w:ascii="Arial" w:cs="Arial" w:eastAsia="Arial" w:hAnsi="Arial"/>
          <w:sz w:val="18"/>
          <w:szCs w:val="18"/>
          <w:color w:val="auto"/>
        </w:rPr>
        <w:t>banks, financial institutions or insurance companies;</w:t>
      </w:r>
    </w:p>
    <w:p>
      <w:pPr>
        <w:sectPr>
          <w:pgSz w:w="11900" w:h="16838" w:orient="portrait"/>
          <w:cols w:equalWidth="0" w:num="1">
            <w:col w:w="9019"/>
          </w:cols>
          <w:pgMar w:left="1440" w:top="125" w:right="1440"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8" w:name="page109"/>
    <w:bookmarkEnd w:id="108"/>
    <w:p>
      <w:pPr>
        <w:ind w:left="540" w:hanging="199"/>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16" w:lineRule="exact"/>
        <w:rPr>
          <w:rFonts w:ascii="Arial" w:cs="Arial" w:eastAsia="Arial" w:hAnsi="Arial"/>
          <w:sz w:val="18"/>
          <w:szCs w:val="18"/>
          <w:color w:val="auto"/>
        </w:rPr>
      </w:pPr>
    </w:p>
    <w:p>
      <w:pPr>
        <w:ind w:left="560" w:hanging="219"/>
        <w:spacing w:after="0"/>
        <w:tabs>
          <w:tab w:leader="none" w:pos="5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brokers, dealers or traders in securities, commodities or currencies;</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67"/>
        </w:numPr>
        <w:rPr>
          <w:rFonts w:ascii="Arial" w:cs="Arial" w:eastAsia="Arial" w:hAnsi="Arial"/>
          <w:sz w:val="22"/>
          <w:szCs w:val="22"/>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certain former citizens or long-term residents of the United States;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persons that received our shares as compensation for the performance of services;</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67"/>
        </w:numPr>
        <w:rPr>
          <w:rFonts w:ascii="Arial" w:cs="Arial" w:eastAsia="Arial" w:hAnsi="Arial"/>
          <w:sz w:val="22"/>
          <w:szCs w:val="22"/>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13" w:val="left"/>
        </w:tabs>
        <w:numPr>
          <w:ilvl w:val="0"/>
          <w:numId w:val="67"/>
        </w:numPr>
        <w:rPr>
          <w:rFonts w:ascii="Arial" w:cs="Arial" w:eastAsia="Arial" w:hAnsi="Arial"/>
          <w:sz w:val="22"/>
          <w:szCs w:val="22"/>
          <w:color w:val="auto"/>
        </w:rPr>
      </w:pPr>
      <w:r>
        <w:rPr>
          <w:rFonts w:ascii="Arial" w:cs="Arial" w:eastAsia="Arial" w:hAnsi="Arial"/>
          <w:sz w:val="18"/>
          <w:szCs w:val="18"/>
          <w:color w:val="auto"/>
        </w:rPr>
        <w:t>partnerships (including entities classified as partnerships for United State federal income tax purposes) or other pass-through entities, or holders that will hold our shares through such an entity;</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S corporations;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holders that acquire ordinary shares as a result of holding or owning our preferred shares;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U.S. holders whose “functional currency” is not the U.S. Dollar; or</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67"/>
        </w:numPr>
        <w:rPr>
          <w:rFonts w:ascii="Arial" w:cs="Arial" w:eastAsia="Arial" w:hAnsi="Arial"/>
          <w:sz w:val="22"/>
          <w:szCs w:val="22"/>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204" w:lineRule="exact"/>
        <w:rPr>
          <w:sz w:val="20"/>
          <w:szCs w:val="20"/>
          <w:color w:val="auto"/>
        </w:rPr>
      </w:pPr>
    </w:p>
    <w:p>
      <w:pPr>
        <w:jc w:val="both"/>
        <w:ind w:left="120" w:right="119" w:firstLine="216"/>
        <w:spacing w:after="0" w:line="342" w:lineRule="auto"/>
        <w:rPr>
          <w:sz w:val="20"/>
          <w:szCs w:val="20"/>
          <w:color w:val="auto"/>
        </w:rPr>
      </w:pPr>
      <w:r>
        <w:rPr>
          <w:rFonts w:ascii="Arial" w:cs="Arial" w:eastAsia="Arial" w:hAnsi="Arial"/>
          <w:sz w:val="16"/>
          <w:szCs w:val="16"/>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24"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color w:val="auto"/>
        </w:rPr>
        <w:t>This description is based on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or IRS, will not take a different position concerning the tax consequences of the ownership and disposition of our ordinary shares or that such a position would not be sustained. Holders should consult their own tax advisors concerning the U.S. federal, state, local and foreign tax consequences of owning and disposing of our ordinary shares in their particular circumstances.</w:t>
      </w:r>
    </w:p>
    <w:p>
      <w:pPr>
        <w:spacing w:after="0" w:line="167"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For purposes of this description, a “U.S. Holder” is a beneficial owner of our ordinary shares that, for United States federal income tax purposes, is:</w:t>
      </w:r>
    </w:p>
    <w:p>
      <w:pPr>
        <w:spacing w:after="0" w:line="161" w:lineRule="exact"/>
        <w:rPr>
          <w:sz w:val="20"/>
          <w:szCs w:val="20"/>
          <w:color w:val="auto"/>
        </w:rPr>
      </w:pPr>
    </w:p>
    <w:p>
      <w:pPr>
        <w:ind w:left="560" w:hanging="219"/>
        <w:spacing w:after="0"/>
        <w:tabs>
          <w:tab w:leader="none" w:pos="560" w:val="left"/>
        </w:tabs>
        <w:numPr>
          <w:ilvl w:val="0"/>
          <w:numId w:val="68"/>
        </w:numPr>
        <w:rPr>
          <w:rFonts w:ascii="Arial" w:cs="Arial" w:eastAsia="Arial" w:hAnsi="Arial"/>
          <w:sz w:val="22"/>
          <w:szCs w:val="22"/>
          <w:color w:val="auto"/>
        </w:rPr>
      </w:pPr>
      <w:r>
        <w:rPr>
          <w:rFonts w:ascii="Arial" w:cs="Arial" w:eastAsia="Arial" w:hAnsi="Arial"/>
          <w:sz w:val="18"/>
          <w:szCs w:val="18"/>
          <w:color w:val="auto"/>
        </w:rPr>
        <w:t>a citizen or individual resident of the United States;</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68"/>
        </w:numPr>
        <w:rPr>
          <w:rFonts w:ascii="Arial" w:cs="Arial" w:eastAsia="Arial" w:hAnsi="Arial"/>
          <w:sz w:val="22"/>
          <w:szCs w:val="22"/>
          <w:color w:val="auto"/>
        </w:rPr>
      </w:pPr>
      <w:r>
        <w:rPr>
          <w:rFonts w:ascii="Arial" w:cs="Arial" w:eastAsia="Arial" w:hAnsi="Arial"/>
          <w:sz w:val="18"/>
          <w:szCs w:val="18"/>
          <w:color w:val="auto"/>
        </w:rPr>
        <w:t>a corporation created or organized in or under the laws of the United States or any state thereof, including the District of Columbia;</w:t>
      </w:r>
    </w:p>
    <w:p>
      <w:pPr>
        <w:spacing w:after="0" w:line="206" w:lineRule="exact"/>
        <w:rPr>
          <w:rFonts w:ascii="Arial" w:cs="Arial" w:eastAsia="Arial" w:hAnsi="Arial"/>
          <w:sz w:val="22"/>
          <w:szCs w:val="22"/>
          <w:color w:val="auto"/>
        </w:rPr>
      </w:pPr>
    </w:p>
    <w:p>
      <w:pPr>
        <w:ind w:left="560" w:hanging="219"/>
        <w:spacing w:after="0"/>
        <w:tabs>
          <w:tab w:leader="none" w:pos="560" w:val="left"/>
        </w:tabs>
        <w:numPr>
          <w:ilvl w:val="0"/>
          <w:numId w:val="68"/>
        </w:numPr>
        <w:rPr>
          <w:rFonts w:ascii="Arial" w:cs="Arial" w:eastAsia="Arial" w:hAnsi="Arial"/>
          <w:sz w:val="21"/>
          <w:szCs w:val="21"/>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215" w:lineRule="exact"/>
        <w:rPr>
          <w:rFonts w:ascii="Arial" w:cs="Arial" w:eastAsia="Arial" w:hAnsi="Arial"/>
          <w:sz w:val="21"/>
          <w:szCs w:val="21"/>
          <w:color w:val="auto"/>
        </w:rPr>
      </w:pPr>
    </w:p>
    <w:p>
      <w:pPr>
        <w:jc w:val="both"/>
        <w:ind w:left="560" w:right="119" w:hanging="219"/>
        <w:spacing w:after="0" w:line="285" w:lineRule="auto"/>
        <w:tabs>
          <w:tab w:leader="none" w:pos="572" w:val="left"/>
        </w:tabs>
        <w:numPr>
          <w:ilvl w:val="0"/>
          <w:numId w:val="68"/>
        </w:numPr>
        <w:rPr>
          <w:rFonts w:ascii="Arial" w:cs="Arial" w:eastAsia="Arial" w:hAnsi="Arial"/>
          <w:sz w:val="19"/>
          <w:szCs w:val="19"/>
          <w:color w:val="auto"/>
        </w:rPr>
      </w:pPr>
      <w:r>
        <w:rPr>
          <w:rFonts w:ascii="Arial" w:cs="Arial" w:eastAsia="Arial" w:hAnsi="Arial"/>
          <w:sz w:val="16"/>
          <w:szCs w:val="16"/>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68" w:lineRule="exact"/>
        <w:rPr>
          <w:sz w:val="20"/>
          <w:szCs w:val="20"/>
          <w:color w:val="auto"/>
        </w:rPr>
      </w:pPr>
    </w:p>
    <w:p>
      <w:pPr>
        <w:jc w:val="both"/>
        <w:ind w:left="120" w:right="119" w:firstLine="216"/>
        <w:spacing w:after="0" w:line="302" w:lineRule="auto"/>
        <w:rPr>
          <w:sz w:val="20"/>
          <w:szCs w:val="20"/>
          <w:color w:val="auto"/>
        </w:rPr>
      </w:pPr>
      <w:r>
        <w:rPr>
          <w:rFonts w:ascii="Arial" w:cs="Arial" w:eastAsia="Arial" w:hAnsi="Arial"/>
          <w:sz w:val="16"/>
          <w:szCs w:val="16"/>
          <w:color w:val="auto"/>
        </w:rPr>
        <w:t>If a partnership (or any other entity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09" w:name="page110"/>
    <w:bookmarkEnd w:id="109"/>
    <w:p>
      <w:pPr>
        <w:jc w:val="both"/>
        <w:ind w:left="120" w:right="11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owning and disposing of our ordinary shares.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120" w:right="119" w:firstLine="216"/>
        <w:spacing w:after="0" w:line="290" w:lineRule="auto"/>
        <w:rPr>
          <w:sz w:val="20"/>
          <w:szCs w:val="20"/>
          <w:color w:val="auto"/>
        </w:rPr>
      </w:pPr>
      <w:r>
        <w:rPr>
          <w:rFonts w:ascii="Arial" w:cs="Arial" w:eastAsia="Arial" w:hAnsi="Arial"/>
          <w:sz w:val="16"/>
          <w:szCs w:val="16"/>
          <w:color w:val="auto"/>
        </w:rPr>
        <w:t>Subject to the discussion under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66" w:lineRule="exact"/>
        <w:rPr>
          <w:sz w:val="20"/>
          <w:szCs w:val="20"/>
          <w:color w:val="auto"/>
        </w:rPr>
      </w:pPr>
    </w:p>
    <w:p>
      <w:pPr>
        <w:jc w:val="both"/>
        <w:ind w:left="120" w:right="119" w:firstLine="216"/>
        <w:spacing w:after="0" w:line="267" w:lineRule="auto"/>
        <w:rPr>
          <w:sz w:val="20"/>
          <w:szCs w:val="20"/>
          <w:color w:val="auto"/>
        </w:rPr>
      </w:pPr>
      <w:r>
        <w:rPr>
          <w:rFonts w:ascii="Arial" w:cs="Arial" w:eastAsia="Arial" w:hAnsi="Arial"/>
          <w:sz w:val="17"/>
          <w:szCs w:val="17"/>
          <w:color w:val="auto"/>
        </w:rPr>
        <w:t>Subject to the discussion under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if the company (i) is eligible for the benefits of a comprehensive income tax treaty with the United States that the IRS has approved for the purposes of the qualified dividend rules, and (ii) was not, in the year prior to the year in which the dividend was paid, and is not, in the year in which the dividend is paid, a PFIC, for U.S. federal income tax purposes. The Convention between the Government of the United States of America and the Government of the State of Israel for the “Avoidance of Double Taxation and the Prevention of Fiscal Evasion with respect to Taxes on Income” together with the related Protocol (the “Treaty”) has been approved for the purposes of the qualified dividend rules. However, if the company is classified as a PFIC, for U.S. federal income tax purposes, for the current taxable year or any subsequent taxable year, the company will not be treated as a qualified foreign corporation for these purposes in those taxable years in which we are classified as a PFIC, and, thus, a non-corporate recipient of dividend income will not be eligible for the preferential rates of taxation. Although no assurances can be given, we believe that we will be treated as a qualified foreign corporation for these purposes for any taxable year in which such dividend was paid provided that we are not classified as a PFIC in the last year prior to the year in which such dividend is paid and the year in which such dividend is paid.</w:t>
      </w:r>
    </w:p>
    <w:p>
      <w:pPr>
        <w:spacing w:after="0" w:line="193" w:lineRule="exact"/>
        <w:rPr>
          <w:sz w:val="20"/>
          <w:szCs w:val="20"/>
          <w:color w:val="auto"/>
        </w:rPr>
      </w:pPr>
    </w:p>
    <w:p>
      <w:pPr>
        <w:jc w:val="both"/>
        <w:ind w:left="120" w:right="119" w:firstLine="216"/>
        <w:spacing w:after="0" w:line="288" w:lineRule="auto"/>
        <w:rPr>
          <w:sz w:val="20"/>
          <w:szCs w:val="20"/>
          <w:color w:val="auto"/>
        </w:rPr>
      </w:pPr>
      <w:r>
        <w:rPr>
          <w:rFonts w:ascii="Arial" w:cs="Arial" w:eastAsia="Arial" w:hAnsi="Arial"/>
          <w:sz w:val="16"/>
          <w:szCs w:val="16"/>
          <w:color w:val="auto"/>
        </w:rPr>
        <w:t>The amount of any dividend paid in a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6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taking into account Treaty benefits,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w:t>
      </w:r>
    </w:p>
    <w:p>
      <w:pPr>
        <w:spacing w:after="0" w:line="182" w:lineRule="exact"/>
        <w:rPr>
          <w:sz w:val="20"/>
          <w:szCs w:val="20"/>
          <w:color w:val="auto"/>
        </w:rPr>
      </w:pPr>
    </w:p>
    <w:p>
      <w:pPr>
        <w:jc w:val="both"/>
        <w:ind w:left="120" w:right="119" w:firstLine="216"/>
        <w:spacing w:after="0" w:line="277" w:lineRule="auto"/>
        <w:rPr>
          <w:sz w:val="20"/>
          <w:szCs w:val="20"/>
          <w:color w:val="auto"/>
        </w:rPr>
      </w:pPr>
      <w:r>
        <w:rPr>
          <w:rFonts w:ascii="Arial" w:cs="Arial" w:eastAsia="Arial" w:hAnsi="Arial"/>
          <w:sz w:val="18"/>
          <w:szCs w:val="18"/>
          <w:color w:val="auto"/>
        </w:rPr>
        <w:t>U.S. Holders should consult their tax advisers regarding the availability of the foreign tax credit in their particular circumstances.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225"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Subject to the discussion below under “Passive Foreign Investment Company Considerations,” a U.S. Holder generally will recognize gain or loss, for U.S. federal income tax purposes, on the sale, exchange or other taxable disposition of our</w:t>
      </w:r>
    </w:p>
    <w:p>
      <w:pPr>
        <w:sectPr>
          <w:pgSz w:w="11900" w:h="16838" w:orient="portrait"/>
          <w:cols w:equalWidth="0" w:num="1">
            <w:col w:w="9019"/>
          </w:cols>
          <w:pgMar w:left="1440" w:top="121"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10" w:name="page111"/>
    <w:bookmarkEnd w:id="110"/>
    <w:p>
      <w:pPr>
        <w:jc w:val="both"/>
        <w:ind w:left="120" w:right="119"/>
        <w:spacing w:after="0" w:line="270" w:lineRule="auto"/>
        <w:rPr>
          <w:sz w:val="20"/>
          <w:szCs w:val="20"/>
          <w:color w:val="auto"/>
        </w:rPr>
      </w:pPr>
      <w:r>
        <w:rPr>
          <w:rFonts w:ascii="Arial" w:cs="Arial" w:eastAsia="Arial" w:hAnsi="Arial"/>
          <w:sz w:val="17"/>
          <w:szCs w:val="17"/>
          <w:color w:val="auto"/>
        </w:rPr>
        <w:t>ordinary shares, in an amount equal to the difference, if any, between the amount realized on such sale, exchange or other taxable disposition and the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Except as discussed below with respect to foreign currency gain or loss, if you are a non-corporate U.S. Holder, long-term capital gain from the sale, exchange or other taxable disposition of ordinary shares is generally eligible for a preferential rate of taxation applicable to capital gains. The deductibility of capital losses for United States federal income tax purposes is subject to limitations under the Code. Any such gain or loss that a U.S. Holder recognizes generally will be treated as U.S. source income or loss for foreign tax credit limitation purposes.</w:t>
      </w:r>
    </w:p>
    <w:p>
      <w:pPr>
        <w:spacing w:after="0" w:line="182"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A U.S. Holder’s initial tax basis in the ordinary shares will generally be the U.S. dollar value of the purchase price of our ordinary shares on the date of purchase. The amount realized on a sale or other disposition of ordinary shares, for an amount in foreign currency, will be the U.S. dollar value of this amount on the date of sale or disposition. 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7"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72" w:lineRule="exact"/>
        <w:rPr>
          <w:sz w:val="20"/>
          <w:szCs w:val="20"/>
          <w:color w:val="auto"/>
        </w:rPr>
      </w:pPr>
    </w:p>
    <w:p>
      <w:pPr>
        <w:ind w:left="560" w:hanging="219"/>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18"/>
          <w:szCs w:val="18"/>
          <w:color w:val="auto"/>
        </w:rPr>
        <w:t>at least 75% of its gross income is “passive income”; or</w:t>
      </w:r>
    </w:p>
    <w:p>
      <w:pPr>
        <w:spacing w:after="0" w:line="215" w:lineRule="exact"/>
        <w:rPr>
          <w:rFonts w:ascii="Arial" w:cs="Arial" w:eastAsia="Arial" w:hAnsi="Arial"/>
          <w:sz w:val="22"/>
          <w:szCs w:val="22"/>
          <w:color w:val="auto"/>
        </w:rPr>
      </w:pPr>
    </w:p>
    <w:p>
      <w:pPr>
        <w:jc w:val="both"/>
        <w:ind w:left="560" w:right="119" w:hanging="219"/>
        <w:spacing w:after="0" w:line="243" w:lineRule="auto"/>
        <w:tabs>
          <w:tab w:leader="none" w:pos="572" w:val="left"/>
        </w:tabs>
        <w:numPr>
          <w:ilvl w:val="0"/>
          <w:numId w:val="69"/>
        </w:numPr>
        <w:rPr>
          <w:rFonts w:ascii="Arial" w:cs="Arial" w:eastAsia="Arial" w:hAnsi="Arial"/>
          <w:sz w:val="22"/>
          <w:szCs w:val="22"/>
          <w:color w:val="auto"/>
        </w:rPr>
      </w:pPr>
      <w:r>
        <w:rPr>
          <w:rFonts w:ascii="Arial" w:cs="Arial" w:eastAsia="Arial" w:hAnsi="Arial"/>
          <w:sz w:val="18"/>
          <w:szCs w:val="18"/>
          <w:color w:val="auto"/>
        </w:rPr>
        <w:t>at least 50% of the average quarterly value of its total gross assets (which, assuming we were a non-publicly traded controlled foreign corporation, or CFC, for the year being tested may be measured by the adjusted tax basis of our assets or, if we were a publicly traded CFC or not a CFC, the total value of our assets may be measured in part by the market value of our ordinary shares, which is subject to change) is attributable to assets that produce “passive income” or are held for the production of passive income.</w:t>
      </w:r>
    </w:p>
    <w:p>
      <w:pPr>
        <w:spacing w:after="0" w:line="202"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182"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color w:val="auto"/>
        </w:rPr>
        <w:t>Based on certain estimates of our gross income and gross assets, our intended use of the proceeds of this offering, and the nature of our business, we do not expect that we will be classified as a PFIC for the taxable year ending December 31, 2015. However, because PFIC status is based on our income, assets and activities for the entire taxable year, it is not possible to determine whether we will be characterized as a PFIC for the 2015 taxable year until after the close of the year. Moreover, we must determine our PFIC status annually based on tests which are factual in nature, and our status in future years will depend on our income, assets and activities in those years. In addition, our status as a PFIC may depend on how quickly we utilize the cash proceeds from this offering in our business. There can be no assurance that we will not be considered a PFIC for any taxable 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jc w:val="both"/>
        <w:ind w:left="120" w:right="119" w:firstLine="216"/>
        <w:spacing w:after="0" w:line="302" w:lineRule="auto"/>
        <w:rPr>
          <w:sz w:val="20"/>
          <w:szCs w:val="20"/>
          <w:color w:val="auto"/>
        </w:rPr>
      </w:pPr>
      <w:r>
        <w:rPr>
          <w:rFonts w:ascii="Arial" w:cs="Arial" w:eastAsia="Arial" w:hAnsi="Arial"/>
          <w:sz w:val="16"/>
          <w:szCs w:val="16"/>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154"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6"/>
          <w:szCs w:val="16"/>
          <w:color w:val="auto"/>
        </w:rPr>
        <w:t>If we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75"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71"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69"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88"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jc w:val="both"/>
        <w:ind w:left="120" w:right="119" w:firstLine="216"/>
        <w:spacing w:after="0" w:line="277" w:lineRule="auto"/>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Medicare Tax</w:t>
      </w:r>
    </w:p>
    <w:p>
      <w:pPr>
        <w:spacing w:after="0" w:line="225"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United States federal income tax liability, if any, and any excess amounts withheld under the backup withholding rules may be refunded, provided that the required information is timely furnished to the IRS.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Certain U.S. Holders who are individuals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Barclays Capital Inc. and Citigroup Global Markets Inc. are acting as representatives of the underwriters and joint book-running managers of this offering.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34"/>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Underwriters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-121920</wp:posOffset>
            </wp:positionV>
            <wp:extent cx="557403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Needham &amp; Company, LLC</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74030" cy="30861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0" w:right="119" w:firstLine="216"/>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184" w:lineRule="exact"/>
        <w:rPr>
          <w:sz w:val="20"/>
          <w:szCs w:val="20"/>
          <w:color w:val="auto"/>
        </w:rPr>
      </w:pPr>
    </w:p>
    <w:p>
      <w:pPr>
        <w:ind w:left="560" w:right="119" w:hanging="219"/>
        <w:spacing w:after="0" w:line="251" w:lineRule="auto"/>
        <w:tabs>
          <w:tab w:leader="none" w:pos="613" w:val="left"/>
        </w:tabs>
        <w:numPr>
          <w:ilvl w:val="0"/>
          <w:numId w:val="70"/>
        </w:numPr>
        <w:rPr>
          <w:rFonts w:ascii="Arial" w:cs="Arial" w:eastAsia="Arial" w:hAnsi="Arial"/>
          <w:sz w:val="21"/>
          <w:szCs w:val="21"/>
          <w:color w:val="auto"/>
        </w:rPr>
      </w:pPr>
      <w:r>
        <w:rPr>
          <w:rFonts w:ascii="Arial" w:cs="Arial" w:eastAsia="Arial" w:hAnsi="Arial"/>
          <w:sz w:val="17"/>
          <w:szCs w:val="17"/>
          <w:color w:val="auto"/>
        </w:rPr>
        <w:t>the obligation to purchase all of the ordinary shares offered hereby (other than those ordinary shares covered by their option to purchase additional shares as described below), if any of the shares are purchased;</w:t>
      </w:r>
    </w:p>
    <w:p>
      <w:pPr>
        <w:spacing w:after="0" w:line="182" w:lineRule="exact"/>
        <w:rPr>
          <w:rFonts w:ascii="Arial" w:cs="Arial" w:eastAsia="Arial" w:hAnsi="Arial"/>
          <w:sz w:val="21"/>
          <w:szCs w:val="21"/>
          <w:color w:val="auto"/>
        </w:rPr>
      </w:pPr>
    </w:p>
    <w:p>
      <w:pPr>
        <w:ind w:left="560" w:hanging="219"/>
        <w:spacing w:after="0"/>
        <w:tabs>
          <w:tab w:leader="none" w:pos="560" w:val="left"/>
        </w:tabs>
        <w:numPr>
          <w:ilvl w:val="0"/>
          <w:numId w:val="70"/>
        </w:numPr>
        <w:rPr>
          <w:rFonts w:ascii="Arial" w:cs="Arial" w:eastAsia="Arial" w:hAnsi="Arial"/>
          <w:sz w:val="22"/>
          <w:szCs w:val="22"/>
          <w:color w:val="auto"/>
        </w:rPr>
      </w:pPr>
      <w:r>
        <w:rPr>
          <w:rFonts w:ascii="Arial" w:cs="Arial" w:eastAsia="Arial" w:hAnsi="Arial"/>
          <w:sz w:val="18"/>
          <w:szCs w:val="18"/>
          <w:color w:val="auto"/>
        </w:rPr>
        <w:t>the representations and warranties made by us to the underwriters are true;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0"/>
        </w:numPr>
        <w:rPr>
          <w:rFonts w:ascii="Arial" w:cs="Arial" w:eastAsia="Arial" w:hAnsi="Arial"/>
          <w:sz w:val="22"/>
          <w:szCs w:val="22"/>
          <w:color w:val="auto"/>
        </w:rPr>
      </w:pPr>
      <w:r>
        <w:rPr>
          <w:rFonts w:ascii="Arial" w:cs="Arial" w:eastAsia="Arial" w:hAnsi="Arial"/>
          <w:sz w:val="18"/>
          <w:szCs w:val="18"/>
          <w:color w:val="auto"/>
        </w:rPr>
        <w:t>there is no material change in our business or the financial markets;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0"/>
        </w:numPr>
        <w:rPr>
          <w:rFonts w:ascii="Arial" w:cs="Arial" w:eastAsia="Arial" w:hAnsi="Arial"/>
          <w:sz w:val="22"/>
          <w:szCs w:val="22"/>
          <w:color w:val="auto"/>
        </w:rPr>
      </w:pPr>
      <w:r>
        <w:rPr>
          <w:rFonts w:ascii="Arial" w:cs="Arial" w:eastAsia="Arial" w:hAnsi="Arial"/>
          <w:sz w:val="18"/>
          <w:szCs w:val="18"/>
          <w:color w:val="auto"/>
        </w:rPr>
        <w:t>we deliver customary closing documents to the underwriters.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ordinary shares.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No Exercise</w:t>
            </w:r>
          </w:p>
        </w:tc>
        <w:tc>
          <w:tcPr>
            <w:tcW w:w="34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Full Exercise</w:t>
            </w:r>
          </w:p>
        </w:tc>
      </w:tr>
      <w:tr>
        <w:trPr>
          <w:trHeight w:val="216"/>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5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bl>
    <w:p>
      <w:pPr>
        <w:spacing w:after="0" w:line="160"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color w:val="auto"/>
        </w:rPr>
        <w:t>The representatives have advised us that the underwriters propose to offer the ordinary shares directly to the public at the public offering price set forth on the cover of this prospectus and to selected dealers, which may include the</w:t>
      </w:r>
    </w:p>
    <w:p>
      <w:pPr>
        <w:jc w:val="both"/>
        <w:ind w:left="120" w:right="119"/>
        <w:spacing w:after="0" w:line="261" w:lineRule="auto"/>
        <w:rPr>
          <w:sz w:val="20"/>
          <w:szCs w:val="20"/>
          <w:color w:val="auto"/>
        </w:rPr>
      </w:pPr>
      <w:r>
        <w:rPr>
          <w:rFonts w:ascii="Arial" w:cs="Arial" w:eastAsia="Arial" w:hAnsi="Arial"/>
          <w:sz w:val="18"/>
          <w:szCs w:val="18"/>
          <w:color w:val="auto"/>
        </w:rPr>
        <w:t>underwriters, at such offering price less a selling concession not in excess of $ per share. After the offering, the representatives may change the offering price and other selling terms.</w:t>
      </w:r>
    </w:p>
    <w:p>
      <w:pPr>
        <w:sectPr>
          <w:pgSz w:w="11900" w:h="16838" w:orient="portrait"/>
          <w:cols w:equalWidth="0" w:num="1">
            <w:col w:w="9019"/>
          </w:cols>
          <w:pgMar w:left="1440" w:top="337" w:right="1440" w:bottom="1440" w:gutter="0" w:footer="0" w:header="0"/>
        </w:sectPr>
      </w:pPr>
    </w:p>
    <w:p>
      <w:pPr>
        <w:spacing w:after="0" w:line="184" w:lineRule="exact"/>
        <w:rPr>
          <w:sz w:val="20"/>
          <w:szCs w:val="20"/>
          <w:color w:val="auto"/>
        </w:rPr>
      </w:pPr>
    </w:p>
    <w:p>
      <w:pPr>
        <w:ind w:left="120" w:firstLine="216"/>
        <w:spacing w:after="0" w:line="277" w:lineRule="auto"/>
        <w:rPr>
          <w:sz w:val="20"/>
          <w:szCs w:val="20"/>
          <w:color w:val="auto"/>
        </w:rPr>
      </w:pPr>
      <w:r>
        <w:rPr>
          <w:rFonts w:ascii="Arial" w:cs="Arial" w:eastAsia="Arial" w:hAnsi="Arial"/>
          <w:sz w:val="18"/>
          <w:szCs w:val="18"/>
          <w:color w:val="auto"/>
        </w:rPr>
        <w:t>The expenses of the offering that are payable by us are estimated to be approximately $ discounts and commissions).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(excluding underwriting</w:t>
      </w:r>
    </w:p>
    <w:p>
      <w:pPr>
        <w:spacing w:after="0" w:line="448" w:lineRule="exact"/>
        <w:rPr>
          <w:sz w:val="20"/>
          <w:szCs w:val="20"/>
          <w:color w:val="auto"/>
        </w:rPr>
      </w:pPr>
    </w:p>
    <w:p>
      <w:pPr>
        <w:sectPr>
          <w:pgSz w:w="11900" w:h="16838" w:orient="portrait"/>
          <w:cols w:equalWidth="0" w:num="2">
            <w:col w:w="6760" w:space="380"/>
            <w:col w:w="1879"/>
          </w:cols>
          <w:pgMar w:left="1440" w:top="337" w:right="1440"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w:t>
      </w:r>
    </w:p>
    <w:p>
      <w:pPr>
        <w:spacing w:after="0" w:line="46" w:lineRule="exact"/>
        <w:rPr>
          <w:sz w:val="20"/>
          <w:szCs w:val="20"/>
          <w:color w:val="auto"/>
        </w:rPr>
      </w:pPr>
    </w:p>
    <w:p>
      <w:pPr>
        <w:jc w:val="both"/>
        <w:ind w:left="120" w:right="119"/>
        <w:spacing w:after="0" w:line="273" w:lineRule="auto"/>
        <w:rPr>
          <w:sz w:val="20"/>
          <w:szCs w:val="20"/>
          <w:color w:val="auto"/>
        </w:rPr>
      </w:pPr>
      <w:r>
        <w:rPr>
          <w:rFonts w:ascii="Arial" w:cs="Arial" w:eastAsia="Arial" w:hAnsi="Arial"/>
          <w:sz w:val="17"/>
          <w:szCs w:val="17"/>
          <w:color w:val="auto"/>
        </w:rPr>
        <w:t>time to time, in whole or in part, up to an aggregate of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4" w:name="page115"/>
    <w:bookmarkEnd w:id="114"/>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left="120" w:right="119" w:firstLine="216"/>
        <w:spacing w:after="0" w:line="285" w:lineRule="auto"/>
        <w:rPr>
          <w:sz w:val="20"/>
          <w:szCs w:val="20"/>
          <w:color w:val="auto"/>
        </w:rPr>
      </w:pPr>
      <w:r>
        <w:rPr>
          <w:rFonts w:ascii="Arial" w:cs="Arial" w:eastAsia="Arial" w:hAnsi="Arial"/>
          <w:sz w:val="16"/>
          <w:szCs w:val="16"/>
          <w:color w:val="auto"/>
        </w:rPr>
        <w:t>We, all of our directors and executive officers and holders of substantially all of our outstanding shares and shares issuable upon the exercise of warrants and vested options, have agreed that, for a period of 180 days after the date of this prospectus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warrants) or securities convertible into or exercisable or exchangeable for ordinary shares (other than, with respect to us, ordinary shares issued pursuant to employee benefit plans, qualified share option plans, or other employee compensation plans existing on the date of this prospectus), or sell or grant options, rights or warrants with respect to any ordinary shares or securities convertible into or exchangeable for ordinary shares (other than, with respect to us, the grant of options pursuant to option plans existing on the date of this prospectus),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71" w:lineRule="exact"/>
        <w:rPr>
          <w:sz w:val="20"/>
          <w:szCs w:val="20"/>
          <w:color w:val="auto"/>
        </w:rPr>
      </w:pPr>
    </w:p>
    <w:p>
      <w:pPr>
        <w:jc w:val="both"/>
        <w:ind w:left="120" w:right="119" w:firstLine="216"/>
        <w:spacing w:after="0" w:line="287" w:lineRule="auto"/>
        <w:rPr>
          <w:sz w:val="20"/>
          <w:szCs w:val="20"/>
          <w:color w:val="auto"/>
        </w:rPr>
      </w:pPr>
      <w:r>
        <w:rPr>
          <w:rFonts w:ascii="Arial" w:cs="Arial" w:eastAsia="Arial" w:hAnsi="Arial"/>
          <w:sz w:val="16"/>
          <w:szCs w:val="16"/>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any of our officers or directors, Barclays Capital Inc. and Citigroup Global Markets Inc.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Price Determination</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was negotiated between the representatives and us. In determining the initial public offering price of our ordinary shares, the representatives considered:</w:t>
      </w:r>
    </w:p>
    <w:p>
      <w:pPr>
        <w:spacing w:after="0" w:line="172" w:lineRule="exact"/>
        <w:rPr>
          <w:sz w:val="20"/>
          <w:szCs w:val="20"/>
          <w:color w:val="auto"/>
        </w:rPr>
      </w:pPr>
    </w:p>
    <w:p>
      <w:pPr>
        <w:ind w:left="560" w:hanging="219"/>
        <w:spacing w:after="0"/>
        <w:tabs>
          <w:tab w:leader="none" w:pos="5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the history and prospects for the industry in which we compete;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our financial information;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the ability of our management and our business potential and earning prospects;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the prevailing securities markets at the time of this offering; and</w:t>
      </w:r>
    </w:p>
    <w:p>
      <w:pPr>
        <w:spacing w:after="0" w:line="204" w:lineRule="exact"/>
        <w:rPr>
          <w:rFonts w:ascii="Arial" w:cs="Arial" w:eastAsia="Arial" w:hAnsi="Arial"/>
          <w:sz w:val="22"/>
          <w:szCs w:val="22"/>
          <w:color w:val="auto"/>
        </w:rPr>
      </w:pPr>
    </w:p>
    <w:p>
      <w:pPr>
        <w:ind w:left="560" w:hanging="219"/>
        <w:spacing w:after="0"/>
        <w:tabs>
          <w:tab w:leader="none" w:pos="560" w:val="left"/>
        </w:tabs>
        <w:numPr>
          <w:ilvl w:val="0"/>
          <w:numId w:val="71"/>
        </w:numPr>
        <w:rPr>
          <w:rFonts w:ascii="Arial" w:cs="Arial" w:eastAsia="Arial" w:hAnsi="Arial"/>
          <w:sz w:val="21"/>
          <w:szCs w:val="21"/>
          <w:color w:val="auto"/>
        </w:rPr>
      </w:pPr>
      <w:r>
        <w:rPr>
          <w:rFonts w:ascii="Arial" w:cs="Arial" w:eastAsia="Arial" w:hAnsi="Arial"/>
          <w:sz w:val="17"/>
          <w:szCs w:val="17"/>
          <w:color w:val="auto"/>
        </w:rPr>
        <w:t>the recent market prices of, and the demand for, publicly traded shares of generally comparable companies.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120" w:right="119" w:firstLine="216"/>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5" w:name="page116"/>
    <w:bookmarkEnd w:id="115"/>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195" w:lineRule="exact"/>
        <w:rPr>
          <w:sz w:val="20"/>
          <w:szCs w:val="20"/>
          <w:color w:val="auto"/>
        </w:rPr>
      </w:pPr>
    </w:p>
    <w:p>
      <w:pPr>
        <w:ind w:left="560" w:right="119" w:hanging="219"/>
        <w:spacing w:after="0" w:line="232" w:lineRule="auto"/>
        <w:tabs>
          <w:tab w:leader="none" w:pos="572" w:val="left"/>
        </w:tabs>
        <w:numPr>
          <w:ilvl w:val="0"/>
          <w:numId w:val="72"/>
        </w:numPr>
        <w:rPr>
          <w:rFonts w:ascii="Arial" w:cs="Arial" w:eastAsia="Arial" w:hAnsi="Arial"/>
          <w:sz w:val="22"/>
          <w:szCs w:val="22"/>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217" w:lineRule="exact"/>
        <w:rPr>
          <w:rFonts w:ascii="Arial" w:cs="Arial" w:eastAsia="Arial" w:hAnsi="Arial"/>
          <w:sz w:val="22"/>
          <w:szCs w:val="22"/>
          <w:color w:val="auto"/>
        </w:rPr>
      </w:pPr>
    </w:p>
    <w:p>
      <w:pPr>
        <w:jc w:val="both"/>
        <w:ind w:left="560" w:right="119" w:hanging="219"/>
        <w:spacing w:after="0" w:line="282" w:lineRule="auto"/>
        <w:tabs>
          <w:tab w:leader="none" w:pos="572" w:val="left"/>
        </w:tabs>
        <w:numPr>
          <w:ilvl w:val="0"/>
          <w:numId w:val="72"/>
        </w:numPr>
        <w:rPr>
          <w:rFonts w:ascii="Arial" w:cs="Arial" w:eastAsia="Arial" w:hAnsi="Arial"/>
          <w:sz w:val="19"/>
          <w:szCs w:val="19"/>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7" w:lineRule="exact"/>
        <w:rPr>
          <w:rFonts w:ascii="Arial" w:cs="Arial" w:eastAsia="Arial" w:hAnsi="Arial"/>
          <w:sz w:val="19"/>
          <w:szCs w:val="19"/>
          <w:color w:val="auto"/>
        </w:rPr>
      </w:pPr>
    </w:p>
    <w:p>
      <w:pPr>
        <w:ind w:left="560" w:right="119" w:hanging="219"/>
        <w:spacing w:after="0" w:line="232" w:lineRule="auto"/>
        <w:tabs>
          <w:tab w:leader="none" w:pos="586" w:val="left"/>
        </w:tabs>
        <w:numPr>
          <w:ilvl w:val="0"/>
          <w:numId w:val="72"/>
        </w:numPr>
        <w:rPr>
          <w:rFonts w:ascii="Arial" w:cs="Arial" w:eastAsia="Arial" w:hAnsi="Arial"/>
          <w:sz w:val="22"/>
          <w:szCs w:val="22"/>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217" w:lineRule="exact"/>
        <w:rPr>
          <w:rFonts w:ascii="Arial" w:cs="Arial" w:eastAsia="Arial" w:hAnsi="Arial"/>
          <w:sz w:val="22"/>
          <w:szCs w:val="22"/>
          <w:color w:val="auto"/>
        </w:rPr>
      </w:pPr>
    </w:p>
    <w:p>
      <w:pPr>
        <w:jc w:val="both"/>
        <w:ind w:left="560" w:right="119" w:hanging="219"/>
        <w:spacing w:after="0" w:line="238" w:lineRule="auto"/>
        <w:tabs>
          <w:tab w:leader="none" w:pos="572" w:val="left"/>
        </w:tabs>
        <w:numPr>
          <w:ilvl w:val="0"/>
          <w:numId w:val="72"/>
        </w:numPr>
        <w:rPr>
          <w:rFonts w:ascii="Arial" w:cs="Arial" w:eastAsia="Arial" w:hAnsi="Arial"/>
          <w:sz w:val="22"/>
          <w:szCs w:val="22"/>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203"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88" w:lineRule="exact"/>
        <w:rPr>
          <w:sz w:val="20"/>
          <w:szCs w:val="20"/>
          <w:color w:val="auto"/>
        </w:rPr>
      </w:pPr>
    </w:p>
    <w:p>
      <w:pPr>
        <w:jc w:val="both"/>
        <w:ind w:left="120" w:right="119" w:firstLine="216"/>
        <w:spacing w:after="0" w:line="279"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apply to have the ordinary shares listed on the NASDAQ Global Market under the symbol “KRNT.”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6" w:name="page117"/>
    <w:bookmarkEnd w:id="116"/>
    <w:p>
      <w:pPr>
        <w:jc w:val="both"/>
        <w:ind w:left="120" w:right="119"/>
        <w:spacing w:after="0" w:line="264" w:lineRule="auto"/>
        <w:rPr>
          <w:sz w:val="20"/>
          <w:szCs w:val="20"/>
          <w:color w:val="auto"/>
        </w:rPr>
      </w:pPr>
      <w:r>
        <w:rPr>
          <w:rFonts w:ascii="Arial" w:cs="Arial" w:eastAsia="Arial" w:hAnsi="Arial"/>
          <w:sz w:val="18"/>
          <w:szCs w:val="18"/>
          <w:color w:val="auto"/>
        </w:rPr>
        <w:t>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81" w:lineRule="exact"/>
        <w:rPr>
          <w:sz w:val="20"/>
          <w:szCs w:val="20"/>
          <w:color w:val="auto"/>
        </w:rPr>
      </w:pPr>
    </w:p>
    <w:p>
      <w:pPr>
        <w:jc w:val="both"/>
        <w:ind w:left="120" w:right="119" w:firstLine="216"/>
        <w:spacing w:after="0" w:line="268"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9" w:lineRule="exact"/>
        <w:rPr>
          <w:sz w:val="20"/>
          <w:szCs w:val="20"/>
          <w:color w:val="auto"/>
        </w:rPr>
      </w:pPr>
    </w:p>
    <w:p>
      <w:pPr>
        <w:jc w:val="both"/>
        <w:ind w:left="120" w:right="119" w:firstLine="216"/>
        <w:spacing w:after="0" w:line="288"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79" w:lineRule="exact"/>
        <w:rPr>
          <w:sz w:val="20"/>
          <w:szCs w:val="20"/>
          <w:color w:val="auto"/>
        </w:rPr>
      </w:pPr>
    </w:p>
    <w:p>
      <w:pPr>
        <w:ind w:left="560" w:hanging="219"/>
        <w:spacing w:after="0"/>
        <w:tabs>
          <w:tab w:leader="none" w:pos="560" w:val="left"/>
        </w:tabs>
        <w:numPr>
          <w:ilvl w:val="0"/>
          <w:numId w:val="73"/>
        </w:numPr>
        <w:rPr>
          <w:rFonts w:ascii="Arial" w:cs="Arial" w:eastAsia="Arial" w:hAnsi="Arial"/>
          <w:sz w:val="22"/>
          <w:szCs w:val="22"/>
          <w:color w:val="auto"/>
        </w:rPr>
      </w:pPr>
      <w:r>
        <w:rPr>
          <w:rFonts w:ascii="Arial" w:cs="Arial" w:eastAsia="Arial" w:hAnsi="Arial"/>
          <w:sz w:val="18"/>
          <w:szCs w:val="18"/>
          <w:color w:val="auto"/>
        </w:rPr>
        <w:t>to legal entities which are qualified investors as defined under the Prospectus Directive;</w:t>
      </w:r>
    </w:p>
    <w:p>
      <w:pPr>
        <w:spacing w:after="0" w:line="215" w:lineRule="exact"/>
        <w:rPr>
          <w:rFonts w:ascii="Arial" w:cs="Arial" w:eastAsia="Arial" w:hAnsi="Arial"/>
          <w:sz w:val="22"/>
          <w:szCs w:val="22"/>
          <w:color w:val="auto"/>
        </w:rPr>
      </w:pPr>
    </w:p>
    <w:p>
      <w:pPr>
        <w:jc w:val="both"/>
        <w:ind w:left="560" w:right="119" w:hanging="219"/>
        <w:spacing w:after="0" w:line="241" w:lineRule="auto"/>
        <w:tabs>
          <w:tab w:leader="none" w:pos="572" w:val="left"/>
        </w:tabs>
        <w:numPr>
          <w:ilvl w:val="0"/>
          <w:numId w:val="73"/>
        </w:numPr>
        <w:rPr>
          <w:rFonts w:ascii="Arial" w:cs="Arial" w:eastAsia="Arial" w:hAnsi="Arial"/>
          <w:sz w:val="22"/>
          <w:szCs w:val="22"/>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93" w:lineRule="exact"/>
        <w:rPr>
          <w:rFonts w:ascii="Arial" w:cs="Arial" w:eastAsia="Arial" w:hAnsi="Arial"/>
          <w:sz w:val="22"/>
          <w:szCs w:val="22"/>
          <w:color w:val="auto"/>
        </w:rPr>
      </w:pPr>
    </w:p>
    <w:p>
      <w:pPr>
        <w:ind w:left="560" w:hanging="219"/>
        <w:spacing w:after="0"/>
        <w:tabs>
          <w:tab w:leader="none" w:pos="560" w:val="left"/>
        </w:tabs>
        <w:numPr>
          <w:ilvl w:val="0"/>
          <w:numId w:val="73"/>
        </w:numPr>
        <w:rPr>
          <w:rFonts w:ascii="Arial" w:cs="Arial" w:eastAsia="Arial" w:hAnsi="Arial"/>
          <w:sz w:val="22"/>
          <w:szCs w:val="22"/>
          <w:color w:val="auto"/>
        </w:rPr>
      </w:pPr>
      <w:r>
        <w:rPr>
          <w:rFonts w:ascii="Arial" w:cs="Arial" w:eastAsia="Arial" w:hAnsi="Arial"/>
          <w:sz w:val="18"/>
          <w:szCs w:val="18"/>
          <w:color w:val="auto"/>
        </w:rPr>
        <w:t>in any other circumstances falling within Article 3(2) of the Prospectus Directive,</w:t>
      </w:r>
    </w:p>
    <w:p>
      <w:pPr>
        <w:spacing w:after="0" w:line="202"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provided that no such offer of ordinary shares shall result in a requirement for us or any underwriter to publish a prospectus pursuant to Article 3 of the Prospectus Directive or supplement a prospectus pursuant to Article 16 of the Prospectus Directive.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jc w:val="both"/>
        <w:ind w:left="120" w:right="119" w:firstLine="216"/>
        <w:spacing w:after="0" w:line="264"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and us that:</w:t>
      </w:r>
    </w:p>
    <w:p>
      <w:pPr>
        <w:spacing w:after="0" w:line="172" w:lineRule="exact"/>
        <w:rPr>
          <w:sz w:val="20"/>
          <w:szCs w:val="20"/>
          <w:color w:val="auto"/>
        </w:rPr>
      </w:pPr>
    </w:p>
    <w:p>
      <w:pPr>
        <w:ind w:left="560" w:hanging="219"/>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18"/>
          <w:szCs w:val="18"/>
          <w:color w:val="auto"/>
        </w:rPr>
        <w:t>it is a qualified investor as defined under the Prospectus Directive; and</w:t>
      </w:r>
    </w:p>
    <w:p>
      <w:pPr>
        <w:spacing w:after="0" w:line="215" w:lineRule="exact"/>
        <w:rPr>
          <w:rFonts w:ascii="Arial" w:cs="Arial" w:eastAsia="Arial" w:hAnsi="Arial"/>
          <w:sz w:val="22"/>
          <w:szCs w:val="22"/>
          <w:color w:val="auto"/>
        </w:rPr>
      </w:pPr>
    </w:p>
    <w:p>
      <w:pPr>
        <w:jc w:val="both"/>
        <w:ind w:left="560" w:right="119" w:hanging="219"/>
        <w:spacing w:after="0" w:line="246" w:lineRule="auto"/>
        <w:tabs>
          <w:tab w:leader="none" w:pos="586" w:val="left"/>
        </w:tabs>
        <w:numPr>
          <w:ilvl w:val="0"/>
          <w:numId w:val="74"/>
        </w:numPr>
        <w:rPr>
          <w:rFonts w:ascii="Arial" w:cs="Arial" w:eastAsia="Arial" w:hAnsi="Arial"/>
          <w:sz w:val="22"/>
          <w:szCs w:val="22"/>
          <w:color w:val="auto"/>
        </w:rPr>
      </w:pPr>
      <w:r>
        <w:rPr>
          <w:rFonts w:ascii="Arial" w:cs="Arial" w:eastAsia="Arial" w:hAnsi="Arial"/>
          <w:sz w:val="18"/>
          <w:szCs w:val="18"/>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200" w:lineRule="exact"/>
        <w:rPr>
          <w:sz w:val="20"/>
          <w:szCs w:val="20"/>
          <w:color w:val="auto"/>
        </w:rPr>
      </w:pPr>
    </w:p>
    <w:p>
      <w:pPr>
        <w:jc w:val="both"/>
        <w:ind w:left="120" w:right="119" w:firstLine="216"/>
        <w:spacing w:after="0" w:line="290" w:lineRule="auto"/>
        <w:rPr>
          <w:sz w:val="20"/>
          <w:szCs w:val="20"/>
          <w:color w:val="auto"/>
        </w:rPr>
      </w:pPr>
      <w:r>
        <w:rPr>
          <w:rFonts w:ascii="Arial" w:cs="Arial" w:eastAsia="Arial" w:hAnsi="Arial"/>
          <w:sz w:val="16"/>
          <w:szCs w:val="16"/>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jc w:val="both"/>
        <w:ind w:left="120" w:right="119" w:firstLine="216"/>
        <w:spacing w:after="0" w:line="255" w:lineRule="auto"/>
        <w:rPr>
          <w:sz w:val="20"/>
          <w:szCs w:val="20"/>
          <w:color w:val="auto"/>
        </w:rPr>
      </w:pPr>
      <w:r>
        <w:rPr>
          <w:rFonts w:ascii="Arial" w:cs="Arial" w:eastAsia="Arial" w:hAnsi="Arial"/>
          <w:sz w:val="18"/>
          <w:szCs w:val="18"/>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jc w:val="both"/>
        <w:ind w:left="120" w:right="119" w:firstLine="216"/>
        <w:spacing w:after="0" w:line="271"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EXPENSES RELATED TO THIS OFFERING</w:t>
      </w:r>
    </w:p>
    <w:p>
      <w:pPr>
        <w:spacing w:after="0" w:line="229"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The following table sets forth all expenses to be paid by us, other than estimated underwriting discounts and commissions, in connection with this offering. All amounts shown are estimates except for the Securities and Exchange Commission registration fee, NASDAQ listing fee and FINRA filing fee:</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Accounting fees and expenses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Printing and engraving expenses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Transfer Agent and Registrar fees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Miscellaneous fees and expenses</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left="-1679"/>
        <w:spacing w:after="0"/>
        <w:rPr>
          <w:sz w:val="20"/>
          <w:szCs w:val="20"/>
          <w:color w:val="auto"/>
        </w:rPr>
      </w:pPr>
      <w:r>
        <w:rPr>
          <w:rFonts w:ascii="Arial" w:cs="Arial" w:eastAsia="Arial" w:hAnsi="Arial"/>
          <w:sz w:val="16"/>
          <w:szCs w:val="16"/>
          <w:b w:val="1"/>
          <w:bCs w:val="1"/>
          <w:color w:val="auto"/>
        </w:rPr>
        <w:t>Amount to</w:t>
      </w:r>
    </w:p>
    <w:p>
      <w:pPr>
        <w:spacing w:after="0" w:line="50" w:lineRule="exact"/>
        <w:rPr>
          <w:sz w:val="20"/>
          <w:szCs w:val="20"/>
          <w:color w:val="auto"/>
        </w:rPr>
      </w:pPr>
    </w:p>
    <w:p>
      <w:pPr>
        <w:jc w:val="center"/>
        <w:ind w:left="-1679"/>
        <w:spacing w:after="0"/>
        <w:rPr>
          <w:sz w:val="20"/>
          <w:szCs w:val="20"/>
          <w:color w:val="auto"/>
        </w:rPr>
      </w:pPr>
      <w:r>
        <w:rPr>
          <w:rFonts w:ascii="Arial" w:cs="Arial" w:eastAsia="Arial" w:hAnsi="Arial"/>
          <w:sz w:val="18"/>
          <w:szCs w:val="18"/>
          <w:b w:val="1"/>
          <w:bCs w:val="1"/>
          <w:color w:val="auto"/>
        </w:rPr>
        <w:t>be Paid</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151765</wp:posOffset>
            </wp:positionV>
            <wp:extent cx="557403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4030" cy="13716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426085</wp:posOffset>
            </wp:positionV>
            <wp:extent cx="557403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74030" cy="13716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700405</wp:posOffset>
            </wp:positionV>
            <wp:extent cx="557403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74030" cy="13716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983615</wp:posOffset>
            </wp:positionV>
            <wp:extent cx="557403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74030" cy="16319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-130810</wp:posOffset>
            </wp:positionV>
            <wp:extent cx="557403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40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31750</wp:posOffset>
            </wp:positionV>
            <wp:extent cx="8921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ectPr>
          <w:pgSz w:w="11900" w:h="16838" w:orient="portrait"/>
          <w:cols w:equalWidth="0" w:num="2">
            <w:col w:w="3380" w:space="720"/>
            <w:col w:w="4919"/>
          </w:cols>
          <w:pgMar w:left="1440" w:top="121" w:right="1440" w:bottom="1440" w:gutter="0" w:footer="0" w:header="0"/>
          <w:type w:val="continuous"/>
        </w:sectPr>
      </w:pPr>
    </w:p>
    <w:p>
      <w:pPr>
        <w:spacing w:after="0" w:line="29"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The consolidated financial statements of Kornit Digital Ltd. at December 31, 2012 and 2013, and for each of the two years in the period ended December 31, 2013, appearing in this Prospectus and Registration Statement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The validity of the ordinary shares being offered by this prospectus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left="120" w:right="119" w:firstLine="216"/>
        <w:spacing w:after="0" w:line="276"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be difficult to collect within the United States.</w:t>
      </w:r>
    </w:p>
    <w:p>
      <w:pPr>
        <w:spacing w:after="0" w:line="173" w:lineRule="exact"/>
        <w:rPr>
          <w:sz w:val="20"/>
          <w:szCs w:val="20"/>
          <w:color w:val="auto"/>
        </w:rPr>
      </w:pPr>
    </w:p>
    <w:p>
      <w:pPr>
        <w:jc w:val="both"/>
        <w:ind w:left="120" w:right="119" w:firstLine="216"/>
        <w:spacing w:after="0" w:line="293" w:lineRule="auto"/>
        <w:rPr>
          <w:sz w:val="20"/>
          <w:szCs w:val="20"/>
          <w:color w:val="auto"/>
        </w:rPr>
      </w:pPr>
      <w:r>
        <w:rPr>
          <w:rFonts w:ascii="Arial" w:cs="Arial" w:eastAsia="Arial" w:hAnsi="Arial"/>
          <w:sz w:val="16"/>
          <w:szCs w:val="16"/>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65"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92" w:lineRule="exact"/>
        <w:rPr>
          <w:sz w:val="20"/>
          <w:szCs w:val="20"/>
          <w:color w:val="auto"/>
        </w:rPr>
      </w:pPr>
    </w:p>
    <w:p>
      <w:pPr>
        <w:ind w:left="560" w:right="119" w:hanging="219"/>
        <w:spacing w:after="0" w:line="297" w:lineRule="auto"/>
        <w:tabs>
          <w:tab w:leader="none" w:pos="586" w:val="left"/>
        </w:tabs>
        <w:numPr>
          <w:ilvl w:val="0"/>
          <w:numId w:val="75"/>
        </w:numPr>
        <w:rPr>
          <w:rFonts w:ascii="Arial" w:cs="Arial" w:eastAsia="Arial" w:hAnsi="Arial"/>
          <w:sz w:val="19"/>
          <w:szCs w:val="19"/>
          <w:color w:val="auto"/>
        </w:rPr>
      </w:pPr>
      <w:r>
        <w:rPr>
          <w:rFonts w:ascii="Arial" w:cs="Arial" w:eastAsia="Arial" w:hAnsi="Arial"/>
          <w:sz w:val="16"/>
          <w:szCs w:val="16"/>
          <w:color w:val="auto"/>
        </w:rPr>
        <w:t>the judgment was obtained after due process before a court of competent jurisdiction, according to the laws of the state in which the judgment was given and the rules of private international law currently prevailing in Israel;</w:t>
      </w:r>
    </w:p>
    <w:p>
      <w:pPr>
        <w:sectPr>
          <w:pgSz w:w="11900" w:h="16838" w:orient="portrait"/>
          <w:cols w:equalWidth="0" w:num="1">
            <w:col w:w="9019"/>
          </w:cols>
          <w:pgMar w:left="1440" w:top="121" w:right="1440"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19" w:name="page120"/>
    <w:bookmarkEnd w:id="119"/>
    <w:p>
      <w:pPr>
        <w:ind w:left="560" w:hanging="219"/>
        <w:spacing w:after="0"/>
        <w:tabs>
          <w:tab w:leader="none" w:pos="560"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judgment may no longer be appealed;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76"/>
        </w:numPr>
        <w:rPr>
          <w:rFonts w:ascii="Arial" w:cs="Arial" w:eastAsia="Arial" w:hAnsi="Arial"/>
          <w:sz w:val="22"/>
          <w:szCs w:val="22"/>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99"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13"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judgment was not obtained by fraud and do not conflict with any other valid judgments in the same matter between the same parties;</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76"/>
        </w:numPr>
        <w:rPr>
          <w:rFonts w:ascii="Arial" w:cs="Arial" w:eastAsia="Arial" w:hAnsi="Arial"/>
          <w:sz w:val="22"/>
          <w:szCs w:val="22"/>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204"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We have filed with the Commission a registration statement on Form F-1 under the Securities Act relating to this offering of our ordinary shares. This prospectus does not contain all of the information contained in the registration statement. The rules and regulations of the Commission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78" w:lineRule="exact"/>
        <w:rPr>
          <w:sz w:val="20"/>
          <w:szCs w:val="20"/>
          <w:color w:val="auto"/>
        </w:rPr>
      </w:pPr>
    </w:p>
    <w:p>
      <w:pPr>
        <w:jc w:val="both"/>
        <w:ind w:left="120" w:right="119" w:firstLine="216"/>
        <w:spacing w:after="0" w:line="254" w:lineRule="auto"/>
        <w:rPr>
          <w:sz w:val="20"/>
          <w:szCs w:val="20"/>
          <w:color w:val="auto"/>
        </w:rPr>
      </w:pPr>
      <w:r>
        <w:rPr>
          <w:rFonts w:ascii="Arial" w:cs="Arial" w:eastAsia="Arial" w:hAnsi="Arial"/>
          <w:sz w:val="18"/>
          <w:szCs w:val="18"/>
          <w:color w:val="auto"/>
        </w:rPr>
        <w:t>You may read and copy the registration statement, including the related exhibits and schedules, and any document we file with the Commission without charge at the Commission’s public reference room at 100 F Street, N.E., Room 1580, Washington, DC 20549. You may also obtain copies of the documents at prescribed rates by writing to the Public Reference Section of the Commission at 100 F Street, N.E., Room 1580, Washington, DC 20549. Please call the Commission at 1-800-SEC-0330 for further information on the public reference room. The Commission also maintains an Internet website that contains reports and other information regarding issuers that file electronically with the Commission. Our filings with the Commission are also available to the public through the Commission’s website at http://www.sec.gov.</w:t>
      </w:r>
    </w:p>
    <w:p>
      <w:pPr>
        <w:spacing w:after="0" w:line="192" w:lineRule="exact"/>
        <w:rPr>
          <w:sz w:val="20"/>
          <w:szCs w:val="20"/>
          <w:color w:val="auto"/>
        </w:rPr>
      </w:pPr>
    </w:p>
    <w:p>
      <w:pPr>
        <w:jc w:val="both"/>
        <w:ind w:left="120" w:right="119" w:firstLine="216"/>
        <w:spacing w:after="0" w:line="286"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Commission as frequently or as promptly as U.S. companies whose securities are registered under the Exchange Act. However, we will file with the Commission, within 120 days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ectPr>
          <w:pgSz w:w="11900" w:h="16838" w:orient="portrait"/>
          <w:cols w:equalWidth="0" w:num="1">
            <w:col w:w="9019"/>
          </w:cols>
          <w:pgMar w:left="1440" w:top="332"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top w:val="single" w:sz="8" w:color="CCEEFF"/>
            </w:tcBorders>
            <w:gridSpan w:val="13"/>
            <w:shd w:val="clear" w:color="auto" w:fill="CCEEFF"/>
          </w:tcPr>
          <w:p>
            <w:pPr>
              <w:spacing w:after="0" w:line="176" w:lineRule="exact"/>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REPORT OF INDEPENDENT REGISTERED PUBLIC ACCOUNTING FIRM</w:t>
              </w:r>
            </w:hyperlink>
          </w:p>
        </w:tc>
        <w:tc>
          <w:tcPr>
            <w:tcW w:w="12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1700" w:type="dxa"/>
            <w:vAlign w:val="bottom"/>
            <w:tcBorders>
              <w:top w:val="single" w:sz="8" w:color="0000EE"/>
            </w:tcBorders>
          </w:tcPr>
          <w:p>
            <w:pPr>
              <w:spacing w:after="0"/>
              <w:rPr>
                <w:sz w:val="21"/>
                <w:szCs w:val="21"/>
                <w:color w:val="auto"/>
              </w:rPr>
            </w:pPr>
          </w:p>
        </w:tc>
        <w:tc>
          <w:tcPr>
            <w:tcW w:w="17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94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60" w:type="dxa"/>
            <w:vAlign w:val="bottom"/>
            <w:gridSpan w:val="13"/>
            <w:shd w:val="clear" w:color="auto" w:fill="CCEEFF"/>
          </w:tcPr>
          <w:p>
            <w:pPr>
              <w:spacing w:after="0" w:line="176" w:lineRule="exact"/>
              <w:rPr>
                <w:rFonts w:ascii="Arial" w:cs="Arial" w:eastAsia="Arial" w:hAnsi="Arial"/>
                <w:sz w:val="18"/>
                <w:szCs w:val="18"/>
                <w:color w:val="0000EE"/>
                <w:w w:val="91"/>
              </w:rPr>
            </w:pPr>
            <w:hyperlink w:anchor="page123">
              <w:r>
                <w:rPr>
                  <w:rFonts w:ascii="Arial" w:cs="Arial" w:eastAsia="Arial" w:hAnsi="Arial"/>
                  <w:sz w:val="18"/>
                  <w:szCs w:val="18"/>
                  <w:color w:val="0000EE"/>
                  <w:w w:val="91"/>
                </w:rPr>
                <w:t>Consolidated Balance Sheets as of December 31, 2012 and 2013 (audited) and as of September 30,</w:t>
              </w:r>
            </w:hyperlink>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124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2014 (unaudited)</w:t>
              </w:r>
            </w:hyperlink>
          </w:p>
        </w:tc>
        <w:tc>
          <w:tcPr>
            <w:tcW w:w="566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center"/>
              <w:ind w:right="180"/>
              <w:spacing w:after="0" w:line="19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7140" w:type="dxa"/>
            <w:vAlign w:val="bottom"/>
            <w:tcBorders>
              <w:bottom w:val="single" w:sz="8" w:color="0000EE"/>
            </w:tcBorders>
            <w:gridSpan w:val="12"/>
          </w:tcPr>
          <w:p>
            <w:pPr>
              <w:spacing w:after="0" w:line="17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Consolidated Statements of Income for the years ended December 31, 2012 and 2013 (audited) and</w:t>
              </w:r>
            </w:hyperlink>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13"/>
          </w:tcPr>
          <w:p>
            <w:pPr>
              <w:ind w:left="20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the nine months ended September 30, 2013 and 2014 (unaudited)</w:t>
              </w:r>
            </w:hyperlink>
          </w:p>
        </w:tc>
        <w:tc>
          <w:tcPr>
            <w:tcW w:w="140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60" w:type="dxa"/>
            <w:vAlign w:val="bottom"/>
            <w:gridSpan w:val="13"/>
            <w:shd w:val="clear" w:color="auto" w:fill="CCEEFF"/>
          </w:tcPr>
          <w:p>
            <w:pPr>
              <w:spacing w:after="0" w:line="17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Consolidated Statements of Comprehensive Income for the years ended December 31, 2012 and</w:t>
              </w:r>
            </w:hyperlink>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6360" w:type="dxa"/>
            <w:vAlign w:val="bottom"/>
            <w:tcBorders>
              <w:top w:val="single" w:sz="8" w:color="0000EE"/>
              <w:bottom w:val="single" w:sz="8" w:color="0000EE"/>
            </w:tcBorders>
            <w:gridSpan w:val="6"/>
            <w:shd w:val="clear" w:color="auto" w:fill="CCEEFF"/>
          </w:tcPr>
          <w:p>
            <w:pPr>
              <w:spacing w:after="0" w:line="19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2013 (audited) and for the nine months ended September 30, 2013 and 2014 (unaudited)</w:t>
              </w:r>
            </w:hyperlink>
          </w:p>
        </w:tc>
        <w:tc>
          <w:tcPr>
            <w:tcW w:w="34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center"/>
              <w:ind w:right="18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6860" w:type="dxa"/>
            <w:vAlign w:val="bottom"/>
            <w:tcBorders>
              <w:bottom w:val="single" w:sz="8" w:color="0000EE"/>
            </w:tcBorders>
            <w:gridSpan w:val="8"/>
          </w:tcPr>
          <w:p>
            <w:pPr>
              <w:spacing w:after="0" w:line="17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Consolidated Statements of Changes in Shareholders’ Equity for the years ended December 31,</w:t>
              </w:r>
            </w:hyperlink>
          </w:p>
        </w:tc>
        <w:tc>
          <w:tcPr>
            <w:tcW w:w="500" w:type="dxa"/>
            <w:vAlign w:val="bottom"/>
            <w:gridSpan w:val="5"/>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13"/>
          </w:tcPr>
          <w:p>
            <w:pPr>
              <w:ind w:left="200"/>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2012 and 2013 (audited) and the nine months ended September 30, 2013 and 2014 (unaudited)</w:t>
              </w:r>
            </w:hyperlink>
          </w:p>
        </w:tc>
        <w:tc>
          <w:tcPr>
            <w:tcW w:w="140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71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Consolidated Statements of Cash Flows for the years ended December 31, 2012 and 2013 (audited)</w:t>
              </w:r>
            </w:hyperlink>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160" w:type="dxa"/>
            <w:vAlign w:val="bottom"/>
            <w:gridSpan w:val="12"/>
            <w:shd w:val="clear" w:color="auto" w:fill="CCEEFF"/>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and the nine months ended September 30, 2013 and 2014 (unaudited)</w:t>
              </w:r>
            </w:hyperlink>
          </w:p>
        </w:tc>
        <w:tc>
          <w:tcPr>
            <w:tcW w:w="1400" w:type="dxa"/>
            <w:vAlign w:val="bottom"/>
            <w:gridSpan w:val="2"/>
            <w:shd w:val="clear" w:color="auto" w:fill="CCEEFF"/>
          </w:tcPr>
          <w:p>
            <w:pPr>
              <w:jc w:val="center"/>
              <w:ind w:right="180"/>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60" w:type="dxa"/>
            <w:vAlign w:val="bottom"/>
            <w:gridSpan w:val="13"/>
          </w:tcPr>
          <w:p>
            <w:pPr>
              <w:spacing w:after="0" w:line="176" w:lineRule="exact"/>
              <w:rPr>
                <w:rFonts w:ascii="Arial" w:cs="Arial" w:eastAsia="Arial" w:hAnsi="Arial"/>
                <w:sz w:val="18"/>
                <w:szCs w:val="18"/>
                <w:color w:val="0000EE"/>
              </w:rPr>
            </w:pPr>
            <w:hyperlink w:anchor="page130">
              <w:r>
                <w:rPr>
                  <w:rFonts w:ascii="Arial" w:cs="Arial" w:eastAsia="Arial" w:hAnsi="Arial"/>
                  <w:sz w:val="18"/>
                  <w:szCs w:val="18"/>
                  <w:color w:val="0000EE"/>
                </w:rPr>
                <w:t>Notes to Consolidated Financial Statements</w:t>
              </w:r>
            </w:hyperlink>
          </w:p>
        </w:tc>
        <w:tc>
          <w:tcPr>
            <w:tcW w:w="140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304"/>
        </w:trPr>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1700" w:type="dxa"/>
            <w:vAlign w:val="bottom"/>
            <w:tcBorders>
              <w:top w:val="single" w:sz="8" w:color="0000EE"/>
              <w:bottom w:val="single" w:sz="8" w:color="auto"/>
            </w:tcBorders>
          </w:tcPr>
          <w:p>
            <w:pPr>
              <w:spacing w:after="0"/>
              <w:rPr>
                <w:sz w:val="24"/>
                <w:szCs w:val="24"/>
                <w:color w:val="auto"/>
              </w:rPr>
            </w:pPr>
          </w:p>
        </w:tc>
        <w:tc>
          <w:tcPr>
            <w:tcW w:w="4220" w:type="dxa"/>
            <w:vAlign w:val="bottom"/>
            <w:tcBorders>
              <w:bottom w:val="single" w:sz="8" w:color="auto"/>
            </w:tcBorders>
            <w:gridSpan w:val="10"/>
          </w:tcPr>
          <w:p>
            <w:pPr>
              <w:ind w:left="1160"/>
              <w:spacing w:after="0"/>
              <w:rPr>
                <w:sz w:val="20"/>
                <w:szCs w:val="20"/>
                <w:color w:val="auto"/>
              </w:rPr>
            </w:pPr>
            <w:r>
              <w:rPr>
                <w:rFonts w:ascii="Arial" w:cs="Arial" w:eastAsia="Arial" w:hAnsi="Arial"/>
                <w:sz w:val="14"/>
                <w:szCs w:val="14"/>
                <w:color w:val="auto"/>
              </w:rPr>
              <w:t>F-1</w:t>
            </w: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200660</wp:posOffset>
            </wp:positionV>
            <wp:extent cx="788670" cy="909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88670" cy="90932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both"/>
        <w:ind w:left="120" w:right="119" w:firstLine="216"/>
        <w:spacing w:after="0" w:line="257" w:lineRule="auto"/>
        <w:rPr>
          <w:sz w:val="20"/>
          <w:szCs w:val="20"/>
          <w:color w:val="auto"/>
        </w:rPr>
      </w:pPr>
      <w:r>
        <w:rPr>
          <w:rFonts w:ascii="Arial" w:cs="Arial" w:eastAsia="Arial" w:hAnsi="Arial"/>
          <w:sz w:val="18"/>
          <w:szCs w:val="18"/>
          <w:color w:val="auto"/>
        </w:rPr>
        <w:t>We have audited the accompanying consolidated balance sheets of Kornit Digital Ltd. and its subsidiaries (the “Company”) as of December 31, 2012 and 2013, and the related consolidated statements of income, comprehensive income, shareholders’ equity and cash flows for each of the two years in the period ended December 31, 2013. These consolidated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and its subsidiaries at December 31, 2012 and 2013, and the consolidated results of their operations and their cash flows for each of the two years in the period ended December 31, 2013, in conformity with U.S. generally accepted accounting principles.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960" w:type="dxa"/>
            <w:vAlign w:val="bottom"/>
          </w:tcPr>
          <w:p>
            <w:pPr>
              <w:jc w:val="center"/>
              <w:ind w:left="1294"/>
              <w:spacing w:after="0"/>
              <w:rPr>
                <w:sz w:val="20"/>
                <w:szCs w:val="20"/>
                <w:color w:val="auto"/>
              </w:rPr>
            </w:pPr>
            <w:r>
              <w:rPr>
                <w:rFonts w:ascii="Arial" w:cs="Arial" w:eastAsia="Arial" w:hAnsi="Arial"/>
                <w:sz w:val="18"/>
                <w:szCs w:val="18"/>
                <w:color w:val="auto"/>
                <w:w w:val="91"/>
              </w:rPr>
              <w:t>/s/ Kost Forer Gabbay &amp; Kasierer</w:t>
            </w:r>
          </w:p>
        </w:tc>
      </w:tr>
      <w:tr>
        <w:trPr>
          <w:trHeight w:val="220"/>
        </w:trPr>
        <w:tc>
          <w:tcPr>
            <w:tcW w:w="2820" w:type="dxa"/>
            <w:vAlign w:val="bottom"/>
            <w:gridSpan w:val="2"/>
          </w:tcPr>
          <w:p>
            <w:pPr>
              <w:spacing w:after="0"/>
              <w:rPr>
                <w:sz w:val="20"/>
                <w:szCs w:val="20"/>
                <w:color w:val="auto"/>
              </w:rPr>
            </w:pPr>
            <w:r>
              <w:rPr>
                <w:rFonts w:ascii="Arial" w:cs="Arial" w:eastAsia="Arial" w:hAnsi="Arial"/>
                <w:sz w:val="18"/>
                <w:szCs w:val="18"/>
                <w:color w:val="auto"/>
              </w:rPr>
              <w:t>Tel-Aviv, Israel</w:t>
            </w:r>
          </w:p>
        </w:tc>
        <w:tc>
          <w:tcPr>
            <w:tcW w:w="5960" w:type="dxa"/>
            <w:vAlign w:val="bottom"/>
          </w:tcPr>
          <w:p>
            <w:pPr>
              <w:jc w:val="center"/>
              <w:ind w:left="1294"/>
              <w:spacing w:after="0"/>
              <w:rPr>
                <w:sz w:val="20"/>
                <w:szCs w:val="20"/>
                <w:color w:val="auto"/>
              </w:rPr>
            </w:pPr>
            <w:r>
              <w:rPr>
                <w:rFonts w:ascii="Arial" w:cs="Arial" w:eastAsia="Arial" w:hAnsi="Arial"/>
                <w:sz w:val="18"/>
                <w:szCs w:val="18"/>
                <w:b w:val="1"/>
                <w:bCs w:val="1"/>
                <w:color w:val="auto"/>
                <w:w w:val="99"/>
              </w:rPr>
              <w:t>KOST FORER GABBAY &amp; KASIERER</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December 9, 2014</w:t>
            </w:r>
          </w:p>
        </w:tc>
        <w:tc>
          <w:tcPr>
            <w:tcW w:w="5960" w:type="dxa"/>
            <w:vAlign w:val="bottom"/>
          </w:tcPr>
          <w:p>
            <w:pPr>
              <w:jc w:val="center"/>
              <w:ind w:left="1274"/>
              <w:spacing w:after="0"/>
              <w:rPr>
                <w:sz w:val="20"/>
                <w:szCs w:val="20"/>
                <w:color w:val="auto"/>
              </w:rPr>
            </w:pPr>
            <w:r>
              <w:rPr>
                <w:rFonts w:ascii="Arial" w:cs="Arial" w:eastAsia="Arial" w:hAnsi="Arial"/>
                <w:sz w:val="18"/>
                <w:szCs w:val="18"/>
                <w:color w:val="auto"/>
                <w:w w:val="93"/>
              </w:rPr>
              <w:t>A Member of Ernst &amp; Young Global</w:t>
            </w:r>
          </w:p>
        </w:tc>
      </w:tr>
      <w:tr>
        <w:trPr>
          <w:trHeight w:val="284"/>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F-2</w:t>
            </w:r>
          </w:p>
        </w:tc>
      </w:tr>
    </w:tbl>
    <w:p>
      <w:pPr>
        <w:sectPr>
          <w:pgSz w:w="11900" w:h="16838" w:orient="portrait"/>
          <w:cols w:equalWidth="0" w:num="1">
            <w:col w:w="9019"/>
          </w:cols>
          <w:pgMar w:left="1440" w:top="1440" w:right="1440" w:bottom="1440" w:gutter="0" w:footer="0" w:header="0"/>
        </w:sectPr>
      </w:pPr>
    </w:p>
    <w:bookmarkStart w:id="122" w:name="page123"/>
    <w:bookmarkEnd w:id="12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gridSpan w:val="2"/>
          </w:tcPr>
          <w:p>
            <w:pPr>
              <w:spacing w:after="0"/>
              <w:rPr>
                <w:sz w:val="21"/>
                <w:szCs w:val="21"/>
                <w:color w:val="auto"/>
              </w:rPr>
            </w:pPr>
          </w:p>
        </w:tc>
        <w:tc>
          <w:tcPr>
            <w:tcW w:w="3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4,663</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Trade receivables, net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Other accounts receivable and prepaid expenses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3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2"/>
          </w:tcPr>
          <w:p>
            <w:pPr>
              <w:spacing w:after="0" w:line="17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20,917</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27,283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27,118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Severance pay fund</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long-term assets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3,490</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6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24,407</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0" w:type="dxa"/>
            <w:vAlign w:val="bottom"/>
            <w:gridSpan w:val="8"/>
          </w:tcPr>
          <w:p>
            <w:pPr>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F-3</w:t>
            </w: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3" w:name="page124"/>
    <w:bookmarkEnd w:id="12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Liabilities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Equity as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3"/>
              </w:rPr>
              <w:t>September 30,</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2014</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104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LIABILITIES AND EQUITY</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spacing w:after="0"/>
              <w:rPr>
                <w:sz w:val="20"/>
                <w:szCs w:val="20"/>
                <w:color w:val="auto"/>
              </w:rPr>
            </w:pPr>
            <w:r>
              <w:rPr>
                <w:rFonts w:ascii="Arial" w:cs="Arial" w:eastAsia="Arial" w:hAnsi="Arial"/>
                <w:sz w:val="18"/>
                <w:szCs w:val="18"/>
                <w:color w:val="auto"/>
              </w:rPr>
              <w:t>Trade payables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4,379</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7,225</w:t>
            </w:r>
          </w:p>
        </w:tc>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5,192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spacing w:after="0"/>
              <w:rPr>
                <w:sz w:val="20"/>
                <w:szCs w:val="20"/>
                <w:color w:val="auto"/>
              </w:rPr>
            </w:pPr>
            <w:r>
              <w:rPr>
                <w:rFonts w:ascii="Arial" w:cs="Arial" w:eastAsia="Arial" w:hAnsi="Arial"/>
                <w:sz w:val="18"/>
                <w:szCs w:val="18"/>
                <w:color w:val="auto"/>
                <w:w w:val="92"/>
              </w:rPr>
              <w:t>Deferred revenues and advances from customers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0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spacing w:after="0"/>
              <w:rPr>
                <w:sz w:val="20"/>
                <w:szCs w:val="20"/>
                <w:color w:val="auto"/>
              </w:rPr>
            </w:pPr>
            <w:r>
              <w:rPr>
                <w:rFonts w:ascii="Arial" w:cs="Arial" w:eastAsia="Arial" w:hAnsi="Arial"/>
                <w:sz w:val="18"/>
                <w:szCs w:val="18"/>
                <w:color w:val="auto"/>
              </w:rPr>
              <w:t>Accrued severance pay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long-term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0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Ordinary shares of NIS 0.01 par value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3"/>
              </w:rPr>
              <w:t>Authorized: 4,020,280 shares at December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0"/>
              </w:rPr>
              <w:t>31, 2012 and 2013 and September 30, 2014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(unaudited); Issued and Outstanding: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1"/>
              </w:rPr>
              <w:t>1,366,310, 1,366,310 and 1,369,310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at December 31, 2012 and 2013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1"/>
              </w:rPr>
              <w:t>September 30, 2014 (unaudited); 3,296,450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8"/>
              </w:rPr>
              <w:t>shares issued and outstanding pro forma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(unaudited) at September 30, 2014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A-1 shares of NIS 0.01 par value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Authorized: 1,927,220 shares at December</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31, 2012 and 2013 and September 30, 2014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(unaudited); Issued and Outstanding:</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1,927,140 shares at December 31, 2012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and 2013 and September 30, 2014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(unaudited) ; 0 shares Issued and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Outstanding pro forma (unaudited)</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4"/>
          </w:tcPr>
          <w:p>
            <w:pPr>
              <w:ind w:left="200"/>
              <w:spacing w:after="0" w:line="176" w:lineRule="exact"/>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14,311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15,608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17,799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17,799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4"/>
          </w:tcPr>
          <w:p>
            <w:pPr>
              <w:ind w:left="200"/>
              <w:spacing w:after="0" w:line="189" w:lineRule="exact"/>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24,407</w:t>
            </w:r>
          </w:p>
        </w:tc>
        <w:tc>
          <w:tcPr>
            <w:tcW w:w="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31,627</w:t>
            </w:r>
          </w:p>
        </w:tc>
        <w:tc>
          <w:tcPr>
            <w:tcW w:w="520" w:type="dxa"/>
            <w:vAlign w:val="bottom"/>
            <w:gridSpan w:val="2"/>
          </w:tcPr>
          <w:p>
            <w:pPr>
              <w:jc w:val="right"/>
              <w:ind w:right="59"/>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32,096</w:t>
            </w:r>
          </w:p>
        </w:tc>
        <w:tc>
          <w:tcPr>
            <w:tcW w:w="30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32,096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337"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4" w:name="page125"/>
    <w:bookmarkEnd w:id="12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12,599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18,136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Taxes on income</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0.83</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w w:val="98"/>
              </w:rPr>
              <w:t>Basic pro forma net earnings per ordinary share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w w:val="95"/>
              </w:rPr>
              <w:t>Diluted pro forma net earnings per ordinary share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5" w:name="page126"/>
    <w:bookmarkEnd w:id="12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439"/>
        <w:spacing w:after="0" w:line="298" w:lineRule="auto"/>
        <w:rPr>
          <w:sz w:val="20"/>
          <w:szCs w:val="20"/>
          <w:color w:val="auto"/>
        </w:rPr>
      </w:pPr>
      <w:r>
        <w:rPr>
          <w:rFonts w:ascii="Arial" w:cs="Arial" w:eastAsia="Arial" w:hAnsi="Arial"/>
          <w:sz w:val="18"/>
          <w:szCs w:val="18"/>
          <w:b w:val="1"/>
          <w:bCs w:val="1"/>
          <w:color w:val="auto"/>
        </w:rPr>
        <w:t>CONSOLIDATED STATEMENTS OF COMPREHENSIVE INCOME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2"/>
              </w:rPr>
              <w:t>Net change in accumulated comprehensive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3"/>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0" w:type="dxa"/>
            <w:vAlign w:val="bottom"/>
            <w:gridSpan w:val="8"/>
          </w:tcPr>
          <w:p>
            <w:pPr>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F-6</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6" w:name="page127"/>
    <w:bookmarkEnd w:id="12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859"/>
        <w:spacing w:after="0" w:line="298" w:lineRule="auto"/>
        <w:rPr>
          <w:sz w:val="20"/>
          <w:szCs w:val="20"/>
          <w:color w:val="auto"/>
        </w:rPr>
      </w:pPr>
      <w:r>
        <w:rPr>
          <w:rFonts w:ascii="Arial" w:cs="Arial" w:eastAsia="Arial" w:hAnsi="Arial"/>
          <w:sz w:val="18"/>
          <w:szCs w:val="18"/>
          <w:b w:val="1"/>
          <w:bCs w:val="1"/>
          <w:color w:val="auto"/>
        </w:rPr>
        <w:t>STATEMENTS OF CHANGES IN SHAREHOLDERS’ EQUITY U.S. 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rPr>
              <w:t>Preferred A-1 shares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Ordinary shares</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4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Other</w:t>
            </w:r>
          </w:p>
        </w:tc>
        <w:tc>
          <w:tcPr>
            <w:tcW w:w="1040" w:type="dxa"/>
            <w:vAlign w:val="bottom"/>
            <w:gridSpan w:val="4"/>
          </w:tcPr>
          <w:p>
            <w:pPr>
              <w:jc w:val="center"/>
              <w:ind w:right="300"/>
              <w:spacing w:after="0" w:line="110" w:lineRule="exact"/>
              <w:rPr>
                <w:sz w:val="20"/>
                <w:szCs w:val="20"/>
                <w:color w:val="auto"/>
              </w:rPr>
            </w:pPr>
            <w:r>
              <w:rPr>
                <w:rFonts w:ascii="Arial" w:cs="Arial" w:eastAsia="Arial" w:hAnsi="Arial"/>
                <w:sz w:val="12"/>
                <w:szCs w:val="12"/>
                <w:b w:val="1"/>
                <w:bCs w:val="1"/>
                <w:color w:val="auto"/>
                <w:w w:val="96"/>
              </w:rPr>
              <w:t>Number of</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4"/>
          </w:tcPr>
          <w:p>
            <w:pPr>
              <w:jc w:val="center"/>
              <w:ind w:right="280"/>
              <w:spacing w:after="0" w:line="110" w:lineRule="exact"/>
              <w:rPr>
                <w:sz w:val="20"/>
                <w:szCs w:val="20"/>
                <w:color w:val="auto"/>
              </w:rPr>
            </w:pPr>
            <w:r>
              <w:rPr>
                <w:rFonts w:ascii="Arial" w:cs="Arial" w:eastAsia="Arial" w:hAnsi="Arial"/>
                <w:sz w:val="12"/>
                <w:szCs w:val="12"/>
                <w:b w:val="1"/>
                <w:bCs w:val="1"/>
                <w:color w:val="auto"/>
                <w:w w:val="96"/>
              </w:rPr>
              <w:t>Number of</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2"/>
          </w:tcPr>
          <w:p>
            <w:pPr>
              <w:jc w:val="right"/>
              <w:ind w:right="17"/>
              <w:spacing w:after="0" w:line="110" w:lineRule="exact"/>
              <w:rPr>
                <w:sz w:val="20"/>
                <w:szCs w:val="20"/>
                <w:color w:val="auto"/>
              </w:rPr>
            </w:pPr>
            <w:r>
              <w:rPr>
                <w:rFonts w:ascii="Arial" w:cs="Arial" w:eastAsia="Arial" w:hAnsi="Arial"/>
                <w:sz w:val="12"/>
                <w:szCs w:val="12"/>
                <w:b w:val="1"/>
                <w:bCs w:val="1"/>
                <w:color w:val="auto"/>
              </w:rPr>
              <w:t>Additional</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jc w:val="center"/>
              <w:ind w:right="420"/>
              <w:spacing w:after="0" w:line="110" w:lineRule="exact"/>
              <w:rPr>
                <w:sz w:val="20"/>
                <w:szCs w:val="20"/>
                <w:color w:val="auto"/>
              </w:rPr>
            </w:pPr>
            <w:r>
              <w:rPr>
                <w:rFonts w:ascii="Arial" w:cs="Arial" w:eastAsia="Arial" w:hAnsi="Arial"/>
                <w:sz w:val="12"/>
                <w:szCs w:val="12"/>
                <w:b w:val="1"/>
                <w:bCs w:val="1"/>
                <w:color w:val="auto"/>
                <w:w w:val="93"/>
              </w:rPr>
              <w:t>other</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5"/>
        </w:trPr>
        <w:tc>
          <w:tcPr>
            <w:tcW w:w="11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1"/>
                <w:szCs w:val="11"/>
                <w:color w:val="auto"/>
              </w:rPr>
            </w:pPr>
          </w:p>
        </w:tc>
        <w:tc>
          <w:tcPr>
            <w:tcW w:w="96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81"/>
              </w:rPr>
              <w:t>shares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81"/>
              </w:rPr>
              <w:t>shares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paid in</w:t>
            </w:r>
          </w:p>
        </w:tc>
        <w:tc>
          <w:tcPr>
            <w:tcW w:w="220" w:type="dxa"/>
            <w:vAlign w:val="bottom"/>
          </w:tcPr>
          <w:p>
            <w:pPr>
              <w:spacing w:after="0"/>
              <w:rPr>
                <w:sz w:val="11"/>
                <w:szCs w:val="11"/>
                <w:color w:val="auto"/>
              </w:rPr>
            </w:pPr>
          </w:p>
        </w:tc>
        <w:tc>
          <w:tcPr>
            <w:tcW w:w="116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comprehensive</w:t>
            </w: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0"/>
              </w:rPr>
              <w:t>Retained</w:t>
            </w:r>
          </w:p>
        </w:tc>
        <w:tc>
          <w:tcPr>
            <w:tcW w:w="22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shareholders’</w:t>
            </w: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10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3"/>
              </w:rPr>
              <w:t>outstanding</w:t>
            </w: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3"/>
                <w:szCs w:val="13"/>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5"/>
              </w:rPr>
              <w:t>outstanding</w:t>
            </w: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3"/>
              </w:rPr>
              <w:t>income</w:t>
            </w: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earnings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December 31,</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1,366,310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11,710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2,314</w:t>
            </w:r>
          </w:p>
        </w:tc>
        <w:tc>
          <w:tcPr>
            <w:tcW w:w="10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2,314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3"/>
                <w:szCs w:val="13"/>
                <w:color w:val="auto"/>
              </w:rPr>
              <w:t>December 31,</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220"/>
              <w:spacing w:after="0"/>
              <w:rPr>
                <w:sz w:val="20"/>
                <w:szCs w:val="20"/>
                <w:color w:val="auto"/>
              </w:rPr>
            </w:pPr>
            <w:r>
              <w:rPr>
                <w:rFonts w:ascii="Arial" w:cs="Arial" w:eastAsia="Arial" w:hAnsi="Arial"/>
                <w:sz w:val="13"/>
                <w:szCs w:val="13"/>
                <w:color w:val="auto"/>
              </w:rPr>
              <w:t>2012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1,366,310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11,787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2,516</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14,311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9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1,134</w:t>
            </w: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1,134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compensation</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3"/>
                <w:szCs w:val="13"/>
                <w:color w:val="auto"/>
              </w:rPr>
              <w:t>comprehensive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income</w:t>
            </w:r>
          </w:p>
        </w:tc>
        <w:tc>
          <w:tcPr>
            <w:tcW w:w="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3"/>
                <w:szCs w:val="13"/>
                <w:color w:val="auto"/>
              </w:rPr>
              <w:t>December 31,</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220"/>
              <w:spacing w:after="0"/>
              <w:rPr>
                <w:sz w:val="20"/>
                <w:szCs w:val="20"/>
                <w:color w:val="auto"/>
              </w:rPr>
            </w:pPr>
            <w:r>
              <w:rPr>
                <w:rFonts w:ascii="Arial" w:cs="Arial" w:eastAsia="Arial" w:hAnsi="Arial"/>
                <w:sz w:val="13"/>
                <w:szCs w:val="13"/>
                <w:color w:val="auto"/>
              </w:rPr>
              <w:t>2013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1,366,310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11,913</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3,650</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15,608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9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1,829</w:t>
            </w: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1,829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options</w:t>
            </w: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513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comprehensive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(157)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September 30,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2014</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(Unaudited)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1,369,310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12,432</w:t>
            </w:r>
          </w:p>
        </w:tc>
        <w:tc>
          <w:tcPr>
            <w:tcW w:w="1300" w:type="dxa"/>
            <w:vAlign w:val="bottom"/>
            <w:gridSpan w:val="4"/>
            <w:shd w:val="clear" w:color="auto" w:fill="CCEEFF"/>
          </w:tcPr>
          <w:p>
            <w:pPr>
              <w:jc w:val="right"/>
              <w:ind w:right="180"/>
              <w:spacing w:after="0" w:line="176" w:lineRule="exact"/>
              <w:rPr>
                <w:sz w:val="20"/>
                <w:szCs w:val="20"/>
                <w:color w:val="auto"/>
              </w:rPr>
            </w:pPr>
            <w:r>
              <w:rPr>
                <w:rFonts w:ascii="Arial" w:cs="Arial" w:eastAsia="Arial" w:hAnsi="Arial"/>
                <w:sz w:val="11"/>
                <w:szCs w:val="11"/>
                <w:color w:val="auto"/>
              </w:rPr>
              <w:t>(120</w:t>
            </w:r>
            <w:r>
              <w:rPr>
                <w:rFonts w:ascii="Arial" w:cs="Arial" w:eastAsia="Arial" w:hAnsi="Arial"/>
                <w:sz w:val="20"/>
                <w:szCs w:val="20"/>
                <w:color w:val="auto"/>
                <w:vertAlign w:val="superscript"/>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17,799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an amount lower than $ 1.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7" w:name="page128"/>
    <w:bookmarkEnd w:id="12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0" w:type="dxa"/>
            <w:vAlign w:val="bottom"/>
            <w:gridSpan w:val="4"/>
          </w:tcPr>
          <w:p>
            <w:pPr>
              <w:jc w:val="center"/>
              <w:ind w:right="980"/>
              <w:spacing w:after="0"/>
              <w:rPr>
                <w:sz w:val="20"/>
                <w:szCs w:val="20"/>
                <w:color w:val="auto"/>
              </w:rPr>
            </w:pPr>
            <w:r>
              <w:rPr>
                <w:rFonts w:ascii="Arial" w:cs="Arial" w:eastAsia="Arial" w:hAnsi="Arial"/>
                <w:sz w:val="16"/>
                <w:szCs w:val="16"/>
                <w:b w:val="1"/>
                <w:bCs w:val="1"/>
                <w:color w:val="auto"/>
                <w:w w:val="90"/>
              </w:rPr>
              <w:t>Year ended</w:t>
            </w:r>
          </w:p>
        </w:tc>
        <w:tc>
          <w:tcPr>
            <w:tcW w:w="2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r>
      <w:tr>
        <w:trPr>
          <w:trHeight w:val="223"/>
        </w:trPr>
        <w:tc>
          <w:tcPr>
            <w:tcW w:w="4020" w:type="dxa"/>
            <w:vAlign w:val="bottom"/>
            <w:gridSpan w:val="3"/>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94"/>
              </w:rPr>
              <w:t>Unaudited</w:t>
            </w:r>
          </w:p>
        </w:tc>
      </w:tr>
      <w:tr>
        <w:trPr>
          <w:trHeight w:val="199"/>
        </w:trPr>
        <w:tc>
          <w:tcPr>
            <w:tcW w:w="20" w:type="dxa"/>
            <w:vAlign w:val="bottom"/>
          </w:tcPr>
          <w:p>
            <w:pPr>
              <w:spacing w:after="0"/>
              <w:rPr>
                <w:sz w:val="17"/>
                <w:szCs w:val="17"/>
                <w:color w:val="auto"/>
              </w:rPr>
            </w:pPr>
          </w:p>
        </w:tc>
        <w:tc>
          <w:tcPr>
            <w:tcW w:w="4660" w:type="dxa"/>
            <w:vAlign w:val="bottom"/>
            <w:tcBorders>
              <w:top w:val="single" w:sz="8" w:color="CCEEFF"/>
            </w:tcBorders>
            <w:gridSpan w:val="3"/>
            <w:shd w:val="clear" w:color="auto" w:fill="CCEEFF"/>
          </w:tcPr>
          <w:p>
            <w:pPr>
              <w:jc w:val="right"/>
              <w:ind w:right="2039"/>
              <w:spacing w:after="0"/>
              <w:rPr>
                <w:sz w:val="20"/>
                <w:szCs w:val="20"/>
                <w:color w:val="auto"/>
              </w:rPr>
            </w:pPr>
            <w:r>
              <w:rPr>
                <w:rFonts w:ascii="Arial" w:cs="Arial" w:eastAsia="Arial" w:hAnsi="Arial"/>
                <w:sz w:val="16"/>
                <w:szCs w:val="16"/>
                <w:color w:val="auto"/>
                <w:w w:val="91"/>
              </w:rPr>
              <w:t>Cash flows used in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54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gridSpan w:val="4"/>
          </w:tcPr>
          <w:p>
            <w:pPr>
              <w:spacing w:after="0"/>
              <w:rPr>
                <w:sz w:val="20"/>
                <w:szCs w:val="20"/>
                <w:color w:val="auto"/>
              </w:rPr>
            </w:pPr>
            <w:r>
              <w:rPr>
                <w:rFonts w:ascii="Arial" w:cs="Arial" w:eastAsia="Arial" w:hAnsi="Arial"/>
                <w:sz w:val="16"/>
                <w:szCs w:val="16"/>
                <w:color w:val="auto"/>
                <w:w w:val="95"/>
              </w:rPr>
              <w:t>Adjustments to reconcile net income to net cash provided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gridSpan w:val="4"/>
          </w:tcPr>
          <w:p>
            <w:pPr>
              <w:ind w:left="200"/>
              <w:spacing w:after="0"/>
              <w:rPr>
                <w:sz w:val="20"/>
                <w:szCs w:val="20"/>
                <w:color w:val="auto"/>
              </w:rPr>
            </w:pPr>
            <w:r>
              <w:rPr>
                <w:rFonts w:ascii="Arial" w:cs="Arial" w:eastAsia="Arial" w:hAnsi="Arial"/>
                <w:sz w:val="16"/>
                <w:szCs w:val="16"/>
                <w:color w:val="auto"/>
              </w:rPr>
              <w:t>by (used in)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(decrease) in accrued severance pay,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Changes in deferred income taxes,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in trade receivables,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Decrease (increase) in other accounts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in inventories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Increase (decrease) in trade payables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7"/>
              </w:rPr>
              <w:t>Increase (decrease) in deferred revenues and advances</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from customers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Increase in employees and payroll accruals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Decrease (increase) in other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w w:val="89"/>
              </w:rPr>
              <w:t>Increase (decrease) in other payables and accrued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Interest on short-term bank deposit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Gain from sale of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Foreign currency re-measurement gain (loss)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flows used in investing activities: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Borders>
              <w:top w:val="single" w:sz="8" w:color="auto"/>
            </w:tcBorders>
            <w:gridSpan w:val="2"/>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Purchase of intangible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(investment in) bank deposits,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Proceeds from sale of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rPr>
                <w:sz w:val="20"/>
                <w:szCs w:val="20"/>
                <w:color w:val="auto"/>
              </w:rPr>
            </w:pPr>
            <w:r>
              <w:rPr>
                <w:rFonts w:ascii="Arial" w:cs="Arial" w:eastAsia="Arial" w:hAnsi="Arial"/>
                <w:sz w:val="16"/>
                <w:szCs w:val="16"/>
                <w:color w:val="auto"/>
              </w:rPr>
              <w:t>Cash flows used in financing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Payment of deferred issuance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2"/>
              </w:rPr>
              <w:t>Foreign currency translation adjustments on cash and cash</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Increase (decrease) in cash and cash equivalents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9"/>
              </w:rPr>
              <w:t>Cash and cash equivalents at the beginning of the year</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year</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Borders>
              <w:top w:val="single" w:sz="8" w:color="auto"/>
            </w:tcBorders>
            <w:gridSpan w:val="2"/>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paid during the year for income taxes</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337"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8" w:name="page129"/>
    <w:bookmarkEnd w:id="12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92"/>
              </w:rPr>
              <w:t>Year ended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35"/>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gridSpan w:val="4"/>
          </w:tcPr>
          <w:p>
            <w:pPr>
              <w:jc w:val="center"/>
              <w:ind w:left="395"/>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  Non-cash investing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6"/>
              </w:rPr>
              <w:t>Purchase of property and equipment on credit</w:t>
            </w:r>
          </w:p>
        </w:tc>
        <w:tc>
          <w:tcPr>
            <w:tcW w:w="74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Non-cash issuance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bottom w:val="single" w:sz="8" w:color="CCEEFF"/>
            </w:tcBorders>
            <w:gridSpan w:val="3"/>
            <w:vMerge w:val="restart"/>
          </w:tcPr>
          <w:p>
            <w:pPr>
              <w:ind w:left="360"/>
              <w:spacing w:after="0" w:line="195" w:lineRule="exact"/>
              <w:rPr>
                <w:sz w:val="20"/>
                <w:szCs w:val="20"/>
                <w:color w:val="auto"/>
              </w:rPr>
            </w:pPr>
            <w:r>
              <w:rPr>
                <w:rFonts w:ascii="Arial" w:cs="Arial" w:eastAsia="Arial" w:hAnsi="Arial"/>
                <w:sz w:val="18"/>
                <w:szCs w:val="18"/>
                <w:color w:val="auto"/>
                <w:w w:val="91"/>
              </w:rPr>
              <w:t>Inventory transferred to be used as property and</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gridSpan w:val="3"/>
            <w:vMerge w:val="continue"/>
          </w:tcPr>
          <w:p>
            <w:pPr>
              <w:spacing w:after="0"/>
              <w:rPr>
                <w:sz w:val="13"/>
                <w:szCs w:val="13"/>
                <w:color w:val="auto"/>
              </w:rPr>
            </w:pPr>
          </w:p>
        </w:tc>
        <w:tc>
          <w:tcPr>
            <w:tcW w:w="74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86"/>
              </w:rPr>
              <w:t>380</w:t>
            </w: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86"/>
              </w:rPr>
              <w:t>208</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3"/>
                <w:szCs w:val="13"/>
                <w:color w:val="auto"/>
              </w:rPr>
            </w:pPr>
          </w:p>
        </w:tc>
        <w:tc>
          <w:tcPr>
            <w:tcW w:w="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gridSpan w:val="3"/>
          </w:tcPr>
          <w:p>
            <w:pPr>
              <w:ind w:left="360"/>
              <w:spacing w:after="0"/>
              <w:rPr>
                <w:sz w:val="20"/>
                <w:szCs w:val="20"/>
                <w:color w:val="auto"/>
              </w:rPr>
            </w:pPr>
            <w:r>
              <w:rPr>
                <w:rFonts w:ascii="Arial" w:cs="Arial" w:eastAsia="Arial" w:hAnsi="Arial"/>
                <w:sz w:val="18"/>
                <w:szCs w:val="18"/>
                <w:color w:val="auto"/>
              </w:rPr>
              <w:t>equipment</w:t>
            </w:r>
          </w:p>
        </w:tc>
        <w:tc>
          <w:tcPr>
            <w:tcW w:w="74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9" w:name="page130"/>
    <w:bookmarkEnd w:id="12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jc w:val="both"/>
        <w:ind w:left="1520" w:right="119" w:hanging="369"/>
        <w:spacing w:after="0" w:line="257" w:lineRule="auto"/>
        <w:tabs>
          <w:tab w:leader="none" w:pos="1503" w:val="left"/>
        </w:tabs>
        <w:numPr>
          <w:ilvl w:val="0"/>
          <w:numId w:val="77"/>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 added services.</w:t>
      </w:r>
    </w:p>
    <w:p>
      <w:pPr>
        <w:spacing w:after="0" w:line="188" w:lineRule="exact"/>
        <w:rPr>
          <w:rFonts w:ascii="Arial" w:cs="Arial" w:eastAsia="Arial" w:hAnsi="Arial"/>
          <w:sz w:val="18"/>
          <w:szCs w:val="18"/>
          <w:color w:val="auto"/>
        </w:rPr>
      </w:pPr>
    </w:p>
    <w:p>
      <w:pPr>
        <w:jc w:val="both"/>
        <w:ind w:left="1520" w:right="119" w:hanging="369"/>
        <w:spacing w:after="0" w:line="312" w:lineRule="auto"/>
        <w:tabs>
          <w:tab w:leader="none" w:pos="152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has established wholly-owned subsidiaries in Israel, the United States, Germany and Hong-Kong. The Company’s subsidiaries are engaged primarily in sales, and marketing, except for the Israeli subsidiary which is engaged primarily in research and development and manufacturing.</w:t>
      </w:r>
    </w:p>
    <w:p>
      <w:pPr>
        <w:spacing w:after="0" w:line="146" w:lineRule="exact"/>
        <w:rPr>
          <w:rFonts w:ascii="Arial" w:cs="Arial" w:eastAsia="Arial" w:hAnsi="Arial"/>
          <w:sz w:val="16"/>
          <w:szCs w:val="16"/>
          <w:color w:val="auto"/>
        </w:rPr>
      </w:pPr>
    </w:p>
    <w:p>
      <w:pPr>
        <w:jc w:val="both"/>
        <w:ind w:left="1520" w:right="119" w:hanging="369"/>
        <w:spacing w:after="0" w:line="297" w:lineRule="auto"/>
        <w:tabs>
          <w:tab w:leader="none" w:pos="1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depends on two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54"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160" w:right="119"/>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Use of estimates:</w:t>
      </w:r>
    </w:p>
    <w:p>
      <w:pPr>
        <w:spacing w:after="0" w:line="225" w:lineRule="exact"/>
        <w:rPr>
          <w:sz w:val="20"/>
          <w:szCs w:val="20"/>
          <w:color w:val="auto"/>
        </w:rPr>
      </w:pPr>
    </w:p>
    <w:p>
      <w:pPr>
        <w:jc w:val="both"/>
        <w:ind w:left="1520" w:right="119"/>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9" w:lineRule="exact"/>
        <w:rPr>
          <w:sz w:val="20"/>
          <w:szCs w:val="20"/>
          <w:color w:val="auto"/>
        </w:rPr>
      </w:pPr>
    </w:p>
    <w:p>
      <w:pPr>
        <w:jc w:val="both"/>
        <w:ind w:left="1520" w:right="119"/>
        <w:spacing w:after="0" w:line="255" w:lineRule="auto"/>
        <w:rPr>
          <w:sz w:val="20"/>
          <w:szCs w:val="20"/>
          <w:color w:val="auto"/>
        </w:rPr>
      </w:pPr>
      <w:r>
        <w:rPr>
          <w:rFonts w:ascii="Arial" w:cs="Arial" w:eastAsia="Arial" w:hAnsi="Arial"/>
          <w:sz w:val="18"/>
          <w:szCs w:val="18"/>
          <w:color w:val="auto"/>
        </w:rPr>
        <w:t>On an ongoing basis, the Company’s management evaluates estimates, including those related to fair value and useful life of intangible assets, tax assets and liabilities, fair values of stock-based awards, inventory write-offs, warranty provision, allowance for bad debt and provision for returns. Such estimates are based on historical experience and on various other assumptions that are believed to be reasonable, the results of which form the basis for making judgments about the carrying values of assets and liabilities.</w:t>
      </w:r>
    </w:p>
    <w:p>
      <w:pPr>
        <w:spacing w:after="0" w:line="193"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Financial statements in United States dollars:</w:t>
      </w:r>
    </w:p>
    <w:p>
      <w:pPr>
        <w:spacing w:after="0" w:line="225" w:lineRule="exact"/>
        <w:rPr>
          <w:sz w:val="20"/>
          <w:szCs w:val="20"/>
          <w:color w:val="auto"/>
        </w:rPr>
      </w:pPr>
    </w:p>
    <w:p>
      <w:pPr>
        <w:jc w:val="both"/>
        <w:ind w:left="1520" w:right="119"/>
        <w:spacing w:after="0" w:line="288" w:lineRule="auto"/>
        <w:rPr>
          <w:sz w:val="20"/>
          <w:szCs w:val="20"/>
          <w:color w:val="auto"/>
        </w:rPr>
      </w:pPr>
      <w:r>
        <w:rPr>
          <w:rFonts w:ascii="Arial" w:cs="Arial" w:eastAsia="Arial" w:hAnsi="Arial"/>
          <w:sz w:val="16"/>
          <w:szCs w:val="16"/>
          <w:color w:val="auto"/>
        </w:rPr>
        <w:t>A majority of the revenues of the Company and its subsidiaries are denominated in U.S. dollars (“dollar” or “dollars”). The Company’s management believes that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(expense) in the period in which the currency exchange rates change.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0" w:name="page131"/>
    <w:bookmarkEnd w:id="13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20" w:right="119"/>
        <w:spacing w:after="0" w:line="273" w:lineRule="auto"/>
        <w:rPr>
          <w:sz w:val="20"/>
          <w:szCs w:val="20"/>
          <w:color w:val="auto"/>
        </w:rPr>
      </w:pPr>
      <w:r>
        <w:rPr>
          <w:rFonts w:ascii="Arial" w:cs="Arial" w:eastAsia="Arial" w:hAnsi="Arial"/>
          <w:sz w:val="17"/>
          <w:szCs w:val="17"/>
          <w:color w:val="auto"/>
        </w:rPr>
        <w:t>For the Company’s subsidiary in Germany whose functional currency starting 2013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78"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Unaudited interim financial information:</w:t>
      </w:r>
    </w:p>
    <w:p>
      <w:pPr>
        <w:spacing w:after="0" w:line="225" w:lineRule="exact"/>
        <w:rPr>
          <w:sz w:val="20"/>
          <w:szCs w:val="20"/>
          <w:color w:val="auto"/>
        </w:rPr>
      </w:pPr>
    </w:p>
    <w:p>
      <w:pPr>
        <w:jc w:val="both"/>
        <w:ind w:left="1520" w:right="119"/>
        <w:spacing w:after="0" w:line="269" w:lineRule="auto"/>
        <w:rPr>
          <w:sz w:val="20"/>
          <w:szCs w:val="20"/>
          <w:color w:val="auto"/>
        </w:rPr>
      </w:pPr>
      <w:r>
        <w:rPr>
          <w:rFonts w:ascii="Arial" w:cs="Arial" w:eastAsia="Arial" w:hAnsi="Arial"/>
          <w:sz w:val="17"/>
          <w:szCs w:val="17"/>
          <w:color w:val="auto"/>
        </w:rPr>
        <w:t>The accompanying consolidated balance sheet as of September 30, 2014, the consolidated statements of income and comprehensive income and cash flows for the nine months ended September 30, 2013 and 2014 and the shareholders’ equity for the nine months ended September 30, 2014 are unaudited. The unaudited interim financial statements have been prepared on the same basis as the annual consolidated statements and, in the opinion of management, reflect all adjustments, which include only normal recurring adjustments, necessary to present fairly the Company’s financial position as of September 30, 2014 and results of operations and cash flows for the nine months ended September2013 ,30 and .2014 The financial data and the other information disclosed in these notes to the consolidated financial statements related to the nine month periods are unaudited. The results of the nine months ended September 30, 2014 are not necessarily indicative of the results to be expected for the fiscal year ending December 31, 2014 or for any other interim period or for any other future year.</w:t>
      </w:r>
    </w:p>
    <w:p>
      <w:pPr>
        <w:spacing w:after="0" w:line="18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Unaudited pro forma shareholders equity:</w:t>
      </w:r>
    </w:p>
    <w:p>
      <w:pPr>
        <w:spacing w:after="0" w:line="225" w:lineRule="exact"/>
        <w:rPr>
          <w:sz w:val="20"/>
          <w:szCs w:val="20"/>
          <w:color w:val="auto"/>
        </w:rPr>
      </w:pPr>
    </w:p>
    <w:p>
      <w:pPr>
        <w:jc w:val="both"/>
        <w:ind w:left="1520" w:right="119"/>
        <w:spacing w:after="0" w:line="254" w:lineRule="auto"/>
        <w:rPr>
          <w:sz w:val="20"/>
          <w:szCs w:val="20"/>
          <w:color w:val="auto"/>
        </w:rPr>
      </w:pPr>
      <w:r>
        <w:rPr>
          <w:rFonts w:ascii="Arial" w:cs="Arial" w:eastAsia="Arial" w:hAnsi="Arial"/>
          <w:sz w:val="18"/>
          <w:szCs w:val="18"/>
          <w:color w:val="auto"/>
        </w:rPr>
        <w:t>The Company’s board of directors has authorized the filing of a Registration Statement with the U.S. Securities and Exchange Commission to register the Company’s ordinary shares for sale to the public. Upon the closing of the Company’s proposed Initial Public Offering (the “IPO”), subject to satisfying the requirement of a Qualified IPO which is defined as an IPO that results in at least $30,000 of proceeds to the Company, all of the authorized, issued, and outstanding preferred shares of the Company will be automatically converted into ordinary shares. Unaudited pro forma shareholders’ equity as of September 30, 2014, as adjusted for the assumed conversion of such shares is disclosed in the balance sheet.</w:t>
      </w:r>
    </w:p>
    <w:p>
      <w:pPr>
        <w:spacing w:after="0" w:line="192"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Principles of consolidation:</w:t>
      </w:r>
    </w:p>
    <w:p>
      <w:pPr>
        <w:spacing w:after="0" w:line="225"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have been eliminated upon consolidation.</w:t>
      </w:r>
    </w:p>
    <w:p>
      <w:pPr>
        <w:spacing w:after="0" w:line="181" w:lineRule="exact"/>
        <w:rPr>
          <w:sz w:val="20"/>
          <w:szCs w:val="20"/>
          <w:color w:val="auto"/>
        </w:rPr>
      </w:pPr>
    </w:p>
    <w:p>
      <w:pPr>
        <w:ind w:left="1480" w:hanging="329"/>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Short-term deposits:</w:t>
      </w:r>
    </w:p>
    <w:p>
      <w:pPr>
        <w:spacing w:after="0" w:line="225"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Short-term bank deposits are deposits with an original maturity of more than three months but less than one year from the date of acquisition. The deposits are presented at their cost including accrued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1" w:name="page132"/>
    <w:bookmarkEnd w:id="13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Inventories:</w:t>
      </w:r>
    </w:p>
    <w:p>
      <w:pPr>
        <w:spacing w:after="0" w:line="225" w:lineRule="exact"/>
        <w:rPr>
          <w:sz w:val="20"/>
          <w:szCs w:val="20"/>
          <w:color w:val="auto"/>
        </w:rPr>
      </w:pPr>
    </w:p>
    <w:p>
      <w:pPr>
        <w:jc w:val="both"/>
        <w:ind w:left="1520" w:right="119"/>
        <w:spacing w:after="0" w:line="279" w:lineRule="auto"/>
        <w:rPr>
          <w:sz w:val="20"/>
          <w:szCs w:val="20"/>
          <w:color w:val="auto"/>
        </w:rPr>
      </w:pPr>
      <w:r>
        <w:rPr>
          <w:rFonts w:ascii="Arial" w:cs="Arial" w:eastAsia="Arial" w:hAnsi="Arial"/>
          <w:sz w:val="17"/>
          <w:szCs w:val="17"/>
          <w:color w:val="auto"/>
        </w:rPr>
        <w:t>Inventories are measured at the lower of cost or market value. The cost of inventories comprises costs of purchase and costs incurred in bringing the inventories to their present location and condition. Inventory write-down is measured as the difference between the cost of the inventory and market based upon assumptions about future demand, and is charged to the cost of sales.</w:t>
      </w:r>
    </w:p>
    <w:p>
      <w:pPr>
        <w:spacing w:after="0" w:line="1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Cost of inventories is determined as follows: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Raw and packing materials — on the basis of weighted average cost.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Finished goods — on the basis of average costs of materials, and other direct manufacturing cost.</w:t>
      </w:r>
    </w:p>
    <w:p>
      <w:pPr>
        <w:spacing w:after="0" w:line="237"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Inventory write off have been provided to cover risks arising from dead and slow moving items, technological obsolescence and excess inventories according to revenue forecasts.</w:t>
      </w:r>
    </w:p>
    <w:p>
      <w:pPr>
        <w:spacing w:after="0" w:line="170" w:lineRule="exact"/>
        <w:rPr>
          <w:sz w:val="20"/>
          <w:szCs w:val="20"/>
          <w:color w:val="auto"/>
        </w:rPr>
      </w:pPr>
    </w:p>
    <w:p>
      <w:pPr>
        <w:jc w:val="both"/>
        <w:ind w:left="1520" w:right="119"/>
        <w:spacing w:after="0" w:line="286" w:lineRule="auto"/>
        <w:rPr>
          <w:sz w:val="20"/>
          <w:szCs w:val="20"/>
          <w:color w:val="auto"/>
        </w:rPr>
      </w:pPr>
      <w:r>
        <w:rPr>
          <w:rFonts w:ascii="Arial" w:cs="Arial" w:eastAsia="Arial" w:hAnsi="Arial"/>
          <w:sz w:val="17"/>
          <w:szCs w:val="17"/>
          <w:color w:val="auto"/>
        </w:rPr>
        <w:t>During the years ended December 31, 2012 and 2013 and the nine months ended September 30, 2013 (unaudited) and 2014 (unaudited) the Company recorded in cost of revenues inventory write offs in a total amount of $129, $369, $298 (unaudited) and $53 (unaudited), respectively.</w:t>
      </w:r>
    </w:p>
    <w:p>
      <w:pPr>
        <w:spacing w:after="0" w:line="166" w:lineRule="exact"/>
        <w:rPr>
          <w:sz w:val="20"/>
          <w:szCs w:val="20"/>
          <w:color w:val="auto"/>
        </w:rPr>
      </w:pPr>
    </w:p>
    <w:p>
      <w:pPr>
        <w:ind w:left="1480" w:hanging="329"/>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jc w:val="both"/>
        <w:ind w:left="1520" w:right="119"/>
        <w:spacing w:after="0" w:line="312" w:lineRule="auto"/>
        <w:rPr>
          <w:sz w:val="20"/>
          <w:szCs w:val="20"/>
          <w:color w:val="auto"/>
        </w:rPr>
      </w:pPr>
      <w:r>
        <w:rPr>
          <w:rFonts w:ascii="Arial" w:cs="Arial" w:eastAsia="Arial" w:hAnsi="Arial"/>
          <w:sz w:val="16"/>
          <w:szCs w:val="16"/>
          <w:color w:val="auto"/>
        </w:rPr>
        <w:t>Property and equipment are measured at cost, including directly attributable costs, less accumulated depreciation and amortization and accumulated impairment losses. Depreciation and amortization is calculated on a straight-line basis over the useful life of the assets at annual rates as follows: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7 –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Computer, peripheral equipment and software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1860" w:right="119" w:hanging="331"/>
        <w:spacing w:after="0" w:line="264" w:lineRule="auto"/>
        <w:tabs>
          <w:tab w:leader="none" w:pos="1938" w:val="left"/>
        </w:tabs>
        <w:numPr>
          <w:ilvl w:val="1"/>
          <w:numId w:val="80"/>
        </w:numPr>
        <w:rPr>
          <w:rFonts w:ascii="Arial" w:cs="Arial" w:eastAsia="Arial" w:hAnsi="Arial"/>
          <w:sz w:val="18"/>
          <w:szCs w:val="18"/>
          <w:color w:val="auto"/>
        </w:rPr>
      </w:pPr>
      <w:r>
        <w:rPr>
          <w:rFonts w:ascii="Arial" w:cs="Arial" w:eastAsia="Arial" w:hAnsi="Arial"/>
          <w:sz w:val="18"/>
          <w:szCs w:val="18"/>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81" w:lineRule="exact"/>
        <w:rPr>
          <w:rFonts w:ascii="Arial" w:cs="Arial" w:eastAsia="Arial" w:hAnsi="Arial"/>
          <w:sz w:val="18"/>
          <w:szCs w:val="18"/>
          <w:color w:val="auto"/>
        </w:rPr>
      </w:pPr>
    </w:p>
    <w:p>
      <w:pPr>
        <w:ind w:left="1480" w:hanging="329"/>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Impairment of long lived assets and intangible assets subject to amortization:</w:t>
      </w:r>
    </w:p>
    <w:p>
      <w:pPr>
        <w:spacing w:after="0" w:line="225" w:lineRule="exact"/>
        <w:rPr>
          <w:sz w:val="20"/>
          <w:szCs w:val="20"/>
          <w:color w:val="auto"/>
        </w:rPr>
      </w:pPr>
    </w:p>
    <w:p>
      <w:pPr>
        <w:jc w:val="both"/>
        <w:ind w:left="1520" w:right="119"/>
        <w:spacing w:after="0" w:line="291" w:lineRule="auto"/>
        <w:rPr>
          <w:sz w:val="20"/>
          <w:szCs w:val="20"/>
          <w:color w:val="auto"/>
        </w:rPr>
      </w:pPr>
      <w:r>
        <w:rPr>
          <w:rFonts w:ascii="Arial" w:cs="Arial" w:eastAsia="Arial" w:hAnsi="Arial"/>
          <w:sz w:val="16"/>
          <w:szCs w:val="16"/>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2" w:name="page133"/>
    <w:bookmarkEnd w:id="13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During the years ended December 31, 2012 and 2013 and the nine months ended September 30, 2013 (unaudited) and 2014 (unaudited) no impairment losses were recorded.</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6"/>
          <w:szCs w:val="16"/>
          <w:color w:val="auto"/>
        </w:rPr>
        <w:t>Revenue recognition:</w:t>
      </w:r>
    </w:p>
    <w:p>
      <w:pPr>
        <w:spacing w:after="0" w:line="225"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Company generates revenues from the sale of its systems, inks and consumable products and from services to its products. The Company generates revenues from sale of its products directly to end-users and indirectly through independent distributors.</w:t>
      </w:r>
    </w:p>
    <w:p>
      <w:pPr>
        <w:spacing w:after="0" w:line="181" w:lineRule="exact"/>
        <w:rPr>
          <w:sz w:val="20"/>
          <w:szCs w:val="20"/>
          <w:color w:val="auto"/>
        </w:rPr>
      </w:pPr>
    </w:p>
    <w:p>
      <w:pPr>
        <w:jc w:val="both"/>
        <w:ind w:left="1520" w:right="119"/>
        <w:spacing w:after="0" w:line="259" w:lineRule="auto"/>
        <w:rPr>
          <w:sz w:val="20"/>
          <w:szCs w:val="20"/>
          <w:color w:val="auto"/>
        </w:rPr>
      </w:pPr>
      <w:r>
        <w:rPr>
          <w:rFonts w:ascii="Arial" w:cs="Arial" w:eastAsia="Arial" w:hAnsi="Arial"/>
          <w:sz w:val="18"/>
          <w:szCs w:val="18"/>
          <w:color w:val="auto"/>
        </w:rPr>
        <w:t>Revenues from printer sales are recognized in accordance with ASC No. 605, “Revenue Recognition” upon installation, provided that the collection of the resulting receivable is probable, there is persuasive evidence of an arrangement, no significant obligations in respect of installation remain and the price is fixed or determinable.</w:t>
      </w:r>
    </w:p>
    <w:p>
      <w:pPr>
        <w:spacing w:after="0" w:line="187"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Revenues from selling these products to independent distributors are deferred until the Company’s products are installed in the customers’ premises by the Company’s service and support teams, provided that all other revenue recognition criteria are met. Revenues from selling products to independent distributors who install these systems are recognized upon delivery, provided that all other revenue recognition criteria are met.</w:t>
      </w:r>
    </w:p>
    <w:p>
      <w:pPr>
        <w:spacing w:after="0" w:line="188" w:lineRule="exact"/>
        <w:rPr>
          <w:sz w:val="20"/>
          <w:szCs w:val="20"/>
          <w:color w:val="auto"/>
        </w:rPr>
      </w:pPr>
    </w:p>
    <w:p>
      <w:pPr>
        <w:jc w:val="both"/>
        <w:ind w:left="1520" w:right="119"/>
        <w:spacing w:after="0" w:line="290" w:lineRule="auto"/>
        <w:rPr>
          <w:sz w:val="20"/>
          <w:szCs w:val="20"/>
          <w:color w:val="auto"/>
        </w:rPr>
      </w:pPr>
      <w:r>
        <w:rPr>
          <w:rFonts w:ascii="Arial" w:cs="Arial" w:eastAsia="Arial" w:hAnsi="Arial"/>
          <w:sz w:val="16"/>
          <w:szCs w:val="16"/>
          <w:color w:val="auto"/>
        </w:rPr>
        <w:t>In respect of sale of products, installation of the systems and training, the Company considers the element in the arrangement to be a single unit of accounting. In accordance with ASC 605, the Company has concluded that its arrangements are generally consistent with the indicators suggesting that installation and training are essential to the functionality of the systems. Therefore, the Company recognizes revenue for the systems only upon installation and training when installation and training are the Company’s responsibility. When the installation and training are not being performed by the Company, the Company would recognize the revenues upon delivery in accordance with the agreed-upon delivery terms once all other revenue recognition criteria have been met.</w:t>
      </w:r>
    </w:p>
    <w:p>
      <w:pPr>
        <w:spacing w:after="0" w:line="166" w:lineRule="exact"/>
        <w:rPr>
          <w:sz w:val="20"/>
          <w:szCs w:val="20"/>
          <w:color w:val="auto"/>
        </w:rPr>
      </w:pPr>
    </w:p>
    <w:p>
      <w:pPr>
        <w:jc w:val="both"/>
        <w:ind w:left="1520" w:right="119"/>
        <w:spacing w:after="0" w:line="259" w:lineRule="auto"/>
        <w:rPr>
          <w:sz w:val="20"/>
          <w:szCs w:val="20"/>
          <w:color w:val="auto"/>
        </w:rPr>
      </w:pPr>
      <w:r>
        <w:rPr>
          <w:rFonts w:ascii="Arial" w:cs="Arial" w:eastAsia="Arial" w:hAnsi="Arial"/>
          <w:sz w:val="18"/>
          <w:szCs w:val="18"/>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187"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Revenues from ink and other consumable products are generally recognized upon shipment assuming all other revenue recognition criteria have been met.</w:t>
      </w:r>
    </w:p>
    <w:p>
      <w:pPr>
        <w:spacing w:after="0" w:line="170" w:lineRule="exact"/>
        <w:rPr>
          <w:sz w:val="20"/>
          <w:szCs w:val="20"/>
          <w:color w:val="auto"/>
        </w:rPr>
      </w:pPr>
    </w:p>
    <w:p>
      <w:pPr>
        <w:jc w:val="both"/>
        <w:ind w:left="1520" w:right="119"/>
        <w:spacing w:after="0" w:line="297" w:lineRule="auto"/>
        <w:rPr>
          <w:sz w:val="20"/>
          <w:szCs w:val="20"/>
          <w:color w:val="auto"/>
        </w:rPr>
      </w:pPr>
      <w:r>
        <w:rPr>
          <w:rFonts w:ascii="Arial" w:cs="Arial" w:eastAsia="Arial" w:hAnsi="Arial"/>
          <w:sz w:val="16"/>
          <w:szCs w:val="16"/>
          <w:color w:val="auto"/>
        </w:rPr>
        <w:t>Although, in general, the Company does not grant rights of return, there are certain instances where such rights are granted. The Company maintains a provision for returns in accordance with ASC 605, which is estimated, based primarily on historical experience as well as management judgment, and is recorded as reduction in revenue. Such provision amounted to $282, $84 and $152 (unaudited) as of December 31, 2012 and 2013, and as of September 30, 2014 (unaudited), respectively.</w:t>
      </w:r>
    </w:p>
    <w:p>
      <w:pPr>
        <w:spacing w:after="0" w:line="158"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Deferred revenue includes amounts received from customers for which revenue has not yet been recognized.</w:t>
      </w:r>
    </w:p>
    <w:p>
      <w:pPr>
        <w:spacing w:after="0" w:line="170" w:lineRule="exact"/>
        <w:rPr>
          <w:sz w:val="20"/>
          <w:szCs w:val="20"/>
          <w:color w:val="auto"/>
        </w:rPr>
      </w:pPr>
    </w:p>
    <w:p>
      <w:pPr>
        <w:jc w:val="both"/>
        <w:ind w:left="1520" w:right="119"/>
        <w:spacing w:after="0" w:line="308" w:lineRule="auto"/>
        <w:rPr>
          <w:sz w:val="20"/>
          <w:szCs w:val="20"/>
          <w:color w:val="auto"/>
        </w:rPr>
      </w:pPr>
      <w:r>
        <w:rPr>
          <w:rFonts w:ascii="Arial" w:cs="Arial" w:eastAsia="Arial" w:hAnsi="Arial"/>
          <w:sz w:val="17"/>
          <w:szCs w:val="17"/>
          <w:color w:val="auto"/>
        </w:rPr>
        <w:t>In cases where the Company trades in old systems as part of sales of new systems, the fair value of the old systems is recorded as inventory, provided that such value can be determined.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480" w:hanging="329"/>
        <w:spacing w:after="0"/>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Shipping and handling fees charged to the Company’s customers are recognized as revenue in the period shipped and the related costs for providing these services are recorded as a cost of revenues. Revenues from shipping in the years ended December 31, 2012 and 2013 and the nine months ended September 30, 2013 (unaudited) and 2014 (unaudited) were $617, $681, $501 (unaudited) and $690 (unaudited), respectively.</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  Cost of revenues:</w:t>
      </w:r>
    </w:p>
    <w:p>
      <w:pPr>
        <w:spacing w:after="0" w:line="225"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Cost of revenues is comprised mainly of cost of printers and ink production, employees’ salaries and related costs, allocated overhead expenses, import taxes and royalties.</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Warranty costs:</w:t>
      </w:r>
    </w:p>
    <w:p>
      <w:pPr>
        <w:spacing w:after="0" w:line="225" w:lineRule="exact"/>
        <w:rPr>
          <w:sz w:val="20"/>
          <w:szCs w:val="20"/>
          <w:color w:val="auto"/>
        </w:rPr>
      </w:pPr>
    </w:p>
    <w:p>
      <w:pPr>
        <w:jc w:val="both"/>
        <w:ind w:left="1520" w:right="119"/>
        <w:spacing w:after="0" w:line="255" w:lineRule="auto"/>
        <w:rPr>
          <w:sz w:val="20"/>
          <w:szCs w:val="20"/>
          <w:color w:val="auto"/>
        </w:rPr>
      </w:pPr>
      <w:r>
        <w:rPr>
          <w:rFonts w:ascii="Arial" w:cs="Arial" w:eastAsia="Arial" w:hAnsi="Arial"/>
          <w:sz w:val="18"/>
          <w:szCs w:val="18"/>
          <w:color w:val="auto"/>
        </w:rPr>
        <w:t>The Company generally provides a one year warranty for all of its systems. A provision is recorded for estimated warranty costs at the time revenues are recognized based on historical warranty costs and management’s estimates. Factors that affect the Company’s warranty liability include the number of machines, historical rates of warranty claims and cost per claim. The Company periodically assesses the adequacy of its recorded warranty liabilities and adjusts the amounts thereof as necessary.</w:t>
      </w:r>
    </w:p>
    <w:p>
      <w:pPr>
        <w:spacing w:after="0" w:line="1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followings are the changes in the liability for product warranty from January 1, 2012 to</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December 31, 2013:</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 issued during the year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6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Provision for warranties issued during the nine months period</w:t>
            </w:r>
          </w:p>
        </w:tc>
        <w:tc>
          <w:tcPr>
            <w:tcW w:w="124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Reduction for payments and costs to satisfy claims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6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 (Unaudited)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1020"/>
              <w:spacing w:after="0"/>
              <w:rPr>
                <w:sz w:val="20"/>
                <w:szCs w:val="20"/>
                <w:color w:val="auto"/>
              </w:rPr>
            </w:pPr>
            <w:r>
              <w:rPr>
                <w:rFonts w:ascii="Arial" w:cs="Arial" w:eastAsia="Arial" w:hAnsi="Arial"/>
                <w:sz w:val="18"/>
                <w:szCs w:val="18"/>
                <w:color w:val="auto"/>
              </w:rPr>
              <w:t>o.  Research and development expenses:</w:t>
            </w: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Research and development expenses are charged to the statement of income, as incurred.</w:t>
      </w:r>
    </w:p>
    <w:p>
      <w:pPr>
        <w:spacing w:after="0" w:line="225"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p.</w:t>
      </w:r>
      <w:r>
        <w:rPr>
          <w:sz w:val="20"/>
          <w:szCs w:val="20"/>
          <w:color w:val="auto"/>
        </w:rPr>
        <w:tab/>
      </w:r>
      <w:r>
        <w:rPr>
          <w:rFonts w:ascii="Arial" w:cs="Arial" w:eastAsia="Arial" w:hAnsi="Arial"/>
          <w:sz w:val="16"/>
          <w:szCs w:val="16"/>
          <w:color w:val="auto"/>
        </w:rPr>
        <w:t>Accounting for share-based compensation: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The Company accounts for share-based compensation in accordance with ASC No. 718, “Compensation</w:t>
      </w:r>
    </w:p>
    <w:p>
      <w:pPr>
        <w:spacing w:after="0" w:line="58" w:lineRule="exact"/>
        <w:rPr>
          <w:sz w:val="20"/>
          <w:szCs w:val="20"/>
          <w:color w:val="auto"/>
        </w:rPr>
      </w:pPr>
    </w:p>
    <w:p>
      <w:pPr>
        <w:jc w:val="both"/>
        <w:ind w:left="1520" w:right="119"/>
        <w:spacing w:after="0" w:line="252" w:lineRule="auto"/>
        <w:rPr>
          <w:sz w:val="20"/>
          <w:szCs w:val="20"/>
          <w:color w:val="auto"/>
        </w:rPr>
      </w:pPr>
      <w:r>
        <w:rPr>
          <w:rFonts w:ascii="Arial" w:cs="Arial" w:eastAsia="Arial" w:hAnsi="Arial"/>
          <w:sz w:val="18"/>
          <w:szCs w:val="18"/>
          <w:color w:val="auto"/>
        </w:rPr>
        <w:t>— Stock Compensation”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operations. ASC No. 718 requires forfeitures to be estimated at the time of the grant and revised in subsequent periods if actual forfeitures differ from those estimates.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4" w:name="page135"/>
    <w:bookmarkEnd w:id="13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20" w:right="119"/>
        <w:spacing w:after="0" w:line="259" w:lineRule="auto"/>
        <w:rPr>
          <w:sz w:val="20"/>
          <w:szCs w:val="20"/>
          <w:color w:val="auto"/>
        </w:rPr>
      </w:pPr>
      <w:r>
        <w:rPr>
          <w:rFonts w:ascii="Arial" w:cs="Arial" w:eastAsia="Arial" w:hAnsi="Arial"/>
          <w:sz w:val="18"/>
          <w:szCs w:val="18"/>
          <w:color w:val="auto"/>
        </w:rPr>
        <w:t>The Company selected the binomial option pricing model as the most appropriate fair value method for its share-based compensation awards with the following assumptions for the years ended December 31, 2012 and 2013 and nine months ended September 30, 2013 (unaudited) and 2014 (unaudited):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6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90"/>
              </w:rPr>
              <w:t>Year ended</w:t>
            </w:r>
          </w:p>
        </w:tc>
        <w:tc>
          <w:tcPr>
            <w:tcW w:w="2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90"/>
              </w:rPr>
              <w:t>December 31,</w:t>
            </w:r>
          </w:p>
        </w:tc>
        <w:tc>
          <w:tcPr>
            <w:tcW w:w="2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39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2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2013</w:t>
            </w: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3.5</w:t>
            </w: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3.0 – 10.0</w:t>
            </w:r>
          </w:p>
        </w:tc>
        <w:tc>
          <w:tcPr>
            <w:tcW w:w="124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9"/>
              </w:rPr>
              <w:t>3.0 – 10.0</w:t>
            </w:r>
          </w:p>
        </w:tc>
        <w:tc>
          <w:tcPr>
            <w:tcW w:w="13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3.5 –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 1.8%</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0.1% – 2.5%</w:t>
            </w:r>
          </w:p>
        </w:tc>
        <w:tc>
          <w:tcPr>
            <w:tcW w:w="1240" w:type="dxa"/>
            <w:vAlign w:val="bottom"/>
          </w:tcPr>
          <w:p>
            <w:pPr>
              <w:jc w:val="center"/>
              <w:ind w:right="114"/>
              <w:spacing w:after="0"/>
              <w:rPr>
                <w:sz w:val="20"/>
                <w:szCs w:val="20"/>
                <w:color w:val="auto"/>
              </w:rPr>
            </w:pPr>
            <w:r>
              <w:rPr>
                <w:rFonts w:ascii="Arial" w:cs="Arial" w:eastAsia="Arial" w:hAnsi="Arial"/>
                <w:sz w:val="18"/>
                <w:szCs w:val="18"/>
                <w:color w:val="auto"/>
                <w:w w:val="90"/>
              </w:rPr>
              <w:t>0.1% – 2.5%</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0.1% –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71%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8"/>
              </w:rPr>
              <w:t>55%</w:t>
            </w:r>
          </w:p>
        </w:tc>
        <w:tc>
          <w:tcPr>
            <w:tcW w:w="12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gridSpan w:val="2"/>
          </w:tcPr>
          <w:p>
            <w:pPr>
              <w:jc w:val="right"/>
              <w:ind w:right="434"/>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240" w:type="dxa"/>
            <w:vAlign w:val="bottom"/>
          </w:tcPr>
          <w:p>
            <w:pPr>
              <w:jc w:val="center"/>
              <w:ind w:right="114"/>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1520" w:right="119"/>
        <w:spacing w:after="0" w:line="270" w:lineRule="auto"/>
        <w:rPr>
          <w:sz w:val="20"/>
          <w:szCs w:val="20"/>
          <w:color w:val="auto"/>
        </w:rPr>
      </w:pPr>
      <w:r>
        <w:rPr>
          <w:rFonts w:ascii="Arial" w:cs="Arial" w:eastAsia="Arial" w:hAnsi="Arial"/>
          <w:sz w:val="17"/>
          <w:szCs w:val="17"/>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 The early exercise factor of grantees in private companies is expected to be higher due to the lack of marketability that leads to longer exercise period of the options. The forfeiture rates are based the activity status of the options granted between the years 2004 and 2014. 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78"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following table sets forth the total share based expense included in the consolidated statements of income, for the years ended December 31, 2012 and 2013 and nine months ended September 30, 2013 (unaudited) and 2014 (unaudited):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tcPr>
          <w:p>
            <w:pPr>
              <w:ind w:left="1020"/>
              <w:spacing w:after="0"/>
              <w:rPr>
                <w:sz w:val="20"/>
                <w:szCs w:val="20"/>
                <w:color w:val="auto"/>
              </w:rPr>
            </w:pPr>
            <w:r>
              <w:rPr>
                <w:rFonts w:ascii="Arial" w:cs="Arial" w:eastAsia="Arial" w:hAnsi="Arial"/>
                <w:sz w:val="18"/>
                <w:szCs w:val="18"/>
                <w:color w:val="auto"/>
              </w:rPr>
              <w:t>q.  Advertising</w:t>
            </w: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Advertising costs are charged to operations as incurred and were $206, $501, $303 (unaudited) and $350 (unaudited), for the years ended December 31, 2012 and 2013 and for the nine months ended September 30, 2013 (unaudited) and 2014 (unaudited),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5" w:name="page136"/>
    <w:bookmarkEnd w:id="13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480" w:hanging="329"/>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9" w:lineRule="exact"/>
        <w:rPr>
          <w:sz w:val="20"/>
          <w:szCs w:val="20"/>
          <w:color w:val="auto"/>
        </w:rPr>
      </w:pPr>
    </w:p>
    <w:p>
      <w:pPr>
        <w:jc w:val="both"/>
        <w:ind w:left="1520" w:right="119"/>
        <w:spacing w:after="0" w:line="272" w:lineRule="auto"/>
        <w:rPr>
          <w:sz w:val="20"/>
          <w:szCs w:val="20"/>
          <w:color w:val="auto"/>
        </w:rPr>
      </w:pPr>
      <w:r>
        <w:rPr>
          <w:rFonts w:ascii="Arial" w:cs="Arial" w:eastAsia="Arial" w:hAnsi="Arial"/>
          <w:sz w:val="17"/>
          <w:szCs w:val="17"/>
          <w:color w:val="auto"/>
        </w:rPr>
        <w:t>The Company accounts for income taxes in accordance with ASC No. 740, “Income Taxes”.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and its subsidiaries provide a valuation allowance, if necessary, to reduce deferred tax assets to their estimated realizable value if it is more likely than not that a portion or all of the deferred tax assets will not be realized.</w:t>
      </w:r>
    </w:p>
    <w:p>
      <w:pPr>
        <w:spacing w:after="0" w:line="205" w:lineRule="exact"/>
        <w:rPr>
          <w:sz w:val="20"/>
          <w:szCs w:val="20"/>
          <w:color w:val="auto"/>
        </w:rPr>
      </w:pPr>
    </w:p>
    <w:p>
      <w:pPr>
        <w:jc w:val="both"/>
        <w:ind w:left="1520" w:right="119"/>
        <w:spacing w:after="0" w:line="312" w:lineRule="auto"/>
        <w:rPr>
          <w:sz w:val="20"/>
          <w:szCs w:val="20"/>
          <w:color w:val="auto"/>
        </w:rPr>
      </w:pPr>
      <w:r>
        <w:rPr>
          <w:rFonts w:ascii="Arial" w:cs="Arial" w:eastAsia="Arial" w:hAnsi="Arial"/>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w:t>
      </w:r>
    </w:p>
    <w:p>
      <w:pPr>
        <w:spacing w:after="0" w:line="160" w:lineRule="exact"/>
        <w:rPr>
          <w:sz w:val="20"/>
          <w:szCs w:val="20"/>
          <w:color w:val="auto"/>
        </w:rPr>
      </w:pPr>
    </w:p>
    <w:p>
      <w:pPr>
        <w:jc w:val="both"/>
        <w:ind w:left="1520" w:right="119"/>
        <w:spacing w:after="0" w:line="291" w:lineRule="auto"/>
        <w:rPr>
          <w:sz w:val="20"/>
          <w:szCs w:val="20"/>
          <w:color w:val="auto"/>
        </w:rPr>
      </w:pPr>
      <w:r>
        <w:rPr>
          <w:rFonts w:ascii="Arial" w:cs="Arial" w:eastAsia="Arial" w:hAnsi="Arial"/>
          <w:sz w:val="16"/>
          <w:szCs w:val="16"/>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penalty, if any related to unrecognized tax benefits in its taxes on income.</w:t>
      </w:r>
    </w:p>
    <w:p>
      <w:pPr>
        <w:spacing w:after="0" w:line="181" w:lineRule="exact"/>
        <w:rPr>
          <w:sz w:val="20"/>
          <w:szCs w:val="20"/>
          <w:color w:val="auto"/>
        </w:rPr>
      </w:pPr>
    </w:p>
    <w:p>
      <w:pPr>
        <w:ind w:left="1160"/>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Concentrations of credit risks:</w:t>
      </w:r>
    </w:p>
    <w:p>
      <w:pPr>
        <w:spacing w:after="0" w:line="252" w:lineRule="exact"/>
        <w:rPr>
          <w:sz w:val="20"/>
          <w:szCs w:val="20"/>
          <w:color w:val="auto"/>
        </w:rPr>
      </w:pPr>
    </w:p>
    <w:p>
      <w:pPr>
        <w:jc w:val="both"/>
        <w:ind w:left="1520" w:right="119"/>
        <w:spacing w:after="0" w:line="342" w:lineRule="auto"/>
        <w:rPr>
          <w:sz w:val="20"/>
          <w:szCs w:val="20"/>
          <w:color w:val="auto"/>
        </w:rPr>
      </w:pPr>
      <w:r>
        <w:rPr>
          <w:rFonts w:ascii="Arial" w:cs="Arial" w:eastAsia="Arial" w:hAnsi="Arial"/>
          <w:sz w:val="16"/>
          <w:szCs w:val="16"/>
          <w:color w:val="auto"/>
        </w:rPr>
        <w:t>Financial instruments that potentially subject the Company and its subsidiaries to concentrations of credit risk consist principally of cash and cash equivalents, bank deposits and trade receivables.</w:t>
      </w:r>
    </w:p>
    <w:p>
      <w:pPr>
        <w:spacing w:after="0" w:line="137"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majority of the Company’s and its subsidiaries’ cash and cash equivalents and bank deposits are invested in major banks in Israel. Generally, these cash equivalents may be redeemed upon demand and, therefore management believes that it bears a lower risk.</w:t>
      </w:r>
    </w:p>
    <w:p>
      <w:pPr>
        <w:spacing w:after="0" w:line="195" w:lineRule="exact"/>
        <w:rPr>
          <w:sz w:val="20"/>
          <w:szCs w:val="20"/>
          <w:color w:val="auto"/>
        </w:rPr>
      </w:pPr>
    </w:p>
    <w:p>
      <w:pPr>
        <w:jc w:val="both"/>
        <w:ind w:left="1520" w:right="119"/>
        <w:spacing w:after="0" w:line="271" w:lineRule="auto"/>
        <w:rPr>
          <w:sz w:val="20"/>
          <w:szCs w:val="20"/>
          <w:color w:val="auto"/>
        </w:rPr>
      </w:pPr>
      <w:r>
        <w:rPr>
          <w:rFonts w:ascii="Arial" w:cs="Arial" w:eastAsia="Arial" w:hAnsi="Arial"/>
          <w:sz w:val="17"/>
          <w:szCs w:val="17"/>
          <w:color w:val="auto"/>
        </w:rPr>
        <w:t>The trade receivables of the Company and its subsidiaries are mainly derived from sales to customers located primarily in the United States, Europe, the Middle East, Africa and Asia Pacific. The Company performs ongoing credit evaluations of its customers. An allowance for doubtful accounts is determined with respect to those amounts that the Company has determined to be doubtful of collection. In certain circumstances, the Company may require from its customers letters of credit, other collateral or additional guarantees. In the years ended December 31, 2012 and 2013 and for the period of nine months periods ended September 30, 2013 (unaudited) and 2014 (unaudited), the Company has not experienced any significant write offs.</w:t>
      </w:r>
    </w:p>
    <w:p>
      <w:pPr>
        <w:spacing w:after="0" w:line="206" w:lineRule="exact"/>
        <w:rPr>
          <w:sz w:val="20"/>
          <w:szCs w:val="20"/>
          <w:color w:val="auto"/>
        </w:rPr>
      </w:pPr>
    </w:p>
    <w:p>
      <w:pPr>
        <w:ind w:left="1480" w:hanging="329"/>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39"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The majority of 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6" w:name="page137"/>
    <w:bookmarkEnd w:id="13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20" w:right="119"/>
        <w:spacing w:after="0" w:line="308" w:lineRule="auto"/>
        <w:rPr>
          <w:sz w:val="20"/>
          <w:szCs w:val="20"/>
          <w:color w:val="auto"/>
        </w:rPr>
      </w:pPr>
      <w:r>
        <w:rPr>
          <w:rFonts w:ascii="Arial" w:cs="Arial" w:eastAsia="Arial" w:hAnsi="Arial"/>
          <w:sz w:val="17"/>
          <w:szCs w:val="17"/>
          <w:color w:val="auto"/>
        </w:rPr>
        <w:t>severance liabilities in respect of those employees. Neither severance pay liability nor severance pay fund under Section 14 for such employees is recorded on the Company’s balance sheet.</w:t>
      </w:r>
    </w:p>
    <w:p>
      <w:pPr>
        <w:spacing w:after="0" w:line="160" w:lineRule="exact"/>
        <w:rPr>
          <w:sz w:val="20"/>
          <w:szCs w:val="20"/>
          <w:color w:val="auto"/>
        </w:rPr>
      </w:pPr>
    </w:p>
    <w:p>
      <w:pPr>
        <w:jc w:val="both"/>
        <w:ind w:left="1520" w:right="119"/>
        <w:spacing w:after="0" w:line="272" w:lineRule="auto"/>
        <w:rPr>
          <w:sz w:val="20"/>
          <w:szCs w:val="20"/>
          <w:color w:val="auto"/>
        </w:rPr>
      </w:pPr>
      <w:r>
        <w:rPr>
          <w:rFonts w:ascii="Arial" w:cs="Arial" w:eastAsia="Arial" w:hAnsi="Arial"/>
          <w:sz w:val="17"/>
          <w:szCs w:val="17"/>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 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205"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95"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Severance pay expenses for the years ended December 31, 2012 and 2013 and the nine months ended September 30, 2013 (unaudited) and 2014 (unaudited) were $569, $ 620, $511 (unaudited) and $821 (unaudited), respectively.</w:t>
      </w:r>
    </w:p>
    <w:p>
      <w:pPr>
        <w:spacing w:after="0" w:line="195"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u.</w:t>
      </w:r>
      <w:r>
        <w:rPr>
          <w:sz w:val="20"/>
          <w:szCs w:val="20"/>
          <w:color w:val="auto"/>
        </w:rPr>
        <w:tab/>
      </w:r>
      <w:r>
        <w:rPr>
          <w:rFonts w:ascii="Arial" w:cs="Arial" w:eastAsia="Arial" w:hAnsi="Arial"/>
          <w:sz w:val="16"/>
          <w:szCs w:val="16"/>
          <w:color w:val="auto"/>
        </w:rPr>
        <w:t>Fair value of financial instruments:</w:t>
      </w:r>
    </w:p>
    <w:p>
      <w:pPr>
        <w:spacing w:after="0" w:line="252" w:lineRule="exact"/>
        <w:rPr>
          <w:sz w:val="20"/>
          <w:szCs w:val="20"/>
          <w:color w:val="auto"/>
        </w:rPr>
      </w:pPr>
    </w:p>
    <w:p>
      <w:pPr>
        <w:jc w:val="both"/>
        <w:ind w:left="1520" w:right="119"/>
        <w:spacing w:after="0" w:line="286" w:lineRule="auto"/>
        <w:rPr>
          <w:sz w:val="20"/>
          <w:szCs w:val="20"/>
          <w:color w:val="auto"/>
        </w:rPr>
      </w:pPr>
      <w:r>
        <w:rPr>
          <w:rFonts w:ascii="Arial" w:cs="Arial" w:eastAsia="Arial" w:hAnsi="Arial"/>
          <w:sz w:val="17"/>
          <w:szCs w:val="17"/>
          <w:color w:val="auto"/>
        </w:rPr>
        <w:t>The financial instruments of the Company consist mainly of cash and cash equivalents, short term deposits, trade receivables, trade and other accounts payable and accrued expenses. Due to the short-term nature of such financial instruments, their fair value approximates their carrying value.</w:t>
      </w:r>
    </w:p>
    <w:p>
      <w:pPr>
        <w:spacing w:after="0" w:line="17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Comprehensive income:</w:t>
      </w:r>
    </w:p>
    <w:p>
      <w:pPr>
        <w:spacing w:after="0" w:line="239" w:lineRule="exact"/>
        <w:rPr>
          <w:sz w:val="20"/>
          <w:szCs w:val="20"/>
          <w:color w:val="auto"/>
        </w:rPr>
      </w:pPr>
    </w:p>
    <w:p>
      <w:pPr>
        <w:jc w:val="both"/>
        <w:ind w:left="1520" w:right="119"/>
        <w:spacing w:after="0" w:line="255" w:lineRule="auto"/>
        <w:rPr>
          <w:sz w:val="20"/>
          <w:szCs w:val="20"/>
          <w:color w:val="auto"/>
        </w:rPr>
      </w:pPr>
      <w:r>
        <w:rPr>
          <w:rFonts w:ascii="Arial" w:cs="Arial" w:eastAsia="Arial" w:hAnsi="Arial"/>
          <w:sz w:val="18"/>
          <w:szCs w:val="18"/>
          <w:color w:val="auto"/>
        </w:rPr>
        <w:t>The Company accounts for comprehensive income in accordance with ASC No. 220, “Comprehensive Income.” This statement establishes standards for the reporting and display of comprehensive income and its components in a full set of general purpose financial statements. Comprehensive income generally represents all changes in shareholders’ equity during the period except those resulting from investments by, or distributions to, shareholders. The Company determined that its only item of other comprehensive income relates to foreign currency translation differences.</w:t>
      </w:r>
    </w:p>
    <w:p>
      <w:pPr>
        <w:spacing w:after="0" w:line="21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Basic and diluted net income per share:</w:t>
      </w:r>
    </w:p>
    <w:p>
      <w:pPr>
        <w:spacing w:after="0" w:line="232"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202" w:lineRule="exact"/>
        <w:rPr>
          <w:sz w:val="20"/>
          <w:szCs w:val="20"/>
          <w:color w:val="auto"/>
        </w:rPr>
      </w:pPr>
    </w:p>
    <w:p>
      <w:pPr>
        <w:jc w:val="both"/>
        <w:ind w:left="1520" w:right="119"/>
        <w:spacing w:after="0" w:line="302" w:lineRule="auto"/>
        <w:rPr>
          <w:sz w:val="20"/>
          <w:szCs w:val="20"/>
          <w:color w:val="auto"/>
        </w:rPr>
      </w:pPr>
      <w:r>
        <w:rPr>
          <w:rFonts w:ascii="Arial" w:cs="Arial" w:eastAsia="Arial" w:hAnsi="Arial"/>
          <w:sz w:val="16"/>
          <w:szCs w:val="16"/>
          <w:color w:val="auto"/>
        </w:rPr>
        <w:t>For the year ended December 31, 2012, 21,000 outstanding options have been excluded from the calculation of the diluted net income per share since their effect was anti-dilutive. For the year ended December 31, 2013 and nine months ended September 30, 2013 all outstanding options have been included at the calculation of the diluted earnings per share since their effect was dilutive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7" w:name="page138"/>
    <w:bookmarkEnd w:id="13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20" w:right="119"/>
        <w:spacing w:after="0" w:line="308" w:lineRule="auto"/>
        <w:rPr>
          <w:sz w:val="20"/>
          <w:szCs w:val="20"/>
          <w:color w:val="auto"/>
        </w:rPr>
      </w:pPr>
      <w:r>
        <w:rPr>
          <w:rFonts w:ascii="Arial" w:cs="Arial" w:eastAsia="Arial" w:hAnsi="Arial"/>
          <w:sz w:val="17"/>
          <w:szCs w:val="17"/>
          <w:color w:val="auto"/>
        </w:rPr>
        <w:t>For the nine months ended September 30, 2014, 20,991 outstanding options have been excluded from the calculation of diluted net income per share since their effect was anti-dilutive.</w:t>
      </w:r>
    </w:p>
    <w:p>
      <w:pPr>
        <w:spacing w:after="0" w:line="160" w:lineRule="exact"/>
        <w:rPr>
          <w:sz w:val="20"/>
          <w:szCs w:val="20"/>
          <w:color w:val="auto"/>
        </w:rPr>
      </w:pPr>
    </w:p>
    <w:p>
      <w:pPr>
        <w:jc w:val="both"/>
        <w:ind w:left="1520" w:right="119"/>
        <w:spacing w:after="0" w:line="312" w:lineRule="auto"/>
        <w:rPr>
          <w:sz w:val="20"/>
          <w:szCs w:val="20"/>
          <w:color w:val="auto"/>
        </w:rPr>
      </w:pPr>
      <w:r>
        <w:rPr>
          <w:rFonts w:ascii="Arial" w:cs="Arial" w:eastAsia="Arial" w:hAnsi="Arial"/>
          <w:sz w:val="16"/>
          <w:szCs w:val="16"/>
          <w:color w:val="auto"/>
        </w:rPr>
        <w:t>Basic and diluted pro forma net income per share (unaudited), as presented in the statements of income and comprehensive income, has been calculated as described above and also gives effect to the automatic conversion of all series of preferred shares that will occur upon closing of the IPO.</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Impact of recently issued accounting standard not yet adopted:</w:t>
      </w:r>
    </w:p>
    <w:p>
      <w:pPr>
        <w:spacing w:after="0" w:line="225" w:lineRule="exact"/>
        <w:rPr>
          <w:sz w:val="20"/>
          <w:szCs w:val="20"/>
          <w:color w:val="auto"/>
        </w:rPr>
      </w:pPr>
    </w:p>
    <w:p>
      <w:pPr>
        <w:jc w:val="both"/>
        <w:ind w:left="1520" w:right="119"/>
        <w:spacing w:after="0" w:line="290" w:lineRule="auto"/>
        <w:rPr>
          <w:sz w:val="20"/>
          <w:szCs w:val="20"/>
          <w:color w:val="auto"/>
        </w:rPr>
      </w:pPr>
      <w:r>
        <w:rPr>
          <w:rFonts w:ascii="Arial" w:cs="Arial" w:eastAsia="Arial" w:hAnsi="Arial"/>
          <w:sz w:val="16"/>
          <w:szCs w:val="16"/>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The Company is currently in the process of evaluating the impact of the adoption of ASU 2014-09 on its consolidated financial statements.</w:t>
      </w:r>
    </w:p>
    <w:p>
      <w:pPr>
        <w:spacing w:after="0" w:line="16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ACCOUNTS RECEIVABLE AND PREPAID EXPENSES</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Prepaid expenses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1,203</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products (*)</w:t>
            </w:r>
          </w:p>
        </w:tc>
        <w:tc>
          <w:tcPr>
            <w:tcW w:w="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8,637</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11,967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1520" w:right="119" w:hanging="369"/>
        <w:spacing w:after="0" w:line="286" w:lineRule="auto"/>
        <w:tabs>
          <w:tab w:leader="none" w:pos="1568"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Includes amounts of $ 393, $ 897 and $650 (unaudited) for the years ended December 31, 2012 and 2013 and for the nine months ended September 30, 2014 (unaudited), respectively, with respect to inventory delivered to customers but for which revenue criteria have not been met yet.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8" w:name="page139"/>
    <w:bookmarkEnd w:id="13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5:-</w:t>
        <w:tab/>
        <w:t>PROPERTY AND EQUIPMENT, NET</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peripheral equipment and software</w:t>
            </w:r>
          </w:p>
        </w:tc>
        <w:tc>
          <w:tcPr>
            <w:tcW w:w="7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4,670</w:t>
            </w:r>
          </w:p>
        </w:tc>
        <w:tc>
          <w:tcPr>
            <w:tcW w:w="200" w:type="dxa"/>
            <w:vAlign w:val="bottom"/>
          </w:tcPr>
          <w:p>
            <w:pPr>
              <w:spacing w:after="0"/>
              <w:rPr>
                <w:sz w:val="23"/>
                <w:szCs w:val="2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6,018</w:t>
            </w:r>
          </w:p>
        </w:tc>
        <w:tc>
          <w:tcPr>
            <w:tcW w:w="34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7,464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7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(3,365)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1160" w:right="119"/>
        <w:spacing w:after="0" w:line="264" w:lineRule="auto"/>
        <w:rPr>
          <w:sz w:val="20"/>
          <w:szCs w:val="20"/>
          <w:color w:val="auto"/>
        </w:rPr>
      </w:pPr>
      <w:r>
        <w:rPr>
          <w:rFonts w:ascii="Arial" w:cs="Arial" w:eastAsia="Arial" w:hAnsi="Arial"/>
          <w:sz w:val="18"/>
          <w:szCs w:val="18"/>
          <w:color w:val="auto"/>
        </w:rPr>
        <w:t>Depreciation expense for the years ended December 31, 2012 and 2013 and the nine months ended September 30, 2013 (unaudited) and 2014 (unaudited) was $750, $1,071, $826 (unaudited) and $910 (unaudited), respectively.</w:t>
      </w:r>
    </w:p>
    <w:p>
      <w:pPr>
        <w:spacing w:after="0" w:line="127" w:lineRule="exact"/>
        <w:rPr>
          <w:sz w:val="20"/>
          <w:szCs w:val="20"/>
          <w:color w:val="auto"/>
        </w:rPr>
      </w:pPr>
    </w:p>
    <w:p>
      <w:pPr>
        <w:jc w:val="both"/>
        <w:ind w:left="1160" w:right="119"/>
        <w:spacing w:after="0" w:line="264" w:lineRule="auto"/>
        <w:rPr>
          <w:sz w:val="20"/>
          <w:szCs w:val="20"/>
          <w:color w:val="auto"/>
        </w:rPr>
      </w:pPr>
      <w:r>
        <w:rPr>
          <w:rFonts w:ascii="Arial" w:cs="Arial" w:eastAsia="Arial" w:hAnsi="Arial"/>
          <w:sz w:val="18"/>
          <w:szCs w:val="18"/>
          <w:color w:val="auto"/>
        </w:rPr>
        <w:t>During the years ended 2012 and 2013 and the nine months ended September 30, 2014 (unaudited), the Company recorded a reduction of $0, $140 and $67 (unaudited), respectively, to the cost and accumulated depreciation of fully depreciated equipment no longer in use.</w:t>
      </w:r>
    </w:p>
    <w:p>
      <w:pPr>
        <w:spacing w:after="0" w:line="177"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w:t>
      </w:r>
    </w:p>
    <w:p>
      <w:pPr>
        <w:spacing w:after="0" w:line="229" w:lineRule="exact"/>
        <w:rPr>
          <w:sz w:val="20"/>
          <w:szCs w:val="20"/>
          <w:color w:val="auto"/>
        </w:rPr>
      </w:pPr>
    </w:p>
    <w:p>
      <w:pPr>
        <w:jc w:val="both"/>
        <w:ind w:left="1160" w:right="119"/>
        <w:spacing w:after="0" w:line="290" w:lineRule="auto"/>
        <w:rPr>
          <w:sz w:val="20"/>
          <w:szCs w:val="20"/>
          <w:color w:val="auto"/>
        </w:rPr>
      </w:pPr>
      <w:r>
        <w:rPr>
          <w:rFonts w:ascii="Arial" w:cs="Arial" w:eastAsia="Arial" w:hAnsi="Arial"/>
          <w:sz w:val="16"/>
          <w:szCs w:val="16"/>
          <w:color w:val="auto"/>
        </w:rPr>
        <w:t>On May 24, 2010, the Company entered into a license agreement with a third party (the “agreement”). According to the agreement, the third party granted the Company a license to use its digital R2R printer and any and all related intellectual property including, among others, copying, manufacturing, distributing, marketing, engineering, further development and development of related products (the “license”) in order to allow the Company to develop a new version of a printer (the “new product”). The Company owns all the rights to the new product (as well as all the respective intellectual property rights) and the third party has no rights thereto. The license is non-cancelable. According to the agreement, the Company is obligated to pay royalties on sales of the new product up to a maximum agreed upon amount.</w:t>
      </w:r>
    </w:p>
    <w:p>
      <w:pPr>
        <w:spacing w:after="0" w:line="139" w:lineRule="exact"/>
        <w:rPr>
          <w:sz w:val="20"/>
          <w:szCs w:val="20"/>
          <w:color w:val="auto"/>
        </w:rPr>
      </w:pPr>
    </w:p>
    <w:p>
      <w:pPr>
        <w:jc w:val="both"/>
        <w:ind w:left="1160" w:right="119"/>
        <w:spacing w:after="0" w:line="264" w:lineRule="auto"/>
        <w:rPr>
          <w:sz w:val="20"/>
          <w:szCs w:val="20"/>
          <w:color w:val="auto"/>
        </w:rPr>
      </w:pPr>
      <w:r>
        <w:rPr>
          <w:rFonts w:ascii="Arial" w:cs="Arial" w:eastAsia="Arial" w:hAnsi="Arial"/>
          <w:sz w:val="18"/>
          <w:szCs w:val="18"/>
          <w:color w:val="auto"/>
        </w:rPr>
        <w:t>On April 22, 2013, the Company signed an amendment to the agreement pursuant to which the Company paid $327 and shall no longer have any obligations or undertakings to make any future payments to the third party.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300" w:type="dxa"/>
            <w:vAlign w:val="bottom"/>
          </w:tcPr>
          <w:p>
            <w:pPr>
              <w:spacing w:after="0"/>
              <w:rPr>
                <w:sz w:val="18"/>
                <w:szCs w:val="18"/>
                <w:color w:val="auto"/>
              </w:rPr>
            </w:pPr>
          </w:p>
        </w:tc>
        <w:tc>
          <w:tcPr>
            <w:tcW w:w="18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Acquired technology</w:t>
            </w:r>
          </w:p>
        </w:tc>
        <w:tc>
          <w:tcPr>
            <w:tcW w:w="980" w:type="dxa"/>
            <w:vAlign w:val="bottom"/>
          </w:tcPr>
          <w:p>
            <w:pPr>
              <w:jc w:val="right"/>
              <w:spacing w:after="0"/>
              <w:rPr>
                <w:sz w:val="20"/>
                <w:szCs w:val="20"/>
                <w:color w:val="auto"/>
              </w:rPr>
            </w:pPr>
            <w:r>
              <w:rPr>
                <w:rFonts w:ascii="Arial" w:cs="Arial" w:eastAsia="Arial" w:hAnsi="Arial"/>
                <w:sz w:val="18"/>
                <w:szCs w:val="18"/>
                <w:color w:val="auto"/>
              </w:rPr>
              <w:t>4.86</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239</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w:t>
            </w:r>
          </w:p>
        </w:tc>
        <w:tc>
          <w:tcPr>
            <w:tcW w:w="2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219"/>
              <w:spacing w:after="0"/>
              <w:rPr>
                <w:sz w:val="20"/>
                <w:szCs w:val="20"/>
                <w:color w:val="auto"/>
              </w:rPr>
            </w:pPr>
            <w:r>
              <w:rPr>
                <w:rFonts w:ascii="Arial" w:cs="Arial" w:eastAsia="Arial" w:hAnsi="Arial"/>
                <w:sz w:val="14"/>
                <w:szCs w:val="14"/>
                <w:color w:val="auto"/>
              </w:rPr>
              <w:t>F-19</w:t>
            </w: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39" w:name="page140"/>
    <w:bookmarkEnd w:id="13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 (Cont.)</w:t>
      </w:r>
    </w:p>
    <w:p>
      <w:pPr>
        <w:spacing w:after="0" w:line="229" w:lineRule="exact"/>
        <w:rPr>
          <w:sz w:val="20"/>
          <w:szCs w:val="20"/>
          <w:color w:val="auto"/>
        </w:rPr>
      </w:pPr>
    </w:p>
    <w:p>
      <w:pPr>
        <w:jc w:val="both"/>
        <w:ind w:left="1160" w:right="119"/>
        <w:spacing w:after="0" w:line="264" w:lineRule="auto"/>
        <w:rPr>
          <w:sz w:val="20"/>
          <w:szCs w:val="20"/>
          <w:color w:val="auto"/>
        </w:rPr>
      </w:pPr>
      <w:r>
        <w:rPr>
          <w:rFonts w:ascii="Arial" w:cs="Arial" w:eastAsia="Arial" w:hAnsi="Arial"/>
          <w:sz w:val="18"/>
          <w:szCs w:val="18"/>
          <w:color w:val="auto"/>
        </w:rPr>
        <w:t>Amortization expenses for the years ended December 31, 2012 and 2013 and for the nine months ended September 30, 2013 (unaudited) and 2014 (unaudited) were $36, $97, $65 (unaudited) and $94 (unaudited), respectively.</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Future amortization expenses for the years ending:</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9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2015</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7:-  OTHER PAYABLES AND ACCRUED EXPENSES</w:t>
            </w: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2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0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1,008</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Warranty provision</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2,135</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8:-</w:t>
        <w:tab/>
        <w:t>COMMITMENTS AND CONTINGENT LIABILITIES</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Lease commitments:</w:t>
      </w:r>
    </w:p>
    <w:p>
      <w:pPr>
        <w:spacing w:after="0" w:line="225" w:lineRule="exact"/>
        <w:rPr>
          <w:sz w:val="20"/>
          <w:szCs w:val="20"/>
          <w:color w:val="auto"/>
        </w:rPr>
      </w:pPr>
    </w:p>
    <w:p>
      <w:pPr>
        <w:jc w:val="both"/>
        <w:ind w:left="1520" w:right="119"/>
        <w:spacing w:after="0" w:line="312" w:lineRule="auto"/>
        <w:rPr>
          <w:sz w:val="20"/>
          <w:szCs w:val="20"/>
          <w:color w:val="auto"/>
        </w:rPr>
      </w:pPr>
      <w:r>
        <w:rPr>
          <w:rFonts w:ascii="Arial" w:cs="Arial" w:eastAsia="Arial" w:hAnsi="Arial"/>
          <w:sz w:val="16"/>
          <w:szCs w:val="16"/>
          <w:color w:val="auto"/>
        </w:rPr>
        <w:t>The Company leases facilities and vehicles under operating leases that expire on various dates through 2018. Aggregate minimum lease and rental payments under non-cancelable operating leases as of December 31, 2013, are (in the aggregate) and for each succeeding fiscal year below:</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w w:val="79"/>
              </w:rPr>
              <w:t>2014</w:t>
            </w:r>
          </w:p>
        </w:tc>
        <w:tc>
          <w:tcPr>
            <w:tcW w:w="3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jc w:val="right"/>
              <w:ind w:right="3430"/>
              <w:spacing w:after="0"/>
              <w:rPr>
                <w:sz w:val="20"/>
                <w:szCs w:val="20"/>
                <w:color w:val="auto"/>
              </w:rPr>
            </w:pPr>
            <w:r>
              <w:rPr>
                <w:rFonts w:ascii="Arial" w:cs="Arial" w:eastAsia="Arial" w:hAnsi="Arial"/>
                <w:sz w:val="18"/>
                <w:szCs w:val="18"/>
                <w:color w:val="auto"/>
                <w:w w:val="79"/>
              </w:rPr>
              <w:t>2015</w:t>
            </w: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w w:val="79"/>
              </w:rPr>
              <w:t>2016</w:t>
            </w:r>
          </w:p>
        </w:tc>
        <w:tc>
          <w:tcPr>
            <w:tcW w:w="3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jc w:val="right"/>
              <w:ind w:right="3430"/>
              <w:spacing w:after="0"/>
              <w:rPr>
                <w:sz w:val="20"/>
                <w:szCs w:val="20"/>
                <w:color w:val="auto"/>
              </w:rPr>
            </w:pPr>
            <w:r>
              <w:rPr>
                <w:rFonts w:ascii="Arial" w:cs="Arial" w:eastAsia="Arial" w:hAnsi="Arial"/>
                <w:sz w:val="18"/>
                <w:szCs w:val="18"/>
                <w:color w:val="auto"/>
                <w:w w:val="79"/>
              </w:rPr>
              <w:t>2017</w:t>
            </w: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w w:val="79"/>
              </w:rPr>
              <w:t>2018</w:t>
            </w:r>
          </w:p>
        </w:tc>
        <w:tc>
          <w:tcPr>
            <w:tcW w:w="35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Total rent expenses for the years ended December 31, 2012 and 2013 and for the nine month periods ended September 30, 2013 (unaudited) and 2014 (unaudited) were $891,$1,080, $800 (unaudited) and $1,070 (unaudited) respectively.</w:t>
      </w:r>
    </w:p>
    <w:p>
      <w:pPr>
        <w:spacing w:after="0" w:line="181"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Charges:</w:t>
      </w:r>
    </w:p>
    <w:p>
      <w:pPr>
        <w:spacing w:after="0" w:line="212"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During 2012, the Company obtained lines of credit for borrowings of up to $2,000 from two Israeli banks. The lines of credit carry interest rates varying between the Bank of Israel’s interest rate plus 1.5% (“Israeli</w:t>
      </w:r>
    </w:p>
    <w:p>
      <w:pPr>
        <w:sectPr>
          <w:pgSz w:w="11900" w:h="16838" w:orient="portrait"/>
          <w:cols w:equalWidth="0" w:num="1">
            <w:col w:w="9019"/>
          </w:cols>
          <w:pgMar w:left="1440" w:top="337" w:right="1440" w:bottom="1440" w:gutter="0" w:footer="0" w:header="0"/>
        </w:sectPr>
      </w:pP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40" w:name="page141"/>
    <w:bookmarkEnd w:id="14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8:-</w:t>
        <w:tab/>
        <w:t>COMMITMENTS AND CONTINGENT LIABILITIES (Cont.)</w:t>
      </w:r>
    </w:p>
    <w:p>
      <w:pPr>
        <w:spacing w:after="0" w:line="229" w:lineRule="exact"/>
        <w:rPr>
          <w:sz w:val="20"/>
          <w:szCs w:val="20"/>
          <w:color w:val="auto"/>
        </w:rPr>
      </w:pPr>
    </w:p>
    <w:p>
      <w:pPr>
        <w:jc w:val="both"/>
        <w:ind w:left="1520" w:right="119"/>
        <w:spacing w:after="0" w:line="291" w:lineRule="auto"/>
        <w:rPr>
          <w:sz w:val="20"/>
          <w:szCs w:val="20"/>
          <w:color w:val="auto"/>
        </w:rPr>
      </w:pPr>
      <w:r>
        <w:rPr>
          <w:rFonts w:ascii="Arial" w:cs="Arial" w:eastAsia="Arial" w:hAnsi="Arial"/>
          <w:sz w:val="16"/>
          <w:szCs w:val="16"/>
          <w:color w:val="auto"/>
        </w:rPr>
        <w:t>Prime Rate”) plus 3% to 3.5%. Under the agreements, the Company is obligated to satisfy the following covenants for so long as any borrowings are outstanding under the credit line: (a) the Company is required to maintain a 30% equity to balance-sheet ratio on a consolidated basis; and (b) upon the end of each fiscal quarter, the Company is required to maintain a minimum of $1 million cash and cash equivalents on a consolidated basis. As of the date of these financial statements, the Company does not have any borrowings under the lines of credit. The Company is in compliance with the financial covenants. One $1.0 million line of credit was terminated in October 2014.</w:t>
      </w:r>
    </w:p>
    <w:p>
      <w:pPr>
        <w:spacing w:after="0" w:line="154"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Purchase commitments:</w:t>
      </w:r>
    </w:p>
    <w:p>
      <w:pPr>
        <w:spacing w:after="0" w:line="198"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The Company estimates that at December 31, 2013, it had $2,932 of purchase commitments to its vendors for inventory.</w:t>
      </w:r>
    </w:p>
    <w:p>
      <w:pPr>
        <w:spacing w:after="0" w:line="1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Litigation:</w:t>
      </w:r>
    </w:p>
    <w:p>
      <w:pPr>
        <w:spacing w:after="0" w:line="212" w:lineRule="exact"/>
        <w:rPr>
          <w:sz w:val="20"/>
          <w:szCs w:val="20"/>
          <w:color w:val="auto"/>
        </w:rPr>
      </w:pPr>
    </w:p>
    <w:p>
      <w:pPr>
        <w:jc w:val="both"/>
        <w:ind w:left="1520" w:right="119"/>
        <w:spacing w:after="0" w:line="259"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60" w:lineRule="exact"/>
        <w:rPr>
          <w:sz w:val="20"/>
          <w:szCs w:val="20"/>
          <w:color w:val="auto"/>
        </w:rPr>
      </w:pPr>
    </w:p>
    <w:p>
      <w:pPr>
        <w:ind w:left="1460" w:hanging="309"/>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11" w:lineRule="exact"/>
        <w:rPr>
          <w:rFonts w:ascii="Arial" w:cs="Arial" w:eastAsia="Arial" w:hAnsi="Arial"/>
          <w:sz w:val="18"/>
          <w:szCs w:val="18"/>
          <w:color w:val="auto"/>
        </w:rPr>
      </w:pPr>
    </w:p>
    <w:p>
      <w:pPr>
        <w:jc w:val="both"/>
        <w:ind w:left="1860" w:right="119" w:hanging="385"/>
        <w:spacing w:after="0" w:line="286" w:lineRule="auto"/>
        <w:tabs>
          <w:tab w:leader="none" w:pos="1993" w:val="left"/>
        </w:tabs>
        <w:numPr>
          <w:ilvl w:val="1"/>
          <w:numId w:val="86"/>
        </w:numPr>
        <w:rPr>
          <w:rFonts w:ascii="Arial" w:cs="Arial" w:eastAsia="Arial" w:hAnsi="Arial"/>
          <w:sz w:val="17"/>
          <w:szCs w:val="17"/>
          <w:color w:val="auto"/>
        </w:rPr>
      </w:pPr>
      <w:r>
        <w:rPr>
          <w:rFonts w:ascii="Arial" w:cs="Arial" w:eastAsia="Arial" w:hAnsi="Arial"/>
          <w:sz w:val="17"/>
          <w:szCs w:val="17"/>
          <w:color w:val="auto"/>
        </w:rPr>
        <w:t>Under the Company’s agreement for purchasing print heads and other products, which was amended in 2014, the Company is obligated to pay royalties at a rate set forth in the agreement up to an agreed maximum amount of the Company’s annual ink revenues.</w:t>
      </w:r>
    </w:p>
    <w:p>
      <w:pPr>
        <w:spacing w:after="0" w:line="152" w:lineRule="exact"/>
        <w:rPr>
          <w:sz w:val="20"/>
          <w:szCs w:val="20"/>
          <w:color w:val="auto"/>
        </w:rPr>
      </w:pPr>
    </w:p>
    <w:p>
      <w:pPr>
        <w:jc w:val="both"/>
        <w:ind w:left="1860" w:right="119"/>
        <w:spacing w:after="0" w:line="264" w:lineRule="auto"/>
        <w:rPr>
          <w:sz w:val="20"/>
          <w:szCs w:val="20"/>
          <w:color w:val="auto"/>
        </w:rPr>
      </w:pPr>
      <w:r>
        <w:rPr>
          <w:rFonts w:ascii="Arial" w:cs="Arial" w:eastAsia="Arial" w:hAnsi="Arial"/>
          <w:sz w:val="18"/>
          <w:szCs w:val="18"/>
          <w:color w:val="auto"/>
        </w:rPr>
        <w:t>Royalties expenses for the years ended December 31, 2012 and 2013 and for the nine months ended September 30, 2013 (unaudited) and 2014 (unaudited) were $648, $563, $444 (unaudited) and $412 (unaudited) respectively.</w:t>
      </w:r>
    </w:p>
    <w:p>
      <w:pPr>
        <w:spacing w:after="0" w:line="154" w:lineRule="exact"/>
        <w:rPr>
          <w:sz w:val="20"/>
          <w:szCs w:val="20"/>
          <w:color w:val="auto"/>
        </w:rPr>
      </w:pPr>
    </w:p>
    <w:p>
      <w:pPr>
        <w:jc w:val="both"/>
        <w:ind w:left="1860" w:right="119" w:hanging="385"/>
        <w:spacing w:after="0" w:line="273" w:lineRule="auto"/>
        <w:tabs>
          <w:tab w:leader="none" w:pos="1906"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Company received research and development grants from the Office of the Chief Scientist (the “OCS”). In consideration for the research and development grants received from the OCS, the Company has undertaken to pay royalties as a percentage of revenues from products developed from research and development projects financed. The royalty rate is 3.5%. If the Company does not generate sales of products developed with funds provided by the OCS, the Company is not obligated to pay royalties or repay the grants.</w:t>
      </w:r>
    </w:p>
    <w:p>
      <w:pPr>
        <w:spacing w:after="0" w:line="165" w:lineRule="exact"/>
        <w:rPr>
          <w:sz w:val="20"/>
          <w:szCs w:val="20"/>
          <w:color w:val="auto"/>
        </w:rPr>
      </w:pPr>
    </w:p>
    <w:p>
      <w:pPr>
        <w:jc w:val="both"/>
        <w:ind w:left="1860" w:right="119"/>
        <w:spacing w:after="0" w:line="264" w:lineRule="auto"/>
        <w:rPr>
          <w:sz w:val="20"/>
          <w:szCs w:val="20"/>
          <w:color w:val="auto"/>
        </w:rPr>
      </w:pPr>
      <w:r>
        <w:rPr>
          <w:rFonts w:ascii="Arial" w:cs="Arial" w:eastAsia="Arial" w:hAnsi="Arial"/>
          <w:sz w:val="18"/>
          <w:szCs w:val="18"/>
          <w:color w:val="auto"/>
        </w:rPr>
        <w:t>Royalties are payable from the time of commencement of sales of all of these products until the cumulative amount of the royalties paid equals 100% of the dollar-linked amounts of the grants received, and bears interest at the LIBOR rate.</w:t>
      </w:r>
    </w:p>
    <w:p>
      <w:pPr>
        <w:spacing w:after="0" w:line="168" w:lineRule="exact"/>
        <w:rPr>
          <w:sz w:val="20"/>
          <w:szCs w:val="20"/>
          <w:color w:val="auto"/>
        </w:rPr>
      </w:pPr>
    </w:p>
    <w:p>
      <w:pPr>
        <w:jc w:val="both"/>
        <w:ind w:left="1860" w:right="119"/>
        <w:spacing w:after="0" w:line="279" w:lineRule="auto"/>
        <w:rPr>
          <w:sz w:val="20"/>
          <w:szCs w:val="20"/>
          <w:color w:val="auto"/>
        </w:rPr>
      </w:pPr>
      <w:r>
        <w:rPr>
          <w:rFonts w:ascii="Arial" w:cs="Arial" w:eastAsia="Arial" w:hAnsi="Arial"/>
          <w:sz w:val="17"/>
          <w:szCs w:val="17"/>
          <w:color w:val="auto"/>
        </w:rPr>
        <w:t>The total research and development grants that the Company has received from the OCS as of December 31, 2013 were $ 168. The accumulated interest as of December 31, 2013 was $ 6. The Company’s total commitment with respect to royalty-bearing participation received or accrued, net of royalties paid or accrued, amounted to $ 174 as of December 31, 2013.</w:t>
      </w:r>
    </w:p>
    <w:p>
      <w:pPr>
        <w:spacing w:after="0" w:line="144" w:lineRule="exact"/>
        <w:rPr>
          <w:sz w:val="20"/>
          <w:szCs w:val="20"/>
          <w:color w:val="auto"/>
        </w:rPr>
      </w:pPr>
    </w:p>
    <w:p>
      <w:pPr>
        <w:jc w:val="both"/>
        <w:ind w:left="1860" w:right="119"/>
        <w:spacing w:after="0" w:line="277" w:lineRule="auto"/>
        <w:rPr>
          <w:sz w:val="20"/>
          <w:szCs w:val="20"/>
          <w:color w:val="auto"/>
        </w:rPr>
      </w:pPr>
      <w:r>
        <w:rPr>
          <w:rFonts w:ascii="Arial" w:cs="Arial" w:eastAsia="Arial" w:hAnsi="Arial"/>
          <w:sz w:val="18"/>
          <w:szCs w:val="18"/>
          <w:color w:val="auto"/>
        </w:rPr>
        <w:t>As of September 30, 2014, no revenues had been generated under this project, therefore no royalties had been paid or accrued.</w:t>
      </w:r>
    </w:p>
    <w:p>
      <w:pPr>
        <w:spacing w:after="0" w:line="157" w:lineRule="exact"/>
        <w:rPr>
          <w:sz w:val="20"/>
          <w:szCs w:val="20"/>
          <w:color w:val="auto"/>
        </w:rPr>
      </w:pPr>
    </w:p>
    <w:p>
      <w:pPr>
        <w:ind w:left="1160"/>
        <w:spacing w:after="0"/>
        <w:tabs>
          <w:tab w:leader="none" w:pos="14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5"/>
          <w:szCs w:val="15"/>
          <w:color w:val="auto"/>
        </w:rPr>
        <w:t>Guarantees:</w:t>
      </w:r>
    </w:p>
    <w:p>
      <w:pPr>
        <w:spacing w:after="0" w:line="212" w:lineRule="exact"/>
        <w:rPr>
          <w:sz w:val="20"/>
          <w:szCs w:val="20"/>
          <w:color w:val="auto"/>
        </w:rPr>
      </w:pPr>
    </w:p>
    <w:p>
      <w:pPr>
        <w:ind w:left="1520" w:right="119"/>
        <w:spacing w:after="0" w:line="277" w:lineRule="auto"/>
        <w:rPr>
          <w:sz w:val="20"/>
          <w:szCs w:val="20"/>
          <w:color w:val="auto"/>
        </w:rPr>
      </w:pPr>
      <w:r>
        <w:rPr>
          <w:rFonts w:ascii="Arial" w:cs="Arial" w:eastAsia="Arial" w:hAnsi="Arial"/>
          <w:sz w:val="18"/>
          <w:szCs w:val="18"/>
          <w:color w:val="auto"/>
        </w:rPr>
        <w:t>As of December 31, 2013, the Company provided two bank guarantees of $ 231 in the aggregate for its rented facilities.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1" w:name="page142"/>
    <w:bookmarkEnd w:id="141"/>
    <w:p>
      <w:pPr>
        <w:ind w:left="49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-130810</wp:posOffset>
            </wp:positionV>
            <wp:extent cx="5574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18"/>
          <w:szCs w:val="18"/>
          <w:b w:val="1"/>
          <w:bCs w:val="1"/>
          <w:color w:val="auto"/>
        </w:rPr>
        <w:t>NOTE 9:-</w:t>
        <w:tab/>
        <w:t>SHAREHOLDERS’ EQUITY</w:t>
      </w:r>
    </w:p>
    <w:p>
      <w:pPr>
        <w:spacing w:after="0" w:line="229" w:lineRule="exact"/>
        <w:rPr>
          <w:sz w:val="20"/>
          <w:szCs w:val="20"/>
          <w:color w:val="auto"/>
        </w:rPr>
      </w:pPr>
    </w:p>
    <w:p>
      <w:pPr>
        <w:ind w:left="1620" w:right="6199" w:hanging="369"/>
        <w:spacing w:after="0" w:line="563" w:lineRule="auto"/>
        <w:tabs>
          <w:tab w:leader="none" w:pos="15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Company’s shares: Ordinary shares:</w:t>
      </w:r>
    </w:p>
    <w:p>
      <w:pPr>
        <w:spacing w:after="0" w:line="1" w:lineRule="exact"/>
        <w:rPr>
          <w:sz w:val="20"/>
          <w:szCs w:val="20"/>
          <w:color w:val="auto"/>
        </w:rPr>
      </w:pPr>
    </w:p>
    <w:p>
      <w:pPr>
        <w:jc w:val="both"/>
        <w:ind w:left="1620" w:right="119"/>
        <w:spacing w:after="0" w:line="257" w:lineRule="auto"/>
        <w:rPr>
          <w:sz w:val="20"/>
          <w:szCs w:val="20"/>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Preferred A-1 shares:</w:t>
      </w:r>
    </w:p>
    <w:p>
      <w:pPr>
        <w:spacing w:after="0" w:line="225" w:lineRule="exact"/>
        <w:rPr>
          <w:sz w:val="20"/>
          <w:szCs w:val="20"/>
          <w:color w:val="auto"/>
        </w:rPr>
      </w:pPr>
    </w:p>
    <w:p>
      <w:pPr>
        <w:jc w:val="both"/>
        <w:ind w:left="1620" w:right="119"/>
        <w:spacing w:after="0" w:line="308" w:lineRule="auto"/>
        <w:rPr>
          <w:sz w:val="20"/>
          <w:szCs w:val="20"/>
          <w:color w:val="auto"/>
        </w:rPr>
      </w:pPr>
      <w:r>
        <w:rPr>
          <w:rFonts w:ascii="Arial" w:cs="Arial" w:eastAsia="Arial" w:hAnsi="Arial"/>
          <w:sz w:val="17"/>
          <w:szCs w:val="17"/>
          <w:color w:val="auto"/>
        </w:rPr>
        <w:t>Preferred A-1 shares confer their holders preferences related to the distribution of Company’s assets in events of liquidation, merger, re-organization, sale of the Company or its assets.</w:t>
      </w:r>
    </w:p>
    <w:p>
      <w:pPr>
        <w:spacing w:after="0" w:line="147" w:lineRule="exact"/>
        <w:rPr>
          <w:sz w:val="20"/>
          <w:szCs w:val="20"/>
          <w:color w:val="auto"/>
        </w:rPr>
      </w:pPr>
    </w:p>
    <w:p>
      <w:pPr>
        <w:jc w:val="both"/>
        <w:ind w:left="1620" w:right="119"/>
        <w:spacing w:after="0" w:line="259" w:lineRule="auto"/>
        <w:rPr>
          <w:sz w:val="20"/>
          <w:szCs w:val="20"/>
          <w:color w:val="auto"/>
        </w:rPr>
      </w:pPr>
      <w:r>
        <w:rPr>
          <w:rFonts w:ascii="Arial" w:cs="Arial" w:eastAsia="Arial" w:hAnsi="Arial"/>
          <w:sz w:val="18"/>
          <w:szCs w:val="18"/>
          <w:color w:val="auto"/>
        </w:rPr>
        <w:t>Each share of Series A-1 Preferred automatically converts into Ordinary Shares at the then effective Series A-1 Conversion Price immediately upon or in connection with (1) the affirmative vote of the holders of a majority of the outstanding Series A-1 Preferred, or (2) the consummation of a Qualified IPO.</w:t>
      </w:r>
    </w:p>
    <w:p>
      <w:pPr>
        <w:spacing w:after="0" w:line="187"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Stock option plan: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Number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of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upon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4"/>
              </w:rPr>
              <w:t>exercise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exercise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price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40"/>
        </w:trPr>
        <w:tc>
          <w:tcPr>
            <w:tcW w:w="24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192,350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3,250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 w:type="dxa"/>
            <w:vAlign w:val="bottom"/>
            <w:vMerge w:val="restart"/>
          </w:tcPr>
          <w:p>
            <w:pPr>
              <w:spacing w:after="0"/>
              <w:rPr>
                <w:sz w:val="20"/>
                <w:szCs w:val="20"/>
                <w:color w:val="auto"/>
              </w:rPr>
            </w:pPr>
          </w:p>
        </w:tc>
        <w:tc>
          <w:tcPr>
            <w:tcW w:w="39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40" w:type="dxa"/>
            <w:vAlign w:val="bottom"/>
            <w:vMerge w:val="continue"/>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Outstanding as of September 30, 2014</w:t>
            </w:r>
          </w:p>
        </w:tc>
        <w:tc>
          <w:tcPr>
            <w:tcW w:w="960" w:type="dxa"/>
            <w:vAlign w:val="bottom"/>
          </w:tcPr>
          <w:p>
            <w:pPr>
              <w:jc w:val="right"/>
              <w:spacing w:after="0"/>
              <w:rPr>
                <w:sz w:val="20"/>
                <w:szCs w:val="20"/>
                <w:color w:val="auto"/>
              </w:rPr>
            </w:pPr>
            <w:r>
              <w:rPr>
                <w:rFonts w:ascii="Arial" w:cs="Arial" w:eastAsia="Arial" w:hAnsi="Arial"/>
                <w:sz w:val="18"/>
                <w:szCs w:val="18"/>
                <w:color w:val="auto"/>
              </w:rPr>
              <w:t>333,932</w:t>
            </w:r>
          </w:p>
        </w:tc>
        <w:tc>
          <w:tcPr>
            <w:tcW w:w="16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8.96</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0" w:type="dxa"/>
            <w:vAlign w:val="bottom"/>
            <w:vMerge w:val="restart"/>
          </w:tcPr>
          <w:p>
            <w:pPr>
              <w:spacing w:after="0"/>
              <w:rPr>
                <w:sz w:val="19"/>
                <w:szCs w:val="19"/>
                <w:color w:val="auto"/>
              </w:rPr>
            </w:pPr>
          </w:p>
        </w:tc>
        <w:tc>
          <w:tcPr>
            <w:tcW w:w="39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Exercisable as of December 31, 2013</w:t>
            </w:r>
          </w:p>
        </w:tc>
        <w:tc>
          <w:tcPr>
            <w:tcW w:w="960" w:type="dxa"/>
            <w:vAlign w:val="bottom"/>
          </w:tcPr>
          <w:p>
            <w:pPr>
              <w:jc w:val="right"/>
              <w:spacing w:after="0"/>
              <w:rPr>
                <w:sz w:val="20"/>
                <w:szCs w:val="20"/>
                <w:color w:val="auto"/>
              </w:rPr>
            </w:pPr>
            <w:r>
              <w:rPr>
                <w:rFonts w:ascii="Arial" w:cs="Arial" w:eastAsia="Arial" w:hAnsi="Arial"/>
                <w:sz w:val="18"/>
                <w:szCs w:val="18"/>
                <w:color w:val="auto"/>
              </w:rPr>
              <w:t>123,725</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December 31, 2013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174,534</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w:t>
            </w:r>
          </w:p>
        </w:tc>
        <w:tc>
          <w:tcPr>
            <w:tcW w:w="3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September 30, 2014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September 30, 2014</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291,874</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w:t>
            </w:r>
          </w:p>
        </w:tc>
        <w:tc>
          <w:tcPr>
            <w:tcW w:w="3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39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7"/>
              </w:rPr>
              <w:t>F-22</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-848360</wp:posOffset>
            </wp:positionV>
            <wp:extent cx="557403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4030" cy="163195"/>
                    </a:xfrm>
                    <a:prstGeom prst="rect">
                      <a:avLst/>
                    </a:prstGeom>
                    <a:noFill/>
                  </pic:spPr>
                </pic:pic>
              </a:graphicData>
            </a:graphic>
          </wp:anchor>
        </w:drawing>
      </w:r>
    </w:p>
    <w:p>
      <w:pPr>
        <w:sectPr>
          <w:pgSz w:w="11900" w:h="16838" w:orient="portrait"/>
          <w:cols w:equalWidth="0" w:num="1">
            <w:col w:w="9119"/>
          </w:cols>
          <w:pgMar w:left="1340" w:top="337" w:right="1440" w:bottom="1440" w:gutter="0" w:footer="0" w:header="0"/>
        </w:sectPr>
      </w:pPr>
    </w:p>
    <w:bookmarkStart w:id="142" w:name="page143"/>
    <w:bookmarkEnd w:id="14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9:-</w:t>
        <w:tab/>
        <w:t>SHAREHOLDERS’ EQUITY (Cont.)</w:t>
      </w:r>
    </w:p>
    <w:p>
      <w:pPr>
        <w:spacing w:after="0" w:line="229" w:lineRule="exact"/>
        <w:rPr>
          <w:sz w:val="20"/>
          <w:szCs w:val="20"/>
          <w:color w:val="auto"/>
        </w:rPr>
      </w:pPr>
    </w:p>
    <w:p>
      <w:pPr>
        <w:ind w:left="1520" w:right="119" w:hanging="369"/>
        <w:spacing w:after="0" w:line="277" w:lineRule="auto"/>
        <w:tabs>
          <w:tab w:leader="none" w:pos="14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December 31, 2013, $244 unrecognized compensation cost related to stock options is expected to be recognized over a weighted average vesting period of 2.13 years.</w:t>
      </w:r>
    </w:p>
    <w:p>
      <w:pPr>
        <w:spacing w:after="0" w:line="170"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As of September 30, 2014 $3,154 (unaudited) unrecognized compensation cost related to stock options is expected to be recognized over a weighted average vesting period of 3.34 years (unaudited).</w:t>
      </w:r>
    </w:p>
    <w:p>
      <w:pPr>
        <w:spacing w:after="0" w:line="181"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The options outstanding have been classified by exercise price,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Options outstanding</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Options exercisable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at December 31, 2013</w:t>
            </w:r>
          </w:p>
        </w:tc>
        <w:tc>
          <w:tcPr>
            <w:tcW w:w="8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at December 31, 2013</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remaining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4"/>
              </w:rPr>
              <w:t>exercise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contractual</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exercise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Exercise price</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price</w:t>
            </w:r>
          </w:p>
        </w:tc>
        <w:tc>
          <w:tcPr>
            <w:tcW w:w="3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price</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In years</w:t>
            </w:r>
          </w:p>
        </w:tc>
        <w:tc>
          <w:tcPr>
            <w:tcW w:w="90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4 – 5</w:t>
            </w:r>
          </w:p>
        </w:tc>
        <w:tc>
          <w:tcPr>
            <w:tcW w:w="880" w:type="dxa"/>
            <w:vAlign w:val="bottom"/>
          </w:tcPr>
          <w:p>
            <w:pPr>
              <w:jc w:val="right"/>
              <w:spacing w:after="0"/>
              <w:rPr>
                <w:sz w:val="20"/>
                <w:szCs w:val="20"/>
                <w:color w:val="auto"/>
              </w:rPr>
            </w:pPr>
            <w:r>
              <w:rPr>
                <w:rFonts w:ascii="Arial" w:cs="Arial" w:eastAsia="Arial" w:hAnsi="Arial"/>
                <w:sz w:val="18"/>
                <w:szCs w:val="18"/>
                <w:color w:val="auto"/>
              </w:rPr>
              <w:t>63,690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 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8.3 – 10.5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8.45</w:t>
            </w: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5.74</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8.30</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185,600</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123,725</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6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0"/>
              </w:rPr>
              <w:t>Options outstanding</w:t>
            </w: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8"/>
              </w:rPr>
              <w:t>Options exercisable</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at September 30, 2014</w:t>
            </w:r>
          </w:p>
        </w:tc>
        <w:tc>
          <w:tcPr>
            <w:tcW w:w="8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at September 30, 2014</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remaining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4"/>
              </w:rPr>
              <w:t>exercise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contractual</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exercise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Exercise price</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price</w:t>
            </w:r>
          </w:p>
        </w:tc>
        <w:tc>
          <w:tcPr>
            <w:tcW w:w="3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price</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In years</w:t>
            </w:r>
          </w:p>
        </w:tc>
        <w:tc>
          <w:tcPr>
            <w:tcW w:w="90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4 – 5</w:t>
            </w:r>
          </w:p>
        </w:tc>
        <w:tc>
          <w:tcPr>
            <w:tcW w:w="880" w:type="dxa"/>
            <w:vAlign w:val="bottom"/>
          </w:tcPr>
          <w:p>
            <w:pPr>
              <w:jc w:val="right"/>
              <w:spacing w:after="0"/>
              <w:rPr>
                <w:sz w:val="20"/>
                <w:szCs w:val="20"/>
                <w:color w:val="auto"/>
              </w:rPr>
            </w:pPr>
            <w:r>
              <w:rPr>
                <w:rFonts w:ascii="Arial" w:cs="Arial" w:eastAsia="Arial" w:hAnsi="Arial"/>
                <w:sz w:val="18"/>
                <w:szCs w:val="18"/>
                <w:color w:val="auto"/>
              </w:rPr>
              <w:t>63,690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 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8.3 – 10.5</w:t>
            </w:r>
          </w:p>
        </w:tc>
        <w:tc>
          <w:tcPr>
            <w:tcW w:w="880" w:type="dxa"/>
            <w:vAlign w:val="bottom"/>
          </w:tcPr>
          <w:p>
            <w:pPr>
              <w:jc w:val="right"/>
              <w:spacing w:after="0"/>
              <w:rPr>
                <w:sz w:val="20"/>
                <w:szCs w:val="20"/>
                <w:color w:val="auto"/>
              </w:rPr>
            </w:pPr>
            <w:r>
              <w:rPr>
                <w:rFonts w:ascii="Arial" w:cs="Arial" w:eastAsia="Arial" w:hAnsi="Arial"/>
                <w:sz w:val="18"/>
                <w:szCs w:val="18"/>
                <w:color w:val="auto"/>
              </w:rPr>
              <w:t>53,500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13.54 – 14.23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333,932</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148,975</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 October and November 2014, the Board of directors approved options grants to purchase 21,657</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(unaudited) and 37,863 (unaudited) shares, respectively, at an exercise price per share of $13.54</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ind w:left="1520" w:right="119" w:hanging="369"/>
        <w:spacing w:after="0" w:line="342" w:lineRule="auto"/>
        <w:tabs>
          <w:tab w:leader="none" w:pos="146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Company’s Board approved option plans pursuant to which the Company is authorized to issue to employees, directors and officers of the Company and its subsidiaries (the “optionees”) options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3" w:name="page144"/>
    <w:bookmarkEnd w:id="14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9:-</w:t>
        <w:tab/>
        <w:t>SHAREHOLDERS’ EQUITY (Cont.)</w:t>
      </w:r>
    </w:p>
    <w:p>
      <w:pPr>
        <w:spacing w:after="0" w:line="229"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purchase ordinary shares of NIS 0.01 par value each. Under the plans, options generally vest in portions as follows: 50% of total options are exercisable two years after the date determined for each optionee, a further 25% three years after the date determined for each optionee and a 25% four years after the date determined for each optionee. Options that have vested are exercisable for 7 years from the grant date of the options to each employee.</w:t>
      </w:r>
    </w:p>
    <w:p>
      <w:pPr>
        <w:spacing w:after="0" w:line="188"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Pursuant to the option plans, the Company reserved for issuance 219,590 ordinary shares. As of December 31, 2013, an aggregate of 33,990 ordinary shares were available for future grants. On July 10, 2014, the Board of Directors approved an increase in the ordinary shares reserved for issuance to 402,149 (unaudited) ordinary shares. As of September 30, 2014, an aggregate of 68,217 (unaudited) ordinary shares were available for future grants.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6"/>
                <w:szCs w:val="16"/>
                <w:b w:val="1"/>
                <w:bCs w:val="1"/>
                <w:color w:val="auto"/>
                <w:w w:val="94"/>
              </w:rPr>
              <w:t>Unaudited</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Numerator for basic and diluted net earnings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per share: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Weighted average shares outstanding, net of</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net earnings per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1,366,310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1,368,565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options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106,211</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141,380</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140,362</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Denominator for diluted net earnings per share</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1,472,521</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1,507,690</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1,506,672</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1,547,013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NOTE 11:- TAXES ON INCOME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80" w:type="dxa"/>
            <w:vAlign w:val="bottom"/>
          </w:tcPr>
          <w:p>
            <w:pPr>
              <w:ind w:left="1020"/>
              <w:spacing w:after="0"/>
              <w:rPr>
                <w:sz w:val="20"/>
                <w:szCs w:val="20"/>
                <w:color w:val="auto"/>
              </w:rPr>
            </w:pPr>
            <w:r>
              <w:rPr>
                <w:rFonts w:ascii="Arial" w:cs="Arial" w:eastAsia="Arial" w:hAnsi="Arial"/>
                <w:sz w:val="18"/>
                <w:szCs w:val="18"/>
                <w:color w:val="auto"/>
              </w:rPr>
              <w:t>a.  Tax rates: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Taxable income of the Israeli companies is subject to the Israeli corporate tax at the rate as follows: 2012 and 2013– 25%. Commencing January 1, 2014, the Israeli corporate tax rate was increased to 26.5%.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4" w:name="page145"/>
    <w:bookmarkEnd w:id="14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Tax benefits under the Law for the Encouragement of Capital Investments, 1959 (the “Law”):</w:t>
      </w:r>
    </w:p>
    <w:p>
      <w:pPr>
        <w:spacing w:after="0" w:line="225" w:lineRule="exact"/>
        <w:rPr>
          <w:sz w:val="20"/>
          <w:szCs w:val="20"/>
          <w:color w:val="auto"/>
        </w:rPr>
      </w:pPr>
    </w:p>
    <w:p>
      <w:pPr>
        <w:jc w:val="both"/>
        <w:ind w:left="1520" w:right="119"/>
        <w:spacing w:after="0" w:line="286" w:lineRule="auto"/>
        <w:rPr>
          <w:sz w:val="20"/>
          <w:szCs w:val="20"/>
          <w:color w:val="auto"/>
        </w:rPr>
      </w:pPr>
      <w:r>
        <w:rPr>
          <w:rFonts w:ascii="Arial" w:cs="Arial" w:eastAsia="Arial" w:hAnsi="Arial"/>
          <w:sz w:val="17"/>
          <w:szCs w:val="17"/>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66"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duration of tax benefits is subject to a limitation of the earlier of 12 years from commencement of production, or 14 years from the approval date. The Companies began to utilize such tax benefits in 2010.</w:t>
      </w:r>
    </w:p>
    <w:p>
      <w:pPr>
        <w:spacing w:after="0" w:line="181"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adjustments and including interest.</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Income from sources other than the “Beneficiary Enterprise” are subject to the tax at the regular rate.</w:t>
      </w:r>
    </w:p>
    <w:p>
      <w:pPr>
        <w:spacing w:after="0" w:line="248"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81"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In addition tax-exempt income attributed to Benefiting Enterprise, will subject the Company to taxes upon distribution in any manner including complete liquidation.</w:t>
      </w:r>
    </w:p>
    <w:p>
      <w:pPr>
        <w:spacing w:after="0" w:line="170"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The Company does not intend to distribute any amounts of its undistributed tax-exempt income as dividend. The Company intends to reinvest its tax-exempt income and not to distribute such income as a dividend. Accordingly, no deferred income taxes have been provided on income attributable to the Company’s Beneficiary Enterprise programs as the undistributed tax exempt income is essentially permanent by reinvestment.</w:t>
      </w:r>
    </w:p>
    <w:p>
      <w:pPr>
        <w:spacing w:after="0" w:line="188" w:lineRule="exact"/>
        <w:rPr>
          <w:sz w:val="20"/>
          <w:szCs w:val="20"/>
          <w:color w:val="auto"/>
        </w:rPr>
      </w:pPr>
    </w:p>
    <w:p>
      <w:pPr>
        <w:jc w:val="both"/>
        <w:ind w:left="1520" w:right="119"/>
        <w:spacing w:after="0" w:line="259" w:lineRule="auto"/>
        <w:rPr>
          <w:sz w:val="20"/>
          <w:szCs w:val="20"/>
          <w:color w:val="auto"/>
        </w:rPr>
      </w:pPr>
      <w:r>
        <w:rPr>
          <w:rFonts w:ascii="Arial" w:cs="Arial" w:eastAsia="Arial" w:hAnsi="Arial"/>
          <w:sz w:val="18"/>
          <w:szCs w:val="18"/>
          <w:color w:val="auto"/>
        </w:rPr>
        <w:t>As of December 31, 2013, tax-exempt income of $22,600 is attributable to the Company’s and its subsidiary’s various Beneficiary Enterprise programs. If such tax exempt income is distributed, it would be taxed at the reduced corporate tax rate applicable to such income, and $5,655 would be incurred as of December 31, 2013.</w:t>
      </w:r>
    </w:p>
    <w:p>
      <w:pPr>
        <w:spacing w:after="0" w:line="187"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188" w:lineRule="exact"/>
        <w:rPr>
          <w:sz w:val="20"/>
          <w:szCs w:val="20"/>
          <w:color w:val="auto"/>
        </w:rPr>
      </w:pPr>
    </w:p>
    <w:p>
      <w:pPr>
        <w:jc w:val="both"/>
        <w:ind w:left="1520" w:right="119"/>
        <w:spacing w:after="0" w:line="285" w:lineRule="auto"/>
        <w:rPr>
          <w:sz w:val="20"/>
          <w:szCs w:val="20"/>
          <w:color w:val="auto"/>
        </w:rPr>
      </w:pPr>
      <w:r>
        <w:rPr>
          <w:rFonts w:ascii="Arial" w:cs="Arial" w:eastAsia="Arial" w:hAnsi="Arial"/>
          <w:sz w:val="16"/>
          <w:szCs w:val="16"/>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w:t>
      </w:r>
    </w:p>
    <w:p>
      <w:pPr>
        <w:spacing w:after="0" w:line="2" w:lineRule="exact"/>
        <w:rPr>
          <w:sz w:val="20"/>
          <w:szCs w:val="20"/>
          <w:color w:val="auto"/>
        </w:rPr>
      </w:pPr>
    </w:p>
    <w:p>
      <w:pPr>
        <w:jc w:val="both"/>
        <w:ind w:left="1520" w:right="119" w:firstLine="9"/>
        <w:spacing w:after="0" w:line="254" w:lineRule="auto"/>
        <w:tabs>
          <w:tab w:leader="none" w:pos="1797" w:val="left"/>
        </w:tabs>
        <w:numPr>
          <w:ilvl w:val="0"/>
          <w:numId w:val="91"/>
        </w:numPr>
        <w:rPr>
          <w:rFonts w:ascii="Arial" w:cs="Arial" w:eastAsia="Arial" w:hAnsi="Arial"/>
          <w:sz w:val="18"/>
          <w:szCs w:val="18"/>
          <w:color w:val="auto"/>
        </w:rPr>
      </w:pPr>
      <w:r>
        <w:rPr>
          <w:rFonts w:ascii="Arial" w:cs="Arial" w:eastAsia="Arial" w:hAnsi="Arial"/>
          <w:sz w:val="18"/>
          <w:szCs w:val="18"/>
          <w:color w:val="auto"/>
        </w:rPr>
        <w:t>was registered under the Partnerships Ordinance; (b) all of its limited partners are companies incorporated in Israel, but not all of them are governmental entities, which, among other things, has Preferred Enterprise status and are controlled and managed from Israel. Pursuant to the 2011 Amendment, a Preferred Company is entitled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5" w:name="page146"/>
    <w:bookmarkEnd w:id="14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jc w:val="both"/>
        <w:ind w:left="1520" w:right="119"/>
        <w:spacing w:after="0" w:line="291" w:lineRule="auto"/>
        <w:rPr>
          <w:sz w:val="20"/>
          <w:szCs w:val="20"/>
          <w:color w:val="auto"/>
        </w:rPr>
      </w:pPr>
      <w:r>
        <w:rPr>
          <w:rFonts w:ascii="Arial" w:cs="Arial" w:eastAsia="Arial" w:hAnsi="Arial"/>
          <w:sz w:val="16"/>
          <w:szCs w:val="16"/>
          <w:color w:val="auto"/>
        </w:rPr>
        <w:t>to a reduced corporate flat tax rate of 15% with respect to its preferred income derived by its Preferred Enterprise in 2011-2012, unless the Preferred Enterprise is located in a certain development zone, in which case the rate will be 10%. Such corporate tax rate will be reduced to 12.5% and 7%, respectively, in 2013 and will increase to 16% and 9% in 2014 and thereafter.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67" w:lineRule="exact"/>
        <w:rPr>
          <w:sz w:val="20"/>
          <w:szCs w:val="20"/>
          <w:color w:val="auto"/>
        </w:rPr>
      </w:pPr>
    </w:p>
    <w:p>
      <w:pPr>
        <w:jc w:val="both"/>
        <w:ind w:left="1520" w:right="119"/>
        <w:spacing w:after="0" w:line="259"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the rate of 15% (20% from 2014) or such lower rate as may be provided in an applicable tax treaty. However, if such dividends are paid to an Israeli company, no tax will be withheld.</w:t>
      </w:r>
    </w:p>
    <w:p>
      <w:pPr>
        <w:spacing w:after="0" w:line="187" w:lineRule="exact"/>
        <w:rPr>
          <w:sz w:val="20"/>
          <w:szCs w:val="20"/>
          <w:color w:val="auto"/>
        </w:rPr>
      </w:pPr>
    </w:p>
    <w:p>
      <w:pPr>
        <w:jc w:val="both"/>
        <w:ind w:left="1520" w:right="119"/>
        <w:spacing w:after="0" w:line="290" w:lineRule="auto"/>
        <w:rPr>
          <w:sz w:val="20"/>
          <w:szCs w:val="20"/>
          <w:color w:val="auto"/>
        </w:rPr>
      </w:pPr>
      <w:r>
        <w:rPr>
          <w:rFonts w:ascii="Arial" w:cs="Arial" w:eastAsia="Arial" w:hAnsi="Arial"/>
          <w:sz w:val="16"/>
          <w:szCs w:val="16"/>
          <w:color w:val="auto"/>
        </w:rPr>
        <w:t>The 2011 Amendment also provided transitional provisions to address companies already enjoying current benefits. a Beneficiary Enterprise can elect to continue to benefit from the benefits provided to it before the 2011 Amendment came into effect, provided that certain conditions are met, or file a request with the Israeli Tax Authority according to which its income derived as of January 1, 2011 will be subject to the provisions of the Law as amended in 2011. The Company has examined the possible effect, of these provisions of the 2011 Amendment on its financial statements and has decided, not to opt to apply the new benefits under the 2011 Amendment for the Israeli parent company and for its Israeli subsidiary it elected to apply the benefit under the 2011 Amendment.</w:t>
      </w:r>
    </w:p>
    <w:p>
      <w:pPr>
        <w:spacing w:after="0" w:line="16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Tax benefits under the Israeli Law for the Encouragement of Industry (Taxation), 1969:</w:t>
      </w:r>
    </w:p>
    <w:p>
      <w:pPr>
        <w:spacing w:after="0" w:line="225" w:lineRule="exact"/>
        <w:rPr>
          <w:sz w:val="20"/>
          <w:szCs w:val="20"/>
          <w:color w:val="auto"/>
        </w:rPr>
      </w:pPr>
    </w:p>
    <w:p>
      <w:pPr>
        <w:jc w:val="both"/>
        <w:ind w:left="1520" w:right="119"/>
        <w:spacing w:after="0" w:line="279" w:lineRule="auto"/>
        <w:rPr>
          <w:sz w:val="20"/>
          <w:szCs w:val="20"/>
          <w:color w:val="auto"/>
        </w:rPr>
      </w:pPr>
      <w:r>
        <w:rPr>
          <w:rFonts w:ascii="Arial" w:cs="Arial" w:eastAsia="Arial" w:hAnsi="Arial"/>
          <w:sz w:val="17"/>
          <w:szCs w:val="17"/>
          <w:color w:val="auto"/>
        </w:rPr>
        <w:t>The Israeli Companies are an “Industrial Company” as defined by the Israeli Law for the Encouragement of Industry (Taxation), 1969, and, as such, are entitled to certain tax benefits including accelerated depreciation, deduction of public offering expenses in three equal annual installments and amortization of other intangible property rights for tax purposes.</w:t>
      </w:r>
    </w:p>
    <w:p>
      <w:pPr>
        <w:spacing w:after="0" w:line="171"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Income taxes of non-Israeli subsidiaries: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Non-Israeli subsidiaries are taxed according to the tax laws in their respective countries of residence.</w:t>
      </w:r>
    </w:p>
    <w:p>
      <w:pPr>
        <w:spacing w:after="0" w:line="248" w:lineRule="exact"/>
        <w:rPr>
          <w:sz w:val="20"/>
          <w:szCs w:val="20"/>
          <w:color w:val="auto"/>
        </w:rPr>
      </w:pPr>
    </w:p>
    <w:p>
      <w:pPr>
        <w:jc w:val="both"/>
        <w:ind w:left="1520" w:right="119"/>
        <w:spacing w:after="0" w:line="255" w:lineRule="auto"/>
        <w:rPr>
          <w:sz w:val="20"/>
          <w:szCs w:val="20"/>
          <w:color w:val="auto"/>
        </w:rPr>
      </w:pPr>
      <w:r>
        <w:rPr>
          <w:rFonts w:ascii="Arial" w:cs="Arial" w:eastAsia="Arial" w:hAnsi="Arial"/>
          <w:sz w:val="18"/>
          <w:szCs w:val="18"/>
          <w:color w:val="auto"/>
        </w:rPr>
        <w:t>Taxes were not provided for undistributed earnings of the Company’s foreign subsidiaries. The Company’s board of directors has determined that the Company does not currently intend to distribute any amounts 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89"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The amount of undistributed earnings of foreign subsidiaries that are considered to be reinvested as of December 31, 2013 was $1,072.</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5"/>
          <w:szCs w:val="15"/>
          <w:color w:val="auto"/>
        </w:rPr>
        <w:t>Final tax assessments: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Company and its Israeli subsidiary received final tax assessments through 2008.</w:t>
      </w:r>
    </w:p>
    <w:p>
      <w:pPr>
        <w:spacing w:after="0" w:line="225"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The U.S subsidiary received final tax assessment through 2009 and the German and the Hong Kong Subsidiaries have not received a final tax assessment since inception.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6" w:name="page147"/>
    <w:bookmarkEnd w:id="14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Carryforward losses:</w:t>
      </w:r>
    </w:p>
    <w:p>
      <w:pPr>
        <w:spacing w:after="0" w:line="225" w:lineRule="exact"/>
        <w:rPr>
          <w:sz w:val="20"/>
          <w:szCs w:val="20"/>
          <w:color w:val="auto"/>
        </w:rPr>
      </w:pPr>
    </w:p>
    <w:p>
      <w:pPr>
        <w:ind w:left="1520" w:right="119"/>
        <w:spacing w:after="0" w:line="277" w:lineRule="auto"/>
        <w:rPr>
          <w:sz w:val="20"/>
          <w:szCs w:val="20"/>
          <w:color w:val="auto"/>
        </w:rPr>
      </w:pPr>
      <w:r>
        <w:rPr>
          <w:rFonts w:ascii="Arial" w:cs="Arial" w:eastAsia="Arial" w:hAnsi="Arial"/>
          <w:sz w:val="18"/>
          <w:szCs w:val="18"/>
          <w:color w:val="auto"/>
        </w:rPr>
        <w:t>Carryforward operating tax losses of the Company’s Israeli subsidiary amounted to $ 9,447 as of December 31, 2013 and may be used indefinitely.</w:t>
      </w:r>
    </w:p>
    <w:p>
      <w:pPr>
        <w:spacing w:after="0" w:line="170" w:lineRule="exact"/>
        <w:rPr>
          <w:sz w:val="20"/>
          <w:szCs w:val="20"/>
          <w:color w:val="auto"/>
        </w:rPr>
      </w:pPr>
    </w:p>
    <w:p>
      <w:pPr>
        <w:ind w:left="1480" w:hanging="329"/>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sz w:val="20"/>
          <w:szCs w:val="20"/>
          <w:color w:val="auto"/>
        </w:rPr>
      </w:pPr>
    </w:p>
    <w:p>
      <w:pPr>
        <w:jc w:val="both"/>
        <w:ind w:left="1520" w:right="119"/>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Carryforward tax losses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Temporary differences</w:t>
            </w:r>
          </w:p>
        </w:tc>
        <w:tc>
          <w:tcPr>
            <w:tcW w:w="1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760" w:type="dxa"/>
            <w:vAlign w:val="bottom"/>
            <w:gridSpan w:val="9"/>
          </w:tcPr>
          <w:p>
            <w:pPr>
              <w:ind w:left="1380"/>
              <w:spacing w:after="0"/>
              <w:rPr>
                <w:sz w:val="20"/>
                <w:szCs w:val="20"/>
                <w:color w:val="auto"/>
              </w:rPr>
            </w:pPr>
            <w:r>
              <w:rPr>
                <w:rFonts w:ascii="Arial" w:cs="Arial" w:eastAsia="Arial" w:hAnsi="Arial"/>
                <w:sz w:val="18"/>
                <w:szCs w:val="18"/>
                <w:color w:val="auto"/>
                <w:w w:val="94"/>
              </w:rPr>
              <w:t>The net change in the valuation allowance was mainly due to increase of operating tax losses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gridSpan w:val="5"/>
          </w:tcPr>
          <w:p>
            <w:pPr>
              <w:ind w:left="1380"/>
              <w:spacing w:after="0"/>
              <w:rPr>
                <w:sz w:val="20"/>
                <w:szCs w:val="20"/>
                <w:color w:val="auto"/>
              </w:rPr>
            </w:pPr>
            <w:r>
              <w:rPr>
                <w:rFonts w:ascii="Arial" w:cs="Arial" w:eastAsia="Arial" w:hAnsi="Arial"/>
                <w:sz w:val="18"/>
                <w:szCs w:val="18"/>
                <w:color w:val="auto"/>
              </w:rPr>
              <w:t>other temporary items for which a valuation allowance was provided.</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Current deferred tax asset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deferred tax liability</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right="119"/>
        <w:spacing w:after="0" w:line="277" w:lineRule="auto"/>
        <w:rPr>
          <w:sz w:val="20"/>
          <w:szCs w:val="20"/>
          <w:color w:val="auto"/>
        </w:rPr>
      </w:pPr>
      <w:r>
        <w:rPr>
          <w:rFonts w:ascii="Arial" w:cs="Arial" w:eastAsia="Arial" w:hAnsi="Arial"/>
          <w:sz w:val="18"/>
          <w:szCs w:val="18"/>
          <w:color w:val="auto"/>
        </w:rPr>
        <w:t>Current deferred tax asset is included within other current assets and prepaid expenses in the balance sheets.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7" w:name="page148"/>
    <w:bookmarkEnd w:id="14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Taxes on income are comprised as follows:</w:t>
      </w:r>
    </w:p>
    <w:p>
      <w:pPr>
        <w:spacing w:after="0" w:line="172"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15875</wp:posOffset>
            </wp:positionV>
            <wp:extent cx="17837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Deferred taxes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45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3"/>
                <w:szCs w:val="2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Domestic</w:t>
            </w:r>
          </w:p>
        </w:tc>
        <w:tc>
          <w:tcPr>
            <w:tcW w:w="4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6"/>
              </w:rPr>
              <w:t>Domestic taxes:</w:t>
            </w:r>
          </w:p>
        </w:tc>
        <w:tc>
          <w:tcPr>
            <w:tcW w:w="4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47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80" w:type="dxa"/>
            <w:vAlign w:val="bottom"/>
            <w:gridSpan w:val="2"/>
          </w:tcPr>
          <w:p>
            <w:pPr>
              <w:spacing w:after="0"/>
              <w:rPr>
                <w:sz w:val="20"/>
                <w:szCs w:val="20"/>
                <w:color w:val="auto"/>
              </w:rPr>
            </w:pPr>
            <w:r>
              <w:rPr>
                <w:rFonts w:ascii="Arial" w:cs="Arial" w:eastAsia="Arial" w:hAnsi="Arial"/>
                <w:sz w:val="18"/>
                <w:szCs w:val="18"/>
                <w:color w:val="auto"/>
              </w:rPr>
              <w:t>Foreign taxes:</w:t>
            </w: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Current taxes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0"/>
              </w:rPr>
              <w:t>Taxes on income</w:t>
            </w: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h.</w:t>
            </w:r>
          </w:p>
        </w:tc>
        <w:tc>
          <w:tcPr>
            <w:tcW w:w="4780" w:type="dxa"/>
            <w:vAlign w:val="bottom"/>
            <w:gridSpan w:val="2"/>
          </w:tcPr>
          <w:p>
            <w:pPr>
              <w:jc w:val="right"/>
              <w:ind w:right="3000"/>
              <w:spacing w:after="0"/>
              <w:rPr>
                <w:sz w:val="20"/>
                <w:szCs w:val="20"/>
                <w:color w:val="auto"/>
              </w:rPr>
            </w:pPr>
            <w:r>
              <w:rPr>
                <w:rFonts w:ascii="Arial" w:cs="Arial" w:eastAsia="Arial" w:hAnsi="Arial"/>
                <w:sz w:val="18"/>
                <w:szCs w:val="18"/>
                <w:color w:val="auto"/>
                <w:w w:val="94"/>
              </w:rPr>
              <w:t>Uncertain tax positions: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 reconciliation of the beginning and ending amount of gross unrecognized tax benefits is as follows:</w:t>
      </w:r>
    </w:p>
    <w:p>
      <w:pPr>
        <w:spacing w:after="0" w:line="195"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15875</wp:posOffset>
            </wp:positionV>
            <wp:extent cx="17837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Additions for current year tax positions</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right="119"/>
        <w:spacing w:after="0" w:line="277" w:lineRule="auto"/>
        <w:rPr>
          <w:sz w:val="20"/>
          <w:szCs w:val="20"/>
          <w:color w:val="auto"/>
        </w:rPr>
      </w:pPr>
      <w:r>
        <w:rPr>
          <w:rFonts w:ascii="Arial" w:cs="Arial" w:eastAsia="Arial" w:hAnsi="Arial"/>
          <w:sz w:val="18"/>
          <w:szCs w:val="18"/>
          <w:color w:val="auto"/>
        </w:rPr>
        <w:t>The Company’s Israeli tax returns have been examined for all years including and prior to fiscal 2009, and the Company is no longer subject to audit for these periods.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8" w:name="page149"/>
    <w:bookmarkEnd w:id="14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Company’s U.S subsidiary files U.S. federal income tax returns. Tax returns have been examined for all years prior to fiscal 2010, and the Company’s U.S subsidiary is no longer subject to audit for these periods.</w:t>
      </w:r>
    </w:p>
    <w:p>
      <w:pPr>
        <w:spacing w:after="0" w:line="181"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As of December 31, 2013, the entire amount of the unrecognized tax benefits could affect the Company’s income tax provision and the effective tax rate.</w:t>
      </w:r>
    </w:p>
    <w:p>
      <w:pPr>
        <w:spacing w:after="0" w:line="130" w:lineRule="exact"/>
        <w:rPr>
          <w:sz w:val="20"/>
          <w:szCs w:val="20"/>
          <w:color w:val="auto"/>
        </w:rPr>
      </w:pPr>
    </w:p>
    <w:p>
      <w:pPr>
        <w:jc w:val="both"/>
        <w:ind w:left="1520" w:right="119"/>
        <w:spacing w:after="0" w:line="276" w:lineRule="auto"/>
        <w:rPr>
          <w:sz w:val="20"/>
          <w:szCs w:val="20"/>
          <w:color w:val="auto"/>
        </w:rPr>
      </w:pPr>
      <w:r>
        <w:rPr>
          <w:rFonts w:ascii="Arial" w:cs="Arial" w:eastAsia="Arial" w:hAnsi="Arial"/>
          <w:sz w:val="17"/>
          <w:szCs w:val="17"/>
          <w:color w:val="auto"/>
        </w:rPr>
        <w:t>During the years ended December 31, 2012 and 2013, an amount of $0 and $75, respectively, was add to the unrecognized tax benefits derived from interest and exchange rate differences expenses related to prior years’ uncertain tax positions. As of December 31, 2012 and 2013, the Company had accrued interest liability related to uncertain tax positions in the amounts of $0 and $33 respectively, which is included within income tax accrual on the balance sheets.</w:t>
      </w:r>
    </w:p>
    <w:p>
      <w:pPr>
        <w:spacing w:after="0" w:line="146" w:lineRule="exact"/>
        <w:rPr>
          <w:sz w:val="20"/>
          <w:szCs w:val="20"/>
          <w:color w:val="auto"/>
        </w:rPr>
      </w:pPr>
    </w:p>
    <w:p>
      <w:pPr>
        <w:jc w:val="both"/>
        <w:ind w:left="1520" w:right="119"/>
        <w:spacing w:after="0" w:line="277" w:lineRule="auto"/>
        <w:rPr>
          <w:sz w:val="20"/>
          <w:szCs w:val="20"/>
          <w:color w:val="auto"/>
        </w:rPr>
      </w:pPr>
      <w:r>
        <w:rPr>
          <w:rFonts w:ascii="Arial" w:cs="Arial" w:eastAsia="Arial" w:hAnsi="Arial"/>
          <w:sz w:val="18"/>
          <w:szCs w:val="18"/>
          <w:color w:val="auto"/>
        </w:rPr>
        <w:t>Exchange rate differences are recorded within financial income, net, while interest is recorded within income tax expense.</w:t>
      </w:r>
    </w:p>
    <w:p>
      <w:pPr>
        <w:spacing w:after="0" w:line="130" w:lineRule="exact"/>
        <w:rPr>
          <w:sz w:val="20"/>
          <w:szCs w:val="20"/>
          <w:color w:val="auto"/>
        </w:rPr>
      </w:pPr>
    </w:p>
    <w:p>
      <w:pPr>
        <w:jc w:val="both"/>
        <w:ind w:left="1520" w:right="119"/>
        <w:spacing w:after="0" w:line="257"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48" w:lineRule="exact"/>
        <w:rPr>
          <w:sz w:val="20"/>
          <w:szCs w:val="20"/>
          <w:color w:val="auto"/>
        </w:rPr>
      </w:pPr>
    </w:p>
    <w:p>
      <w:pPr>
        <w:jc w:val="both"/>
        <w:ind w:left="1520" w:right="119" w:hanging="369"/>
        <w:spacing w:after="0" w:line="264" w:lineRule="auto"/>
        <w:tabs>
          <w:tab w:leader="none" w:pos="14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55"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15875</wp:posOffset>
            </wp:positionV>
            <wp:extent cx="17837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before taxes, as reported in the consolidated statements of income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2"/>
              </w:rPr>
              <w:t>Theoretical tax expense on the above amount at the Israeli statutory tax rate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adjustment in respect of different tax rate of foreign subsidiary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 permanent differences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w w:val="91"/>
              </w:rPr>
              <w:t>Deferred taxes on losses and other temporary differences for which valuation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allowance was provided, net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relating to stock options per ASC No. 718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Benefiticiary enterprise benefits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Basic earnings per share amounts of the benefit resulting from the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“Beneficiary Enterprise” status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9"/>
              </w:rPr>
              <w:t>Diluted earnings per share amounts of the benefit resulting from the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“Beneficiary Enterprise” status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4240"/>
              <w:spacing w:after="0"/>
              <w:rPr>
                <w:sz w:val="20"/>
                <w:szCs w:val="20"/>
                <w:color w:val="auto"/>
              </w:rPr>
            </w:pPr>
            <w:r>
              <w:rPr>
                <w:rFonts w:ascii="Arial" w:cs="Arial" w:eastAsia="Arial" w:hAnsi="Arial"/>
                <w:sz w:val="14"/>
                <w:szCs w:val="14"/>
                <w:color w:val="auto"/>
              </w:rPr>
              <w:t>F-29</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6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49" w:name="page150"/>
    <w:bookmarkEnd w:id="14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GEOGRAPHIC INFOROMATION</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Summary information about geographic areas:</w:t>
      </w:r>
    </w:p>
    <w:p>
      <w:pPr>
        <w:spacing w:after="0" w:line="225"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Company operates in one reportable segment (see Note 1 for a brief description of the Company’s business). The total revenues are attributed to geographic areas based on the location of the end-users.</w:t>
      </w:r>
    </w:p>
    <w:p>
      <w:pPr>
        <w:spacing w:after="0" w:line="181" w:lineRule="exact"/>
        <w:rPr>
          <w:sz w:val="20"/>
          <w:szCs w:val="20"/>
          <w:color w:val="auto"/>
        </w:rPr>
      </w:pPr>
    </w:p>
    <w:p>
      <w:pPr>
        <w:jc w:val="both"/>
        <w:ind w:left="1520" w:right="119"/>
        <w:spacing w:after="0" w:line="342" w:lineRule="auto"/>
        <w:rPr>
          <w:sz w:val="20"/>
          <w:szCs w:val="20"/>
          <w:color w:val="auto"/>
        </w:rPr>
      </w:pPr>
      <w:r>
        <w:rPr>
          <w:rFonts w:ascii="Arial" w:cs="Arial" w:eastAsia="Arial" w:hAnsi="Arial"/>
          <w:sz w:val="16"/>
          <w:szCs w:val="16"/>
          <w:color w:val="auto"/>
        </w:rPr>
        <w:t>The following table presents total revenues and long-lived assets for the years ended December 31, 2012 and 2013 and for the nine months ended September 30, 2013 (unaudited) and 2014 (unaudited).</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0"/>
              </w:rPr>
              <w:t>Year ended</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sales to customers located at:</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United States</w:t>
            </w:r>
          </w:p>
        </w:tc>
        <w:tc>
          <w:tcPr>
            <w:tcW w:w="2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14,877</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rPr>
              <w:t>America (non-U.S.)</w:t>
            </w:r>
          </w:p>
        </w:tc>
        <w:tc>
          <w:tcPr>
            <w:tcW w:w="740" w:type="dxa"/>
            <w:vAlign w:val="bottom"/>
          </w:tcPr>
          <w:p>
            <w:pPr>
              <w:jc w:val="right"/>
              <w:spacing w:after="0"/>
              <w:rPr>
                <w:sz w:val="20"/>
                <w:szCs w:val="20"/>
                <w:color w:val="auto"/>
              </w:rPr>
            </w:pPr>
            <w:r>
              <w:rPr>
                <w:rFonts w:ascii="Arial" w:cs="Arial" w:eastAsia="Arial" w:hAnsi="Arial"/>
                <w:sz w:val="18"/>
                <w:szCs w:val="18"/>
                <w:color w:val="auto"/>
              </w:rPr>
              <w:t>5,230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rPr>
              <w:t>Asia Pacific – other</w:t>
            </w:r>
          </w:p>
        </w:tc>
        <w:tc>
          <w:tcPr>
            <w:tcW w:w="740" w:type="dxa"/>
            <w:vAlign w:val="bottom"/>
          </w:tcPr>
          <w:p>
            <w:pPr>
              <w:jc w:val="right"/>
              <w:spacing w:after="0"/>
              <w:rPr>
                <w:sz w:val="20"/>
                <w:szCs w:val="20"/>
                <w:color w:val="auto"/>
              </w:rPr>
            </w:pPr>
            <w:r>
              <w:rPr>
                <w:rFonts w:ascii="Arial" w:cs="Arial" w:eastAsia="Arial" w:hAnsi="Arial"/>
                <w:sz w:val="18"/>
                <w:szCs w:val="18"/>
                <w:color w:val="auto"/>
              </w:rPr>
              <w:t>5,130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7,884</w:t>
            </w: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27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39,167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49,395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34,185</w:t>
            </w:r>
          </w:p>
        </w:tc>
        <w:tc>
          <w:tcPr>
            <w:tcW w:w="28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0"/>
              </w:rPr>
              <w:t>Year ended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Long-lived assets, by geographic region:</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96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United States</w:t>
            </w:r>
          </w:p>
        </w:tc>
        <w:tc>
          <w:tcPr>
            <w:tcW w:w="2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Israel</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Hong Kong</w:t>
            </w:r>
          </w:p>
        </w:tc>
        <w:tc>
          <w:tcPr>
            <w:tcW w:w="2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2,236</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2,653</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2,442</w:t>
            </w:r>
          </w:p>
        </w:tc>
        <w:tc>
          <w:tcPr>
            <w:tcW w:w="28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3,256</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40" w:type="dxa"/>
            <w:vAlign w:val="bottom"/>
          </w:tcPr>
          <w:p>
            <w:pPr>
              <w:ind w:left="1020"/>
              <w:spacing w:after="0"/>
              <w:rPr>
                <w:sz w:val="20"/>
                <w:szCs w:val="20"/>
                <w:color w:val="auto"/>
              </w:rPr>
            </w:pPr>
            <w:r>
              <w:rPr>
                <w:rFonts w:ascii="Arial" w:cs="Arial" w:eastAsia="Arial" w:hAnsi="Arial"/>
                <w:sz w:val="18"/>
                <w:szCs w:val="18"/>
                <w:color w:val="auto"/>
              </w:rPr>
              <w:t>b.</w:t>
            </w:r>
          </w:p>
        </w:tc>
        <w:tc>
          <w:tcPr>
            <w:tcW w:w="4260" w:type="dxa"/>
            <w:vAlign w:val="bottom"/>
            <w:gridSpan w:val="5"/>
          </w:tcPr>
          <w:p>
            <w:pPr>
              <w:jc w:val="right"/>
              <w:ind w:right="40"/>
              <w:spacing w:after="0"/>
              <w:rPr>
                <w:sz w:val="20"/>
                <w:szCs w:val="20"/>
                <w:color w:val="auto"/>
              </w:rPr>
            </w:pPr>
            <w:r>
              <w:rPr>
                <w:rFonts w:ascii="Arial" w:cs="Arial" w:eastAsia="Arial" w:hAnsi="Arial"/>
                <w:sz w:val="18"/>
                <w:szCs w:val="18"/>
                <w:color w:val="auto"/>
                <w:w w:val="91"/>
              </w:rPr>
              <w:t>Major Distributors data as a percentage of total revenues: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2" w:lineRule="exact"/>
        <w:rPr>
          <w:sz w:val="20"/>
          <w:szCs w:val="20"/>
          <w:color w:val="auto"/>
        </w:rPr>
      </w:pPr>
    </w:p>
    <w:p>
      <w:pPr>
        <w:ind w:left="1520" w:right="119"/>
        <w:spacing w:after="0" w:line="277" w:lineRule="auto"/>
        <w:rPr>
          <w:sz w:val="20"/>
          <w:szCs w:val="20"/>
          <w:color w:val="auto"/>
        </w:rPr>
      </w:pPr>
      <w:r>
        <w:rPr>
          <w:rFonts w:ascii="Arial" w:cs="Arial" w:eastAsia="Arial" w:hAnsi="Arial"/>
          <w:sz w:val="18"/>
          <w:szCs w:val="18"/>
          <w:color w:val="auto"/>
        </w:rPr>
        <w:t>The following table sets forth the Distributors that represented 10% or more of the Company’s total revenues in each of the periods set forth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0"/>
              </w:rPr>
              <w:t>Year ended</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900" w:type="dxa"/>
            <w:vAlign w:val="bottom"/>
            <w:tcBorders>
              <w:bottom w:val="single" w:sz="8" w:color="auto"/>
            </w:tcBorders>
            <w:gridSpan w:val="4"/>
          </w:tcPr>
          <w:p>
            <w:pPr>
              <w:jc w:val="center"/>
              <w:ind w:left="163"/>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2012</w:t>
            </w:r>
          </w:p>
        </w:tc>
        <w:tc>
          <w:tcPr>
            <w:tcW w:w="12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ind w:right="776"/>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jc w:val="right"/>
              <w:ind w:right="213"/>
              <w:spacing w:after="0"/>
              <w:rPr>
                <w:sz w:val="20"/>
                <w:szCs w:val="20"/>
                <w:color w:val="auto"/>
              </w:rPr>
            </w:pPr>
            <w:r>
              <w:rPr>
                <w:rFonts w:ascii="Arial" w:cs="Arial" w:eastAsia="Arial" w:hAnsi="Arial"/>
                <w:sz w:val="16"/>
                <w:szCs w:val="16"/>
                <w:b w:val="1"/>
                <w:bCs w:val="1"/>
                <w:color w:val="auto"/>
                <w:w w:val="95"/>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center"/>
              <w:ind w:left="576"/>
              <w:spacing w:after="0"/>
              <w:rPr>
                <w:sz w:val="20"/>
                <w:szCs w:val="20"/>
                <w:color w:val="auto"/>
              </w:rPr>
            </w:pPr>
            <w:r>
              <w:rPr>
                <w:rFonts w:ascii="Arial" w:cs="Arial" w:eastAsia="Arial" w:hAnsi="Arial"/>
                <w:sz w:val="16"/>
                <w:szCs w:val="16"/>
                <w:b w:val="1"/>
                <w:bCs w:val="1"/>
                <w:color w:val="auto"/>
                <w:w w:val="94"/>
              </w:rPr>
              <w:t>Unaudited</w:t>
            </w:r>
          </w:p>
        </w:tc>
        <w:tc>
          <w:tcPr>
            <w:tcW w:w="6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80" w:type="dxa"/>
            <w:vAlign w:val="bottom"/>
          </w:tcPr>
          <w:p>
            <w:pPr>
              <w:jc w:val="right"/>
              <w:ind w:right="336"/>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0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F-30</w:t>
            </w:r>
          </w:p>
        </w:tc>
        <w:tc>
          <w:tcPr>
            <w:tcW w:w="2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50" w:name="page151"/>
    <w:bookmarkEnd w:id="15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SELECTED STATEMENTS OF INCOME DATA</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Financial income, net: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Year ended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2012</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2013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bank deposits and other</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Foreign currency translation differences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 charges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Foreign currency translation differences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Financial expenses: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BALANCES AND TRANSACTIONS WITH RELATED PARTIES</w:t>
      </w:r>
    </w:p>
    <w:p>
      <w:pPr>
        <w:spacing w:after="0" w:line="229" w:lineRule="exact"/>
        <w:rPr>
          <w:sz w:val="20"/>
          <w:szCs w:val="20"/>
          <w:color w:val="auto"/>
        </w:rPr>
      </w:pPr>
    </w:p>
    <w:p>
      <w:pPr>
        <w:jc w:val="both"/>
        <w:ind w:left="1160" w:right="119"/>
        <w:spacing w:after="0" w:line="279" w:lineRule="auto"/>
        <w:rPr>
          <w:sz w:val="20"/>
          <w:szCs w:val="20"/>
          <w:color w:val="auto"/>
        </w:rPr>
      </w:pPr>
      <w:r>
        <w:rPr>
          <w:rFonts w:ascii="Arial" w:cs="Arial" w:eastAsia="Arial" w:hAnsi="Arial"/>
          <w:sz w:val="17"/>
          <w:szCs w:val="17"/>
          <w:color w:val="auto"/>
        </w:rPr>
        <w:t>Our policy is to enter into transactions with related parties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71"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Fortissimo</w:t>
      </w:r>
    </w:p>
    <w:p>
      <w:pPr>
        <w:spacing w:after="0" w:line="225" w:lineRule="exact"/>
        <w:rPr>
          <w:sz w:val="20"/>
          <w:szCs w:val="20"/>
          <w:color w:val="auto"/>
        </w:rPr>
      </w:pPr>
    </w:p>
    <w:p>
      <w:pPr>
        <w:jc w:val="both"/>
        <w:ind w:left="1140" w:right="119"/>
        <w:spacing w:after="0" w:line="293" w:lineRule="auto"/>
        <w:rPr>
          <w:sz w:val="20"/>
          <w:szCs w:val="20"/>
          <w:color w:val="auto"/>
        </w:rPr>
      </w:pPr>
      <w:r>
        <w:rPr>
          <w:rFonts w:ascii="Arial" w:cs="Arial" w:eastAsia="Arial" w:hAnsi="Arial"/>
          <w:sz w:val="16"/>
          <w:szCs w:val="16"/>
          <w:color w:val="auto"/>
        </w:rPr>
        <w:t>Fortissimo is the controlling shareholder of the Company. Pursuant to a management fee agreement between the Company and Fortissimo, the Company is required to pay Fortissimo an annual fee of $120 plus an amount equal to 5% of the Company’s net income, as defined in the management services agreement, up to a maximum of $250 per year. During the years ended December 31, 2012 and 2013 and the nine months ended September 30, 2013 (unaudited) and 2014 (unaudited) the Company recorded an expense of $175, $120, $90 (unaudited) and $139 (unaudited) respectively, in respect of payments to Fortissimo.</w:t>
      </w:r>
    </w:p>
    <w:p>
      <w:pPr>
        <w:spacing w:after="0" w:line="165" w:lineRule="exact"/>
        <w:rPr>
          <w:sz w:val="20"/>
          <w:szCs w:val="20"/>
          <w:color w:val="auto"/>
        </w:rPr>
      </w:pPr>
    </w:p>
    <w:p>
      <w:pPr>
        <w:jc w:val="both"/>
        <w:ind w:left="1140" w:right="119"/>
        <w:spacing w:after="0" w:line="264" w:lineRule="auto"/>
        <w:rPr>
          <w:sz w:val="20"/>
          <w:szCs w:val="20"/>
          <w:color w:val="auto"/>
        </w:rPr>
      </w:pPr>
      <w:r>
        <w:rPr>
          <w:rFonts w:ascii="Arial" w:cs="Arial" w:eastAsia="Arial" w:hAnsi="Arial"/>
          <w:sz w:val="18"/>
          <w:szCs w:val="18"/>
          <w:color w:val="auto"/>
        </w:rPr>
        <w:t>The agreement may be terminated when our board of directors includes less than two directors appointed by Fortissimo, and the agreement terminates automatically in the event that Fortissimo holds less than 15% of our issued share capital.</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w:t>
      </w:r>
    </w:p>
    <w:p>
      <w:pPr>
        <w:spacing w:after="0" w:line="229" w:lineRule="exact"/>
        <w:rPr>
          <w:sz w:val="20"/>
          <w:szCs w:val="20"/>
          <w:color w:val="auto"/>
        </w:rPr>
      </w:pPr>
    </w:p>
    <w:p>
      <w:pPr>
        <w:jc w:val="both"/>
        <w:ind w:left="1140" w:right="119"/>
        <w:spacing w:after="0" w:line="279" w:lineRule="auto"/>
        <w:rPr>
          <w:sz w:val="20"/>
          <w:szCs w:val="20"/>
          <w:color w:val="auto"/>
        </w:rPr>
      </w:pPr>
      <w:r>
        <w:rPr>
          <w:rFonts w:ascii="Arial" w:cs="Arial" w:eastAsia="Arial" w:hAnsi="Arial"/>
          <w:sz w:val="17"/>
          <w:szCs w:val="17"/>
          <w:color w:val="auto"/>
        </w:rPr>
        <w:t>In November 2014, the Company entered into an additional line of credit with an Israeli bank for borrowings of up to $2,000. Borrowings under the line of credit line bear interest at a rate of the Israeli Prime Rate plus 0.45%. Under the agreement, for so long as any borrowings are outstanding under the line of credit, the Company is obligated to maintain a 30% equity to balance-sheet ratio.</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 - - - - - - - -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6997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74030" cy="6997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both"/>
        <w:ind w:left="120" w:right="119" w:firstLine="216"/>
        <w:spacing w:after="0" w:line="21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74030" cy="25400"/>
                    </a:xfrm>
                    <a:prstGeom prst="rect">
                      <a:avLst/>
                    </a:prstGeom>
                    <a:noFill/>
                  </pic:spPr>
                </pic:pic>
              </a:graphicData>
            </a:graphic>
          </wp:anchor>
        </w:drawing>
        <w:t>Through and including , 2015 (the 25</w:t>
      </w:r>
      <w:r>
        <w:rPr>
          <w:rFonts w:ascii="Arial" w:cs="Arial" w:eastAsia="Arial" w:hAnsi="Arial"/>
          <w:sz w:val="36"/>
          <w:szCs w:val="36"/>
          <w:color w:val="auto"/>
          <w:vertAlign w:val="superscript"/>
        </w:rPr>
        <w:t>th</w:t>
      </w:r>
      <w:r>
        <w:rPr>
          <w:rFonts w:ascii="Arial" w:cs="Arial" w:eastAsia="Arial" w:hAnsi="Arial"/>
          <w:sz w:val="18"/>
          <w:szCs w:val="18"/>
          <w:color w:val="auto"/>
        </w:rPr>
        <w:t xml:space="preserve"> day after the date of this prospectus), all dealers effecting transactions in the ordinary shares,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8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544195</wp:posOffset>
            </wp:positionV>
            <wp:extent cx="2332355" cy="15005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3235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353"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300355</wp:posOffset>
            </wp:positionV>
            <wp:extent cx="557403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74030" cy="260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497840</wp:posOffset>
            </wp:positionV>
            <wp:extent cx="55740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29" w:lineRule="exact"/>
        <w:rPr>
          <w:sz w:val="20"/>
          <w:szCs w:val="20"/>
          <w:color w:val="auto"/>
        </w:rPr>
      </w:pPr>
    </w:p>
    <w:p>
      <w:pPr>
        <w:jc w:val="both"/>
        <w:ind w:left="120" w:right="119" w:firstLine="216"/>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 company may not exculpate in advance a director from liability arising out of a prohibited dividend or distribution to shareholders.</w:t>
      </w:r>
    </w:p>
    <w:p>
      <w:pPr>
        <w:spacing w:after="0" w:line="178"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00" w:lineRule="exact"/>
        <w:rPr>
          <w:sz w:val="20"/>
          <w:szCs w:val="20"/>
          <w:color w:val="auto"/>
        </w:rPr>
      </w:pPr>
    </w:p>
    <w:p>
      <w:pPr>
        <w:jc w:val="both"/>
        <w:ind w:left="560" w:right="119" w:hanging="219"/>
        <w:spacing w:after="0" w:line="283" w:lineRule="auto"/>
        <w:tabs>
          <w:tab w:leader="none" w:pos="572" w:val="left"/>
        </w:tabs>
        <w:numPr>
          <w:ilvl w:val="0"/>
          <w:numId w:val="94"/>
        </w:numPr>
        <w:rPr>
          <w:rFonts w:ascii="Arial" w:cs="Arial" w:eastAsia="Arial" w:hAnsi="Arial"/>
          <w:sz w:val="19"/>
          <w:szCs w:val="19"/>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Arial" w:cs="Arial" w:eastAsia="Arial" w:hAnsi="Arial"/>
          <w:sz w:val="19"/>
          <w:szCs w:val="19"/>
          <w:color w:val="auto"/>
        </w:rPr>
      </w:pPr>
    </w:p>
    <w:p>
      <w:pPr>
        <w:jc w:val="both"/>
        <w:ind w:left="560" w:right="119" w:hanging="219"/>
        <w:spacing w:after="0" w:line="245" w:lineRule="auto"/>
        <w:tabs>
          <w:tab w:leader="none" w:pos="667" w:val="left"/>
        </w:tabs>
        <w:numPr>
          <w:ilvl w:val="0"/>
          <w:numId w:val="94"/>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16" w:lineRule="exact"/>
        <w:rPr>
          <w:rFonts w:ascii="Arial" w:cs="Arial" w:eastAsia="Arial" w:hAnsi="Arial"/>
          <w:sz w:val="22"/>
          <w:szCs w:val="22"/>
          <w:color w:val="auto"/>
        </w:rPr>
      </w:pPr>
    </w:p>
    <w:p>
      <w:pPr>
        <w:jc w:val="both"/>
        <w:ind w:left="560" w:right="119" w:hanging="219"/>
        <w:spacing w:after="0" w:line="241" w:lineRule="auto"/>
        <w:tabs>
          <w:tab w:leader="none" w:pos="656" w:val="left"/>
        </w:tabs>
        <w:numPr>
          <w:ilvl w:val="0"/>
          <w:numId w:val="94"/>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203" w:lineRule="exact"/>
        <w:rPr>
          <w:sz w:val="20"/>
          <w:szCs w:val="20"/>
          <w:color w:val="auto"/>
        </w:rPr>
      </w:pPr>
    </w:p>
    <w:p>
      <w:pPr>
        <w:ind w:left="120" w:right="119" w:firstLine="216"/>
        <w:spacing w:after="0" w:line="342"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37" w:lineRule="exact"/>
        <w:rPr>
          <w:sz w:val="20"/>
          <w:szCs w:val="20"/>
          <w:color w:val="auto"/>
        </w:rPr>
      </w:pPr>
    </w:p>
    <w:p>
      <w:pPr>
        <w:ind w:left="560" w:right="119" w:hanging="219"/>
        <w:spacing w:after="0" w:line="232" w:lineRule="auto"/>
        <w:tabs>
          <w:tab w:leader="none" w:pos="626" w:val="left"/>
        </w:tabs>
        <w:numPr>
          <w:ilvl w:val="0"/>
          <w:numId w:val="95"/>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95"/>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95"/>
        </w:numPr>
        <w:rPr>
          <w:rFonts w:ascii="Arial" w:cs="Arial" w:eastAsia="Arial" w:hAnsi="Arial"/>
          <w:sz w:val="22"/>
          <w:szCs w:val="22"/>
          <w:color w:val="auto"/>
        </w:rPr>
      </w:pPr>
      <w:r>
        <w:rPr>
          <w:rFonts w:ascii="Arial" w:cs="Arial" w:eastAsia="Arial" w:hAnsi="Arial"/>
          <w:sz w:val="18"/>
          <w:szCs w:val="18"/>
          <w:color w:val="auto"/>
        </w:rPr>
        <w:t>a financial liability imposed on the office holder in favor of a third party.</w:t>
      </w:r>
    </w:p>
    <w:p>
      <w:pPr>
        <w:spacing w:after="0" w:line="202" w:lineRule="exact"/>
        <w:rPr>
          <w:sz w:val="20"/>
          <w:szCs w:val="20"/>
          <w:color w:val="auto"/>
        </w:rPr>
      </w:pPr>
    </w:p>
    <w:p>
      <w:pPr>
        <w:ind w:left="120" w:right="119" w:firstLine="216"/>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184" w:lineRule="exact"/>
        <w:rPr>
          <w:sz w:val="20"/>
          <w:szCs w:val="20"/>
          <w:color w:val="auto"/>
        </w:rPr>
      </w:pPr>
    </w:p>
    <w:p>
      <w:pPr>
        <w:jc w:val="both"/>
        <w:ind w:left="560" w:right="119" w:hanging="219"/>
        <w:spacing w:after="0" w:line="238" w:lineRule="auto"/>
        <w:tabs>
          <w:tab w:leader="none" w:pos="586" w:val="left"/>
        </w:tabs>
        <w:numPr>
          <w:ilvl w:val="0"/>
          <w:numId w:val="96"/>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16"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96"/>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54" w:name="page155"/>
    <w:bookmarkEnd w:id="154"/>
    <w:p>
      <w:pPr>
        <w:ind w:left="560" w:hanging="219"/>
        <w:spacing w:after="0"/>
        <w:tabs>
          <w:tab w:leader="none" w:pos="560" w:val="left"/>
        </w:tabs>
        <w:numPr>
          <w:ilvl w:val="0"/>
          <w:numId w:val="97"/>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97"/>
        </w:numPr>
        <w:rPr>
          <w:rFonts w:ascii="Arial" w:cs="Arial" w:eastAsia="Arial" w:hAnsi="Arial"/>
          <w:sz w:val="22"/>
          <w:szCs w:val="22"/>
          <w:color w:val="auto"/>
        </w:rPr>
      </w:pPr>
      <w:r>
        <w:rPr>
          <w:rFonts w:ascii="Arial" w:cs="Arial" w:eastAsia="Arial" w:hAnsi="Arial"/>
          <w:sz w:val="18"/>
          <w:szCs w:val="18"/>
          <w:color w:val="auto"/>
        </w:rPr>
        <w:t>a fine or forfeit levied against the office holder.</w:t>
      </w:r>
    </w:p>
    <w:p>
      <w:pPr>
        <w:spacing w:after="0" w:line="202"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 —Approval of Related Party Transactions under Israeli Law.”</w:t>
      </w:r>
    </w:p>
    <w:p>
      <w:pPr>
        <w:spacing w:after="0" w:line="187"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81" w:lineRule="exact"/>
        <w:rPr>
          <w:sz w:val="20"/>
          <w:szCs w:val="20"/>
          <w:color w:val="auto"/>
        </w:rPr>
      </w:pPr>
    </w:p>
    <w:p>
      <w:pPr>
        <w:jc w:val="both"/>
        <w:ind w:left="120" w:right="119" w:firstLine="216"/>
        <w:spacing w:after="0" w:line="272"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completion of this offering and the Israeli Companies Law, including with respect to liabilities resulting from this offering to the extent that these liabilities are not covered by insurance.</w:t>
      </w:r>
    </w:p>
    <w:p>
      <w:pPr>
        <w:spacing w:after="0" w:line="178"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Insofar as the indemnification for liabilities arising under the Securities Act of 1933, as amended, or the Securities Act, may be permitted to directors, officers or persons controlling the registrant, we have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9" w:lineRule="exact"/>
        <w:rPr>
          <w:sz w:val="20"/>
          <w:szCs w:val="20"/>
          <w:color w:val="auto"/>
        </w:rPr>
      </w:pPr>
    </w:p>
    <w:p>
      <w:pPr>
        <w:jc w:val="both"/>
        <w:ind w:left="120" w:right="119" w:firstLine="216"/>
        <w:spacing w:after="0" w:line="342" w:lineRule="auto"/>
        <w:rPr>
          <w:sz w:val="20"/>
          <w:szCs w:val="20"/>
          <w:color w:val="auto"/>
        </w:rPr>
      </w:pPr>
      <w:r>
        <w:rPr>
          <w:rFonts w:ascii="Arial" w:cs="Arial" w:eastAsia="Arial" w:hAnsi="Arial"/>
          <w:sz w:val="16"/>
          <w:szCs w:val="16"/>
          <w:color w:val="auto"/>
        </w:rPr>
        <w:t>Set forth below are the sales of all securities of the registrant sold by the registrant within the past three years (i.e., since January 1, 2011, up to the date of this registration statement) which were not registered under the Securities Act:</w:t>
      </w:r>
    </w:p>
    <w:p>
      <w:pPr>
        <w:spacing w:after="0" w:line="115" w:lineRule="exact"/>
        <w:rPr>
          <w:sz w:val="20"/>
          <w:szCs w:val="20"/>
          <w:color w:val="auto"/>
        </w:rPr>
      </w:pPr>
    </w:p>
    <w:p>
      <w:pPr>
        <w:ind w:left="560" w:hanging="219"/>
        <w:spacing w:after="0"/>
        <w:tabs>
          <w:tab w:leader="none" w:pos="560" w:val="left"/>
        </w:tabs>
        <w:numPr>
          <w:ilvl w:val="0"/>
          <w:numId w:val="98"/>
        </w:numPr>
        <w:rPr>
          <w:rFonts w:ascii="Arial" w:cs="Arial" w:eastAsia="Arial" w:hAnsi="Arial"/>
          <w:sz w:val="22"/>
          <w:szCs w:val="22"/>
          <w:color w:val="auto"/>
        </w:rPr>
      </w:pPr>
      <w:r>
        <w:rPr>
          <w:rFonts w:ascii="Arial" w:cs="Arial" w:eastAsia="Arial" w:hAnsi="Arial"/>
          <w:sz w:val="18"/>
          <w:szCs w:val="18"/>
          <w:color w:val="auto"/>
        </w:rPr>
        <w:t>In July 2011, we issued 602,230 Series A-1 preferred shares for $5,000,000 to Fortissimo Capital.</w:t>
      </w:r>
    </w:p>
    <w:p>
      <w:pPr>
        <w:spacing w:after="0" w:line="202" w:lineRule="exact"/>
        <w:rPr>
          <w:sz w:val="20"/>
          <w:szCs w:val="20"/>
          <w:color w:val="auto"/>
        </w:rPr>
      </w:pPr>
    </w:p>
    <w:p>
      <w:pPr>
        <w:jc w:val="both"/>
        <w:ind w:left="120" w:right="119" w:firstLine="216"/>
        <w:spacing w:after="0" w:line="259" w:lineRule="auto"/>
        <w:rPr>
          <w:sz w:val="20"/>
          <w:szCs w:val="20"/>
          <w:color w:val="auto"/>
        </w:rPr>
      </w:pPr>
      <w:r>
        <w:rPr>
          <w:rFonts w:ascii="Arial" w:cs="Arial" w:eastAsia="Arial" w:hAnsi="Arial"/>
          <w:sz w:val="18"/>
          <w:szCs w:val="18"/>
          <w:color w:val="auto"/>
        </w:rPr>
        <w:t>The sales of the above securities were deemed to be exempt from registration under the Securities Act because they were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200" w:lineRule="exact"/>
        <w:rPr>
          <w:sz w:val="20"/>
          <w:szCs w:val="20"/>
          <w:color w:val="auto"/>
        </w:rPr>
      </w:pPr>
    </w:p>
    <w:p>
      <w:pPr>
        <w:jc w:val="both"/>
        <w:ind w:left="560" w:right="119" w:hanging="219"/>
        <w:spacing w:after="0" w:line="285" w:lineRule="auto"/>
        <w:tabs>
          <w:tab w:leader="none" w:pos="595" w:val="left"/>
        </w:tabs>
        <w:numPr>
          <w:ilvl w:val="0"/>
          <w:numId w:val="99"/>
        </w:numPr>
        <w:rPr>
          <w:rFonts w:ascii="Arial" w:cs="Arial" w:eastAsia="Arial" w:hAnsi="Arial"/>
          <w:sz w:val="19"/>
          <w:szCs w:val="19"/>
          <w:color w:val="auto"/>
        </w:rPr>
      </w:pPr>
      <w:r>
        <w:rPr>
          <w:rFonts w:ascii="Arial" w:cs="Arial" w:eastAsia="Arial" w:hAnsi="Arial"/>
          <w:sz w:val="16"/>
          <w:szCs w:val="16"/>
          <w:color w:val="auto"/>
        </w:rPr>
        <w:t>We granted share options to employees, directors and consultants under our 2012 Plan and 2004 Plan covering an aggregate of 292,602 ordinary shares, with exercise prices ranging from $2.33 to $14.23 per share. As of the date of this registration statement, 8,000 of these options have been forfeited and cancelled without being exercised.</w:t>
      </w:r>
    </w:p>
    <w:p>
      <w:pPr>
        <w:spacing w:after="0" w:line="168"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underwriters were employed in connection with the securities issuances set forth in this Item 7.</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29" w:lineRule="exact"/>
        <w:rPr>
          <w:sz w:val="20"/>
          <w:szCs w:val="20"/>
          <w:color w:val="auto"/>
        </w:rPr>
      </w:pPr>
    </w:p>
    <w:p>
      <w:pPr>
        <w:ind w:left="620" w:hanging="279"/>
        <w:spacing w:after="0"/>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23" w:lineRule="exact"/>
        <w:rPr>
          <w:rFonts w:ascii="Arial" w:cs="Arial" w:eastAsia="Arial" w:hAnsi="Arial"/>
          <w:sz w:val="18"/>
          <w:szCs w:val="18"/>
          <w:color w:val="auto"/>
        </w:rPr>
      </w:pPr>
    </w:p>
    <w:p>
      <w:pPr>
        <w:ind w:left="640" w:hanging="299"/>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1" w:lineRule="exact"/>
        <w:rPr>
          <w:sz w:val="20"/>
          <w:szCs w:val="20"/>
          <w:color w:val="auto"/>
        </w:rPr>
      </w:pPr>
    </w:p>
    <w:p>
      <w:pPr>
        <w:jc w:val="both"/>
        <w:ind w:left="120" w:right="119" w:firstLine="216"/>
        <w:spacing w:after="0" w:line="264"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155" w:name="page156"/>
    <w:bookmarkEnd w:id="155"/>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jc w:val="both"/>
        <w:ind w:left="120" w:right="119" w:firstLine="216"/>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jc w:val="both"/>
        <w:ind w:left="560" w:right="119" w:hanging="219"/>
        <w:spacing w:after="0" w:line="264" w:lineRule="auto"/>
        <w:tabs>
          <w:tab w:leader="none" w:pos="58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181" w:lineRule="exact"/>
        <w:rPr>
          <w:rFonts w:ascii="Arial" w:cs="Arial" w:eastAsia="Arial" w:hAnsi="Arial"/>
          <w:sz w:val="18"/>
          <w:szCs w:val="18"/>
          <w:color w:val="auto"/>
        </w:rPr>
      </w:pPr>
    </w:p>
    <w:p>
      <w:pPr>
        <w:jc w:val="both"/>
        <w:ind w:left="560" w:right="119" w:hanging="219"/>
        <w:spacing w:after="0" w:line="279" w:lineRule="auto"/>
        <w:tabs>
          <w:tab w:leader="none" w:pos="53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1" w:lineRule="exact"/>
        <w:rPr>
          <w:rFonts w:ascii="Arial" w:cs="Arial" w:eastAsia="Arial" w:hAnsi="Arial"/>
          <w:sz w:val="17"/>
          <w:szCs w:val="17"/>
          <w:color w:val="auto"/>
        </w:rPr>
      </w:pPr>
    </w:p>
    <w:p>
      <w:pPr>
        <w:jc w:val="both"/>
        <w:ind w:left="560" w:right="119" w:hanging="219"/>
        <w:spacing w:after="0" w:line="312" w:lineRule="auto"/>
        <w:tabs>
          <w:tab w:leader="none" w:pos="55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119" w:firstLine="21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jc w:val="both"/>
        <w:ind w:left="120" w:right="119"/>
        <w:spacing w:after="0" w:line="261" w:lineRule="auto"/>
        <w:rPr>
          <w:sz w:val="20"/>
          <w:szCs w:val="20"/>
          <w:color w:val="auto"/>
        </w:rPr>
      </w:pPr>
      <w:r>
        <w:rPr>
          <w:rFonts w:ascii="Arial" w:cs="Arial" w:eastAsia="Arial" w:hAnsi="Arial"/>
          <w:sz w:val="18"/>
          <w:szCs w:val="18"/>
          <w:color w:val="auto"/>
        </w:rPr>
        <w:t>signed on its behalf by the undersigned, thereunto duly authorized, in Rosh Ha-Ayin, Israel on this day of , 2015.</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KORNIT DIGITAL LTD.</w:t>
      </w:r>
    </w:p>
    <w:p>
      <w:pPr>
        <w:spacing w:after="0" w:line="30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-130175</wp:posOffset>
            </wp:positionV>
            <wp:extent cx="24523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120" w:right="119" w:firstLine="216"/>
        <w:spacing w:after="0" w:line="269" w:lineRule="auto"/>
        <w:rPr>
          <w:sz w:val="20"/>
          <w:szCs w:val="20"/>
          <w:color w:val="auto"/>
        </w:rPr>
      </w:pPr>
      <w:r>
        <w:rPr>
          <w:rFonts w:ascii="Arial" w:cs="Arial" w:eastAsia="Arial" w:hAnsi="Arial"/>
          <w:sz w:val="17"/>
          <w:szCs w:val="17"/>
          <w:color w:val="auto"/>
        </w:rPr>
        <w:t>KNOW ALL MEN BY THESE PRESENTED, that each director and officer of Kornit Digital Ltd. whose signature appears below hereby appoints Gabi Seligsohn and Guy Avidan, and each of them severally, acting alone and without the other, his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this Registration Statement, and to sign any and all additional registration statements relating to the same offering of securities of the Registration Statement that are filed pursuant to Rule 462(b) of the Securities Act of 1933,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the following persons on</w:t>
            </w:r>
          </w:p>
        </w:tc>
        <w:tc>
          <w:tcPr>
            <w:tcW w:w="6360" w:type="dxa"/>
            <w:vAlign w:val="bottom"/>
          </w:tcPr>
          <w:p>
            <w:pPr>
              <w:ind w:left="620"/>
              <w:spacing w:after="0"/>
              <w:rPr>
                <w:sz w:val="20"/>
                <w:szCs w:val="20"/>
                <w:color w:val="auto"/>
              </w:rPr>
            </w:pPr>
            <w:r>
              <w:rPr>
                <w:rFonts w:ascii="Arial" w:cs="Arial" w:eastAsia="Arial" w:hAnsi="Arial"/>
                <w:sz w:val="18"/>
                <w:szCs w:val="18"/>
                <w:color w:val="auto"/>
              </w:rPr>
              <w:t>, 2015 in the capacities indicated:</w:t>
            </w:r>
          </w:p>
        </w:tc>
      </w:tr>
      <w:tr>
        <w:trPr>
          <w:trHeight w:val="524"/>
        </w:trPr>
        <w:tc>
          <w:tcPr>
            <w:tcW w:w="20" w:type="dxa"/>
            <w:vAlign w:val="bottom"/>
          </w:tcPr>
          <w:p>
            <w:pPr>
              <w:spacing w:after="0"/>
              <w:rPr>
                <w:sz w:val="24"/>
                <w:szCs w:val="24"/>
                <w:color w:val="auto"/>
              </w:rPr>
            </w:pPr>
          </w:p>
        </w:tc>
        <w:tc>
          <w:tcPr>
            <w:tcW w:w="2400" w:type="dxa"/>
            <w:vAlign w:val="bottom"/>
            <w:gridSpan w:val="2"/>
          </w:tcPr>
          <w:p>
            <w:pPr>
              <w:ind w:left="160"/>
              <w:spacing w:after="0"/>
              <w:rPr>
                <w:sz w:val="20"/>
                <w:szCs w:val="20"/>
                <w:color w:val="auto"/>
              </w:rPr>
            </w:pPr>
            <w:r>
              <w:rPr>
                <w:rFonts w:ascii="Arial" w:cs="Arial" w:eastAsia="Arial" w:hAnsi="Arial"/>
                <w:sz w:val="16"/>
                <w:szCs w:val="16"/>
                <w:b w:val="1"/>
                <w:bCs w:val="1"/>
                <w:color w:val="auto"/>
              </w:rPr>
              <w:t>Signature and Name</w:t>
            </w:r>
          </w:p>
        </w:tc>
        <w:tc>
          <w:tcPr>
            <w:tcW w:w="6360" w:type="dxa"/>
            <w:vAlign w:val="bottom"/>
          </w:tcPr>
          <w:p>
            <w:pPr>
              <w:ind w:left="2980"/>
              <w:spacing w:after="0"/>
              <w:rPr>
                <w:sz w:val="20"/>
                <w:szCs w:val="20"/>
                <w:color w:val="auto"/>
              </w:rPr>
            </w:pPr>
            <w:r>
              <w:rPr>
                <w:rFonts w:ascii="Arial" w:cs="Arial" w:eastAsia="Arial" w:hAnsi="Arial"/>
                <w:sz w:val="16"/>
                <w:szCs w:val="16"/>
                <w:b w:val="1"/>
                <w:bCs w:val="1"/>
                <w:color w:val="auto"/>
              </w:rPr>
              <w:t>Title</w:t>
            </w:r>
          </w:p>
        </w:tc>
      </w:tr>
      <w:tr>
        <w:trPr>
          <w:trHeight w:val="29"/>
        </w:trPr>
        <w:tc>
          <w:tcPr>
            <w:tcW w:w="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428625</wp:posOffset>
            </wp:positionV>
            <wp:extent cx="10890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4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Gabi Seligsohn</w:t>
            </w:r>
          </w:p>
        </w:tc>
        <w:tc>
          <w:tcPr>
            <w:tcW w:w="6820" w:type="dxa"/>
            <w:vAlign w:val="bottom"/>
          </w:tcPr>
          <w:p>
            <w:pPr>
              <w:ind w:left="500"/>
              <w:spacing w:after="0"/>
              <w:rPr>
                <w:sz w:val="20"/>
                <w:szCs w:val="20"/>
                <w:color w:val="auto"/>
              </w:rPr>
            </w:pPr>
            <w:r>
              <w:rPr>
                <w:rFonts w:ascii="Arial" w:cs="Arial" w:eastAsia="Arial" w:hAnsi="Arial"/>
                <w:sz w:val="18"/>
                <w:szCs w:val="18"/>
                <w:color w:val="auto"/>
              </w:rPr>
              <w:t>Chief Executive Officer (principal executive officer)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Guy Avidan</w:t>
            </w:r>
          </w:p>
        </w:tc>
        <w:tc>
          <w:tcPr>
            <w:tcW w:w="6820" w:type="dxa"/>
            <w:vAlign w:val="bottom"/>
          </w:tcPr>
          <w:p>
            <w:pPr>
              <w:ind w:left="500"/>
              <w:spacing w:after="0"/>
              <w:rPr>
                <w:sz w:val="20"/>
                <w:szCs w:val="20"/>
                <w:color w:val="auto"/>
              </w:rPr>
            </w:pPr>
            <w:r>
              <w:rPr>
                <w:rFonts w:ascii="Arial" w:cs="Arial" w:eastAsia="Arial" w:hAnsi="Arial"/>
                <w:sz w:val="18"/>
                <w:szCs w:val="18"/>
                <w:color w:val="auto"/>
                <w:w w:val="98"/>
              </w:rPr>
              <w:t>Chief Financial Officer (principal financial officer and principal accounting officer)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Yuval Cohen</w:t>
            </w:r>
          </w:p>
        </w:tc>
        <w:tc>
          <w:tcPr>
            <w:tcW w:w="6820" w:type="dxa"/>
            <w:vAlign w:val="bottom"/>
          </w:tcPr>
          <w:p>
            <w:pPr>
              <w:ind w:left="500"/>
              <w:spacing w:after="0"/>
              <w:rPr>
                <w:sz w:val="20"/>
                <w:szCs w:val="20"/>
                <w:color w:val="auto"/>
              </w:rPr>
            </w:pPr>
            <w:r>
              <w:rPr>
                <w:rFonts w:ascii="Arial" w:cs="Arial" w:eastAsia="Arial" w:hAnsi="Arial"/>
                <w:sz w:val="18"/>
                <w:szCs w:val="18"/>
                <w:color w:val="auto"/>
              </w:rPr>
              <w:t>Chairman of the Board of Directors</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Ofer Ben-Zur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Marc Lesnick</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Eli Blatt</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Yoav Hineman</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Moshe Nur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Joshua Maor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324"/>
        </w:trPr>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the Registrant’s duly authorized representative has signed</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this registration statement on Form F-1 in Mequon, Wisconsin, on</w:t>
            </w:r>
          </w:p>
        </w:tc>
        <w:tc>
          <w:tcPr>
            <w:tcW w:w="98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KORNIT DIGITAL NORTH AMERICA INC.</w:t>
      </w:r>
    </w:p>
    <w:p>
      <w:pPr>
        <w:spacing w:after="0" w:line="25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-130175</wp:posOffset>
            </wp:positionV>
            <wp:extent cx="24523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203200</wp:posOffset>
            </wp:positionV>
            <wp:extent cx="55740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58" w:name="page159"/>
    <w:bookmarkEnd w:id="158"/>
    <w:tbl>
      <w:tblPr>
        <w:tblLayout w:type="fixed"/>
        <w:tblInd w:w="14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80" w:type="dxa"/>
            <w:vAlign w:val="bottom"/>
            <w:gridSpan w:val="2"/>
          </w:tcPr>
          <w:p>
            <w:pPr>
              <w:ind w:left="2040"/>
              <w:spacing w:after="0"/>
              <w:rPr>
                <w:sz w:val="20"/>
                <w:szCs w:val="20"/>
                <w:color w:val="auto"/>
              </w:rPr>
            </w:pPr>
            <w:r>
              <w:rPr>
                <w:rFonts w:ascii="Arial" w:cs="Arial" w:eastAsia="Arial" w:hAnsi="Arial"/>
                <w:sz w:val="18"/>
                <w:szCs w:val="18"/>
                <w:b w:val="1"/>
                <w:bCs w:val="1"/>
                <w:color w:val="auto"/>
              </w:rPr>
              <w:t>EXHIBIT INDEX</w:t>
            </w:r>
          </w:p>
        </w:tc>
        <w:tc>
          <w:tcPr>
            <w:tcW w:w="2340" w:type="dxa"/>
            <w:vAlign w:val="bottom"/>
          </w:tcPr>
          <w:p>
            <w:pPr>
              <w:spacing w:after="0"/>
              <w:rPr>
                <w:sz w:val="20"/>
                <w:szCs w:val="20"/>
                <w:color w:val="auto"/>
              </w:rPr>
            </w:pPr>
          </w:p>
        </w:tc>
      </w:tr>
      <w:tr>
        <w:trPr>
          <w:trHeight w:val="453"/>
        </w:trPr>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60"/>
        </w:trPr>
        <w:tc>
          <w:tcPr>
            <w:tcW w:w="12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7120" w:type="dxa"/>
            <w:vAlign w:val="bottom"/>
            <w:tcBorders>
              <w:bottom w:val="single" w:sz="8" w:color="auto"/>
            </w:tcBorders>
            <w:gridSpan w:val="3"/>
          </w:tcPr>
          <w:p>
            <w:pPr>
              <w:spacing w:after="0"/>
              <w:rPr>
                <w:sz w:val="5"/>
                <w:szCs w:val="5"/>
                <w:color w:val="auto"/>
              </w:rPr>
            </w:pPr>
          </w:p>
        </w:tc>
      </w:tr>
      <w:tr>
        <w:trPr>
          <w:trHeight w:val="249"/>
        </w:trPr>
        <w:tc>
          <w:tcPr>
            <w:tcW w:w="1200" w:type="dxa"/>
            <w:vAlign w:val="bottom"/>
          </w:tcPr>
          <w:p>
            <w:pPr>
              <w:ind w:left="4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1"/>
                <w:szCs w:val="21"/>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3"/>
              </w:rPr>
              <w:t>Form of Underwriting Agreement by and among Kornit Digital Ltd. and the underwriters named</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therein*</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Articles of Association of the Registrant**</w:t>
            </w:r>
          </w:p>
        </w:tc>
        <w:tc>
          <w:tcPr>
            <w:tcW w:w="234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5"/>
              </w:rPr>
              <w:t>Form of Amended and Restated Articles of Association of the Registrant, to be effective upon</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closing of this offering*</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Specimen Share Certificate*</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rPr>
              <w:t>Opinion of Meitar Liquornik Geva Leshem Tal, Israeli counsel to the Registrant, as to the</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validity of the ordinary shares (including consent)*</w:t>
            </w:r>
          </w:p>
        </w:tc>
        <w:tc>
          <w:tcPr>
            <w:tcW w:w="234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2004 Share Option Plan**</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2012 Share Incentive Plan**</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Form of indemnification agreement by and between Kornit Digital Ltd. and each of its directors</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and executive officers*</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9"/>
              </w:rPr>
              <w:t>Sales Representative Agreement, dated April 1, 2014, between the Registrant and Hirsch</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International Corporation†**</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8"/>
              </w:rPr>
              <w:t>Original Equipment Manufacturer Supply Agreement, dated January 6, 2006, between the</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w w:val="97"/>
              </w:rPr>
              <w:t>Registrant and Spectra Printing, a division of Dimatix, Inc.†**</w:t>
            </w:r>
          </w:p>
        </w:tc>
        <w:tc>
          <w:tcPr>
            <w:tcW w:w="23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2"/>
              </w:rPr>
              <w:t>Amendment No. 1 to Original Equipment Manufacturer Supply Agreement, dated September 20,</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2006,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3"/>
              </w:rPr>
              <w:t>Amendment No. 2 to Original Equipment Manufacturer Supply Agreement, dated September 1,</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2007,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7"/>
              </w:rPr>
              <w:t>Amendment No. 3 to Original Equipment Manufacturer Supply Agreement, dated March 17,</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2008,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Amendment No. 4 to Original Equipment Manufacturer Supply Agreement, dated July 1, 2010,</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rPr>
              <w:t>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6"/>
              </w:rPr>
              <w:t>Amendment No. 5 to Original Equipment Manufacturer Supply Agreement, dated October 4,</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2011,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Amendment No. 6 to Original Equipment Manufacturer Supply Agreement, dated December 6,</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2012,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5"/>
              </w:rPr>
              <w:t>Amendment No. 7 to Original Equipment Manufacturer Supply Agreement, dated February 1,</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2013,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6"/>
              </w:rPr>
              <w:t>Amendment No. 8 to Original Equipment Manufacturer Supply Agreement, dated January 1,</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2014,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10.14</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6"/>
              </w:rPr>
              <w:t>Amendment No. 9 to Original Equipment Manufacturer Supply Agreement, dated August 22,</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2014,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1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6"/>
              </w:rPr>
              <w:t>Supplier Agreement, dated November 19, 2014, between the Registrant and I.T.S. Industrial</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Technologic Solutions, Ltd.†∞**</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10.16</w:t>
            </w:r>
          </w:p>
        </w:tc>
        <w:tc>
          <w:tcPr>
            <w:tcW w:w="440" w:type="dxa"/>
            <w:vAlign w:val="bottom"/>
          </w:tcPr>
          <w:p>
            <w:pPr>
              <w:spacing w:after="0"/>
              <w:rPr>
                <w:sz w:val="24"/>
                <w:szCs w:val="24"/>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w w:val="99"/>
              </w:rPr>
              <w:t>Amended and Restated Investors’ Rights Agreement, dated</w:t>
            </w:r>
          </w:p>
        </w:tc>
        <w:tc>
          <w:tcPr>
            <w:tcW w:w="2340" w:type="dxa"/>
            <w:vAlign w:val="bottom"/>
          </w:tcPr>
          <w:p>
            <w:pPr>
              <w:ind w:left="220"/>
              <w:spacing w:after="0"/>
              <w:rPr>
                <w:sz w:val="20"/>
                <w:szCs w:val="20"/>
                <w:color w:val="auto"/>
              </w:rPr>
            </w:pPr>
            <w:r>
              <w:rPr>
                <w:rFonts w:ascii="Arial" w:cs="Arial" w:eastAsia="Arial" w:hAnsi="Arial"/>
                <w:sz w:val="18"/>
                <w:szCs w:val="18"/>
                <w:color w:val="auto"/>
              </w:rPr>
              <w:t>, by and among the</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Registrant and the other parties thereto.*</w:t>
            </w:r>
          </w:p>
        </w:tc>
        <w:tc>
          <w:tcPr>
            <w:tcW w:w="23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10.17</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3"/>
              </w:rPr>
              <w:t>Management Services Agreement, dated August 11, 2011, by and between the Registrant and</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w w:val="93"/>
              </w:rPr>
              <w:t>Fortissimo Capital Fund II (Israel) L.P.</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Termination Agreement, dated</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 2015, terminating the Management Services</w:t>
            </w:r>
          </w:p>
        </w:tc>
      </w:tr>
      <w:tr>
        <w:trPr>
          <w:trHeight w:val="216"/>
        </w:trPr>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2"/>
              </w:rPr>
              <w:t>Agreement, dated August 11, 2011, by and between the Registrant and Fortissimo Capital Fund</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II (Israel) L.P.*</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10.19</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rPr>
              <w:t>Lease Agreement, dated March 25, 2010, by and between the Registrant and Benvenisti</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Engineering Ltd.∞*</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3"/>
              </w:rPr>
              <w:t>Addendum to Lease Agreement, dated November 21, 2011 by and between the Registrant and</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Benvenisti Engineering Ltd.∞*</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ectPr>
          <w:pgSz w:w="11900" w:h="16838" w:orient="portrait"/>
          <w:cols w:equalWidth="0" w:num="1">
            <w:col w:w="9019"/>
          </w:cols>
          <w:pgMar w:left="1440" w:top="338" w:right="1440" w:bottom="0"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174625</wp:posOffset>
            </wp:positionV>
            <wp:extent cx="55740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tbl>
      <w:tblPr>
        <w:tblLayout w:type="fixed"/>
        <w:tblInd w:w="14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20" w:type="dxa"/>
            <w:vAlign w:val="bottom"/>
          </w:tcPr>
          <w:p>
            <w:pPr>
              <w:ind w:left="214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722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60"/>
        </w:trPr>
        <w:tc>
          <w:tcPr>
            <w:tcW w:w="120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r>
      <w:tr>
        <w:trPr>
          <w:trHeight w:val="264"/>
        </w:trPr>
        <w:tc>
          <w:tcPr>
            <w:tcW w:w="1200" w:type="dxa"/>
            <w:vAlign w:val="bottom"/>
          </w:tcPr>
          <w:p>
            <w:pPr>
              <w:ind w:left="4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2"/>
                <w:szCs w:val="22"/>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List of subsidiaries of the Registrant**</w:t>
            </w: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w w:val="94"/>
              </w:rPr>
              <w:t>Consent of Kost Forer Gabbay &amp; Kasierer, a member of Ernst &amp; Young Global, an independent</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registered public accounting firm*</w:t>
            </w: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Consent of Meitar Liquornik Geva Leshem Tal (included in Exhibit 5.1)*</w:t>
            </w: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Power of Attorney (included in signature pages of Registration Statement)*</w:t>
            </w:r>
          </w:p>
        </w:tc>
      </w:tr>
    </w:tbl>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120" w:right="6659" w:firstLine="5"/>
        <w:spacing w:after="0" w:line="281" w:lineRule="auto"/>
        <w:tabs>
          <w:tab w:leader="none" w:pos="43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   Confidential treatment requested.</w:t>
      </w:r>
    </w:p>
    <w:p>
      <w:pPr>
        <w:spacing w:after="0" w:line="9"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  English translation of the original Hebrew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142875</wp:posOffset>
            </wp:positionV>
            <wp:extent cx="55740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decimal"/>
      <w:start w:val="2"/>
    </w:lvl>
  </w:abstractNum>
  <w:abstractNum w:abstractNumId="11">
    <w:nsid w:val="1CF10FD8"/>
    <w:multiLevelType w:val="hybridMultilevel"/>
    <w:lvl w:ilvl="0">
      <w:lvlJc w:val="left"/>
      <w:lvlText w:val="(%1)"/>
      <w:numFmt w:val="decimal"/>
      <w:start w:val="5"/>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1)"/>
      <w:numFmt w:val="decimal"/>
      <w:start w:val="2"/>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1)"/>
      <w:numFmt w:val="decimal"/>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1)"/>
      <w:numFmt w:val="lowerLetter"/>
      <w:start w:val="3"/>
    </w:lvl>
    <w:lvl w:ilvl="1">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1)"/>
      <w:numFmt w:val="decimal"/>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1)"/>
      <w:numFmt w:val="lowerRoman"/>
      <w:start w:val="2"/>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1."/>
      <w:numFmt w:val="lowerLetter"/>
      <w:start w:val="1"/>
    </w:lvl>
  </w:abstractNum>
  <w:abstractNum w:abstractNumId="77">
    <w:nsid w:val="68EBC550"/>
    <w:multiLevelType w:val="hybridMultilevel"/>
    <w:lvl w:ilvl="0">
      <w:lvlJc w:val="left"/>
      <w:lvlText w:val="%1."/>
      <w:numFmt w:val="lowerLetter"/>
      <w:start w:val="6"/>
    </w:lvl>
  </w:abstractNum>
  <w:abstractNum w:abstractNumId="78">
    <w:nsid w:val="2DF6D648"/>
    <w:multiLevelType w:val="hybridMultilevel"/>
    <w:lvl w:ilvl="0">
      <w:lvlJc w:val="left"/>
      <w:lvlText w:val="%1."/>
      <w:numFmt w:val="lowerRoman"/>
      <w:start w:val="1"/>
    </w:lvl>
  </w:abstractNum>
  <w:abstractNum w:abstractNumId="79">
    <w:nsid w:val="46B7D447"/>
    <w:multiLevelType w:val="hybridMultilevel"/>
    <w:lvl w:ilvl="0">
      <w:lvlJc w:val="left"/>
      <w:lvlText w:val="%1."/>
      <w:numFmt w:val="lowerLetter"/>
      <w:start w:val="9"/>
    </w:lvl>
    <w:lvl w:ilvl="1">
      <w:lvlJc w:val="left"/>
      <w:lvlText w:val="(*)"/>
      <w:numFmt w:val="bullet"/>
      <w:start w:val="1"/>
    </w:lvl>
  </w:abstractNum>
  <w:abstractNum w:abstractNumId="80">
    <w:nsid w:val="4A2AC315"/>
    <w:multiLevelType w:val="hybridMultilevel"/>
    <w:lvl w:ilvl="0">
      <w:lvlJc w:val="left"/>
      <w:lvlText w:val="%1."/>
      <w:numFmt w:val="lowerLetter"/>
      <w:start w:val="12"/>
    </w:lvl>
  </w:abstractNum>
  <w:abstractNum w:abstractNumId="81">
    <w:nsid w:val="39EE015C"/>
    <w:multiLevelType w:val="hybridMultilevel"/>
    <w:lvl w:ilvl="0">
      <w:lvlJc w:val="left"/>
      <w:lvlText w:val="\emdash "/>
      <w:numFmt w:val="bullet"/>
      <w:start w:val="1"/>
    </w:lvl>
  </w:abstractNum>
  <w:abstractNum w:abstractNumId="82">
    <w:nsid w:val="57FC4FBB"/>
    <w:multiLevelType w:val="hybridMultilevel"/>
    <w:lvl w:ilvl="0">
      <w:lvlJc w:val="left"/>
      <w:lvlText w:val="%1."/>
      <w:numFmt w:val="lowerLetter"/>
      <w:start w:val="18"/>
    </w:lvl>
  </w:abstractNum>
  <w:abstractNum w:abstractNumId="83">
    <w:nsid w:val="CC1016F"/>
    <w:multiLevelType w:val="hybridMultilevel"/>
    <w:lvl w:ilvl="0">
      <w:lvlJc w:val="left"/>
      <w:lvlText w:val="%1."/>
      <w:numFmt w:val="lowerLetter"/>
      <w:start w:val="20"/>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1."/>
      <w:numFmt w:val="lowerLetter"/>
      <w:start w:val="5"/>
    </w:lvl>
    <w:lvl w:ilvl="1">
      <w:lvlJc w:val="left"/>
      <w:lvlText w:val="%2."/>
      <w:numFmt w:val="decimal"/>
      <w:start w:val="1"/>
    </w:lvl>
  </w:abstractNum>
  <w:abstractNum w:abstractNumId="86">
    <w:nsid w:val="26F324BA"/>
    <w:multiLevelType w:val="hybridMultilevel"/>
    <w:lvl w:ilvl="0">
      <w:lvlJc w:val="left"/>
      <w:lvlText w:val="%1."/>
      <w:numFmt w:val="decimal"/>
      <w:start w:val="2"/>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Letter"/>
      <w:start w:val="3"/>
    </w:lvl>
  </w:abstractNum>
  <w:abstractNum w:abstractNumId="89">
    <w:nsid w:val="7055A5F5"/>
    <w:multiLevelType w:val="hybridMultilevel"/>
    <w:lvl w:ilvl="0">
      <w:lvlJc w:val="left"/>
      <w:lvlText w:val="%1."/>
      <w:numFmt w:val="lowerLetter"/>
      <w:start w:val="5"/>
    </w:lvl>
  </w:abstractNum>
  <w:abstractNum w:abstractNumId="90">
    <w:nsid w:val="5FB8370B"/>
    <w:multiLevelType w:val="hybridMultilevel"/>
    <w:lvl w:ilvl="0">
      <w:lvlJc w:val="left"/>
      <w:lvlText w:val="(%1)"/>
      <w:numFmt w:val="lowerLetter"/>
      <w:start w:val="1"/>
    </w:lvl>
  </w:abstractNum>
  <w:abstractNum w:abstractNumId="91">
    <w:nsid w:val="50801EE1"/>
    <w:multiLevelType w:val="hybridMultilevel"/>
    <w:lvl w:ilvl="0">
      <w:lvlJc w:val="left"/>
      <w:lvlText w:val="%1."/>
      <w:numFmt w:val="lowerLetter"/>
      <w:start w:val="6"/>
    </w:lvl>
  </w:abstractNum>
  <w:abstractNum w:abstractNumId="92">
    <w:nsid w:val="488AC1A"/>
    <w:multiLevelType w:val="hybridMultilevel"/>
    <w:lvl w:ilvl="0">
      <w:lvlJc w:val="left"/>
      <w:lvlText w:val="%1."/>
      <w:numFmt w:val="lowerRoman"/>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1)"/>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2019-12-09T05:02:06Z</dcterms:created>
  <dcterms:modified xsi:type="dcterms:W3CDTF">2019-12-09T05:02:06Z</dcterms:modified>
</cp:coreProperties>
</file>