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Kornit Digital LTD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M6372Q113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1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46"/>
        </w:trPr>
        <w:tc>
          <w:tcPr>
            <w:tcW w:w="600" w:type="dxa"/>
            <w:vAlign w:val="bottom"/>
            <w:tcBorders>
              <w:top w:val="single" w:sz="8" w:color="auto"/>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50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color w:val="auto"/>
              </w:rPr>
              <w:t>NAME OF REPORTING PERSONS</w:t>
            </w:r>
          </w:p>
        </w:tc>
        <w:tc>
          <w:tcPr>
            <w:tcW w:w="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American Capital Management, Inc. 13-30008848</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1050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(see instructions)</w:t>
            </w:r>
          </w:p>
        </w:tc>
        <w:tc>
          <w:tcPr>
            <w:tcW w:w="560" w:type="dxa"/>
            <w:vAlign w:val="bottom"/>
          </w:tcPr>
          <w:p>
            <w:pPr>
              <w:spacing w:after="0"/>
              <w:rPr>
                <w:sz w:val="20"/>
                <w:szCs w:val="20"/>
                <w:color w:val="auto"/>
              </w:rPr>
            </w:pPr>
          </w:p>
        </w:tc>
        <w:tc>
          <w:tcPr>
            <w:tcW w:w="8220" w:type="dxa"/>
            <w:vAlign w:val="bottom"/>
            <w:vMerge w:val="restart"/>
          </w:tcPr>
          <w:p>
            <w:pPr>
              <w:ind w:left="790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þ</w:t>
            </w: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20" w:type="dxa"/>
            <w:vAlign w:val="bottom"/>
            <w:vMerge w:val="continue"/>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788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050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New York</w:t>
            </w:r>
          </w:p>
        </w:tc>
        <w:tc>
          <w:tcPr>
            <w:tcW w:w="5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2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72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1720" w:type="dxa"/>
            <w:vAlign w:val="bottom"/>
            <w:tcBorders>
              <w:right w:val="single" w:sz="8" w:color="auto"/>
            </w:tcBorders>
            <w:gridSpan w:val="2"/>
            <w:vMerge w:val="continue"/>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82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8"/>
                <w:szCs w:val="18"/>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rPr>
              <w:t>0</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0" w:type="dxa"/>
            <w:vAlign w:val="bottom"/>
            <w:tcBorders>
              <w:left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140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5"/>
              </w:rPr>
              <w:t>EACH</w:t>
            </w:r>
          </w:p>
        </w:tc>
        <w:tc>
          <w:tcPr>
            <w:tcW w:w="560" w:type="dxa"/>
            <w:vAlign w:val="bottom"/>
            <w:tcBorders>
              <w:bottom w:val="single" w:sz="8" w:color="auto"/>
              <w:right w:val="single" w:sz="8" w:color="auto"/>
            </w:tcBorders>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00" w:type="dxa"/>
            <w:vAlign w:val="bottom"/>
            <w:tcBorders>
              <w:left w:val="single" w:sz="8" w:color="auto"/>
            </w:tcBorders>
          </w:tcPr>
          <w:p>
            <w:pPr>
              <w:spacing w:after="0"/>
              <w:rPr>
                <w:sz w:val="14"/>
                <w:szCs w:val="14"/>
                <w:color w:val="auto"/>
              </w:rPr>
            </w:pPr>
          </w:p>
        </w:tc>
        <w:tc>
          <w:tcPr>
            <w:tcW w:w="320" w:type="dxa"/>
            <w:vAlign w:val="bottom"/>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2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8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72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right w:val="single" w:sz="8" w:color="auto"/>
            </w:tcBorders>
          </w:tcPr>
          <w:p>
            <w:pPr>
              <w:spacing w:after="0"/>
              <w:rPr>
                <w:sz w:val="22"/>
                <w:szCs w:val="22"/>
                <w:color w:val="auto"/>
              </w:rPr>
            </w:pPr>
          </w:p>
        </w:tc>
        <w:tc>
          <w:tcPr>
            <w:tcW w:w="8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2,545,892</w:t>
            </w:r>
          </w:p>
        </w:tc>
        <w:tc>
          <w:tcPr>
            <w:tcW w:w="3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8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79"/>
              </w:rPr>
              <w:t>9.</w:t>
            </w:r>
          </w:p>
        </w:tc>
        <w:tc>
          <w:tcPr>
            <w:tcW w:w="320" w:type="dxa"/>
            <w:vAlign w:val="bottom"/>
            <w:tcBorders>
              <w:right w:val="single" w:sz="8" w:color="auto"/>
            </w:tcBorders>
          </w:tcPr>
          <w:p>
            <w:pPr>
              <w:spacing w:after="0"/>
              <w:rPr>
                <w:sz w:val="24"/>
                <w:szCs w:val="24"/>
                <w:color w:val="auto"/>
              </w:rPr>
            </w:pPr>
          </w:p>
        </w:tc>
        <w:tc>
          <w:tcPr>
            <w:tcW w:w="101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2,545,892</w:t>
            </w:r>
          </w:p>
        </w:tc>
        <w:tc>
          <w:tcPr>
            <w:tcW w:w="5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5"/>
              </w:rPr>
              <w:t>10.</w:t>
            </w:r>
          </w:p>
        </w:tc>
        <w:tc>
          <w:tcPr>
            <w:tcW w:w="320" w:type="dxa"/>
            <w:vAlign w:val="bottom"/>
            <w:tcBorders>
              <w:right w:val="single" w:sz="8" w:color="auto"/>
            </w:tcBorders>
          </w:tcPr>
          <w:p>
            <w:pPr>
              <w:spacing w:after="0"/>
              <w:rPr>
                <w:sz w:val="24"/>
                <w:szCs w:val="24"/>
                <w:color w:val="auto"/>
              </w:rPr>
            </w:pPr>
          </w:p>
        </w:tc>
        <w:tc>
          <w:tcPr>
            <w:tcW w:w="10180" w:type="dxa"/>
            <w:vAlign w:val="bottom"/>
            <w:gridSpan w:val="3"/>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w w:val="96"/>
              </w:rPr>
              <w:t>(SEE INSTRUCTIONS)</w:t>
            </w:r>
          </w:p>
        </w:tc>
        <w:tc>
          <w:tcPr>
            <w:tcW w:w="8220" w:type="dxa"/>
            <w:vAlign w:val="bottom"/>
          </w:tcPr>
          <w:p>
            <w:pPr>
              <w:spacing w:after="0"/>
              <w:rPr>
                <w:sz w:val="20"/>
                <w:szCs w:val="20"/>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0180" w:type="dxa"/>
            <w:vAlign w:val="bottom"/>
            <w:tcBorders>
              <w:bottom w:val="single" w:sz="8" w:color="auto"/>
            </w:tcBorders>
            <w:gridSpan w:val="3"/>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79"/>
              </w:rPr>
              <w:t>11.</w:t>
            </w:r>
          </w:p>
        </w:tc>
        <w:tc>
          <w:tcPr>
            <w:tcW w:w="320" w:type="dxa"/>
            <w:vAlign w:val="bottom"/>
            <w:tcBorders>
              <w:right w:val="single" w:sz="8" w:color="auto"/>
            </w:tcBorders>
          </w:tcPr>
          <w:p>
            <w:pPr>
              <w:spacing w:after="0"/>
              <w:rPr>
                <w:sz w:val="24"/>
                <w:szCs w:val="24"/>
                <w:color w:val="auto"/>
              </w:rPr>
            </w:pPr>
          </w:p>
        </w:tc>
        <w:tc>
          <w:tcPr>
            <w:tcW w:w="101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7.3%</w:t>
            </w:r>
          </w:p>
        </w:tc>
        <w:tc>
          <w:tcPr>
            <w:tcW w:w="5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5"/>
              </w:rPr>
              <w:t>12.</w:t>
            </w:r>
          </w:p>
        </w:tc>
        <w:tc>
          <w:tcPr>
            <w:tcW w:w="320" w:type="dxa"/>
            <w:vAlign w:val="bottom"/>
            <w:tcBorders>
              <w:right w:val="single" w:sz="8" w:color="auto"/>
            </w:tcBorders>
          </w:tcPr>
          <w:p>
            <w:pPr>
              <w:spacing w:after="0"/>
              <w:rPr>
                <w:sz w:val="24"/>
                <w:szCs w:val="24"/>
                <w:color w:val="auto"/>
              </w:rPr>
            </w:pPr>
          </w:p>
        </w:tc>
        <w:tc>
          <w:tcPr>
            <w:tcW w:w="101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IA</w:t>
            </w:r>
          </w:p>
        </w:tc>
        <w:tc>
          <w:tcPr>
            <w:tcW w:w="5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960" w:type="dxa"/>
            <w:vAlign w:val="bottom"/>
          </w:tcPr>
          <w:p>
            <w:pPr>
              <w:spacing w:after="0"/>
              <w:rPr>
                <w:sz w:val="20"/>
                <w:szCs w:val="20"/>
                <w:color w:val="auto"/>
              </w:rPr>
            </w:pPr>
          </w:p>
        </w:tc>
        <w:tc>
          <w:tcPr>
            <w:tcW w:w="9860" w:type="dxa"/>
            <w:vAlign w:val="bottom"/>
            <w:gridSpan w:val="3"/>
          </w:tcPr>
          <w:p>
            <w:pPr>
              <w:ind w:left="200"/>
              <w:spacing w:after="0"/>
              <w:rPr>
                <w:sz w:val="20"/>
                <w:szCs w:val="20"/>
                <w:color w:val="auto"/>
              </w:rPr>
            </w:pPr>
            <w:r>
              <w:rPr>
                <w:rFonts w:ascii="Arial" w:cs="Arial" w:eastAsia="Arial" w:hAnsi="Arial"/>
                <w:sz w:val="18"/>
                <w:szCs w:val="18"/>
                <w:color w:val="auto"/>
              </w:rPr>
              <w:t>Kornit Digital, LTD</w:t>
            </w: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96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w w:val="90"/>
              </w:rPr>
              <w:t>12 Ha Amal St.</w:t>
            </w:r>
          </w:p>
        </w:tc>
        <w:tc>
          <w:tcPr>
            <w:tcW w:w="85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860" w:type="dxa"/>
            <w:vAlign w:val="bottom"/>
            <w:gridSpan w:val="3"/>
          </w:tcPr>
          <w:p>
            <w:pPr>
              <w:ind w:left="200"/>
              <w:spacing w:after="0"/>
              <w:rPr>
                <w:sz w:val="20"/>
                <w:szCs w:val="20"/>
                <w:color w:val="auto"/>
              </w:rPr>
            </w:pPr>
            <w:r>
              <w:rPr>
                <w:rFonts w:ascii="Arial" w:cs="Arial" w:eastAsia="Arial" w:hAnsi="Arial"/>
                <w:sz w:val="18"/>
                <w:szCs w:val="18"/>
                <w:color w:val="auto"/>
              </w:rPr>
              <w:t>Afar Park, Rosh-HA</w:t>
            </w:r>
          </w:p>
        </w:tc>
      </w:tr>
      <w:tr>
        <w:trPr>
          <w:trHeight w:val="230"/>
        </w:trPr>
        <w:tc>
          <w:tcPr>
            <w:tcW w:w="960" w:type="dxa"/>
            <w:vAlign w:val="bottom"/>
          </w:tcPr>
          <w:p>
            <w:pPr>
              <w:spacing w:after="0"/>
              <w:rPr>
                <w:sz w:val="20"/>
                <w:szCs w:val="20"/>
                <w:color w:val="auto"/>
              </w:rPr>
            </w:pPr>
          </w:p>
        </w:tc>
        <w:tc>
          <w:tcPr>
            <w:tcW w:w="9860" w:type="dxa"/>
            <w:vAlign w:val="bottom"/>
            <w:gridSpan w:val="3"/>
          </w:tcPr>
          <w:p>
            <w:pPr>
              <w:ind w:left="200"/>
              <w:spacing w:after="0"/>
              <w:rPr>
                <w:sz w:val="20"/>
                <w:szCs w:val="20"/>
                <w:color w:val="auto"/>
              </w:rPr>
            </w:pPr>
            <w:r>
              <w:rPr>
                <w:rFonts w:ascii="Arial" w:cs="Arial" w:eastAsia="Arial" w:hAnsi="Arial"/>
                <w:sz w:val="18"/>
                <w:szCs w:val="18"/>
                <w:color w:val="auto"/>
              </w:rPr>
              <w:t>Ayin 4809246, Israel</w:t>
            </w: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960" w:type="dxa"/>
            <w:vAlign w:val="bottom"/>
          </w:tcPr>
          <w:p>
            <w:pPr>
              <w:spacing w:after="0"/>
              <w:rPr>
                <w:sz w:val="20"/>
                <w:szCs w:val="20"/>
                <w:color w:val="auto"/>
              </w:rPr>
            </w:pPr>
          </w:p>
        </w:tc>
        <w:tc>
          <w:tcPr>
            <w:tcW w:w="9860" w:type="dxa"/>
            <w:vAlign w:val="bottom"/>
            <w:gridSpan w:val="3"/>
          </w:tcPr>
          <w:p>
            <w:pPr>
              <w:ind w:left="200"/>
              <w:spacing w:after="0"/>
              <w:rPr>
                <w:sz w:val="20"/>
                <w:szCs w:val="20"/>
                <w:color w:val="auto"/>
              </w:rPr>
            </w:pPr>
            <w:r>
              <w:rPr>
                <w:rFonts w:ascii="Arial" w:cs="Arial" w:eastAsia="Arial" w:hAnsi="Arial"/>
                <w:sz w:val="18"/>
                <w:szCs w:val="18"/>
                <w:color w:val="auto"/>
              </w:rPr>
              <w:t>American Capital Management, Inc.</w:t>
            </w: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16"/>
        </w:trPr>
        <w:tc>
          <w:tcPr>
            <w:tcW w:w="960" w:type="dxa"/>
            <w:vAlign w:val="bottom"/>
          </w:tcPr>
          <w:p>
            <w:pPr>
              <w:spacing w:after="0"/>
              <w:rPr>
                <w:sz w:val="18"/>
                <w:szCs w:val="18"/>
                <w:color w:val="auto"/>
              </w:rPr>
            </w:pPr>
          </w:p>
        </w:tc>
        <w:tc>
          <w:tcPr>
            <w:tcW w:w="9860" w:type="dxa"/>
            <w:vAlign w:val="bottom"/>
            <w:gridSpan w:val="3"/>
          </w:tcPr>
          <w:p>
            <w:pPr>
              <w:ind w:left="200"/>
              <w:spacing w:after="0"/>
              <w:rPr>
                <w:sz w:val="20"/>
                <w:szCs w:val="20"/>
                <w:color w:val="auto"/>
              </w:rPr>
            </w:pPr>
            <w:r>
              <w:rPr>
                <w:rFonts w:ascii="Arial" w:cs="Arial" w:eastAsia="Arial" w:hAnsi="Arial"/>
                <w:sz w:val="18"/>
                <w:szCs w:val="18"/>
                <w:color w:val="auto"/>
              </w:rPr>
              <w:t>551 Madison Ave, Suite 902</w:t>
            </w:r>
          </w:p>
        </w:tc>
      </w:tr>
      <w:tr>
        <w:trPr>
          <w:trHeight w:val="230"/>
        </w:trPr>
        <w:tc>
          <w:tcPr>
            <w:tcW w:w="960" w:type="dxa"/>
            <w:vAlign w:val="bottom"/>
          </w:tcPr>
          <w:p>
            <w:pPr>
              <w:spacing w:after="0"/>
              <w:rPr>
                <w:sz w:val="20"/>
                <w:szCs w:val="20"/>
                <w:color w:val="auto"/>
              </w:rPr>
            </w:pPr>
          </w:p>
        </w:tc>
        <w:tc>
          <w:tcPr>
            <w:tcW w:w="9860" w:type="dxa"/>
            <w:vAlign w:val="bottom"/>
            <w:gridSpan w:val="3"/>
          </w:tcPr>
          <w:p>
            <w:pPr>
              <w:ind w:left="200"/>
              <w:spacing w:after="0"/>
              <w:rPr>
                <w:sz w:val="20"/>
                <w:szCs w:val="20"/>
                <w:color w:val="auto"/>
              </w:rPr>
            </w:pPr>
            <w:r>
              <w:rPr>
                <w:rFonts w:ascii="Arial" w:cs="Arial" w:eastAsia="Arial" w:hAnsi="Arial"/>
                <w:sz w:val="18"/>
                <w:szCs w:val="18"/>
                <w:color w:val="auto"/>
              </w:rPr>
              <w:t>New York, NY 10022</w:t>
            </w: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Citizenship:</w:t>
            </w:r>
          </w:p>
        </w:tc>
        <w:tc>
          <w:tcPr>
            <w:tcW w:w="854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New York</w:t>
            </w:r>
          </w:p>
        </w:tc>
        <w:tc>
          <w:tcPr>
            <w:tcW w:w="854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9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w w:val="89"/>
              </w:rPr>
              <w:t>Common Stock</w:t>
            </w:r>
          </w:p>
        </w:tc>
        <w:tc>
          <w:tcPr>
            <w:tcW w:w="854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9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M6372Q113</w:t>
            </w:r>
          </w:p>
        </w:tc>
        <w:tc>
          <w:tcPr>
            <w:tcW w:w="8540" w:type="dxa"/>
            <w:vAlign w:val="bottom"/>
          </w:tcPr>
          <w:p>
            <w:pPr>
              <w:spacing w:after="0"/>
              <w:rPr>
                <w:sz w:val="20"/>
                <w:szCs w:val="20"/>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60" w:type="dxa"/>
            <w:vAlign w:val="bottom"/>
            <w:gridSpan w:val="3"/>
          </w:tcPr>
          <w:p>
            <w:pPr>
              <w:ind w:left="200"/>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418"/>
        </w:trPr>
        <w:tc>
          <w:tcPr>
            <w:tcW w:w="96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(a)</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(b)</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(c)</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(d)</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w w:val="99"/>
              </w:rPr>
              <w:t>Investment company registered under Section 8 of the Investment Company Act of 1940 (15 U.S.C. 80a-8);</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(e)</w:t>
            </w:r>
          </w:p>
        </w:tc>
        <w:tc>
          <w:tcPr>
            <w:tcW w:w="740" w:type="dxa"/>
            <w:vAlign w:val="bottom"/>
          </w:tcPr>
          <w:p>
            <w:pPr>
              <w:ind w:left="180"/>
              <w:spacing w:after="0"/>
              <w:rPr>
                <w:sz w:val="20"/>
                <w:szCs w:val="20"/>
                <w:color w:val="auto"/>
              </w:rPr>
            </w:pPr>
            <w:r>
              <w:rPr>
                <w:rFonts w:ascii="Arial" w:cs="Arial" w:eastAsia="Arial" w:hAnsi="Arial"/>
                <w:sz w:val="18"/>
                <w:szCs w:val="18"/>
                <w:color w:val="auto"/>
              </w:rPr>
              <w:t>þ</w:t>
            </w:r>
          </w:p>
        </w:tc>
        <w:tc>
          <w:tcPr>
            <w:tcW w:w="8540" w:type="dxa"/>
            <w:vAlign w:val="bottom"/>
          </w:tcPr>
          <w:p>
            <w:pPr>
              <w:ind w:left="2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(f)</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(g)</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(h)</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A savings association as defined in Section 3(b) of the Federal Deposit Insurance Act (12 U.S.C. 1813);</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(i)</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Company Act (15 U.S.C. 80a-3);</w:t>
            </w:r>
          </w:p>
        </w:tc>
      </w:tr>
      <w:tr>
        <w:trPr>
          <w:trHeight w:val="216"/>
        </w:trPr>
        <w:tc>
          <w:tcPr>
            <w:tcW w:w="96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(j)</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A non-U.S. institution in accordance with § 240.13d-1(b)(1)(ii)(J);</w:t>
            </w:r>
          </w:p>
        </w:tc>
      </w:tr>
      <w:tr>
        <w:trPr>
          <w:trHeight w:val="230"/>
        </w:trPr>
        <w:tc>
          <w:tcPr>
            <w:tcW w:w="96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(k)</w:t>
            </w:r>
          </w:p>
        </w:tc>
        <w:tc>
          <w:tcPr>
            <w:tcW w:w="740" w:type="dxa"/>
            <w:vAlign w:val="bottom"/>
          </w:tcPr>
          <w:p>
            <w:pPr>
              <w:ind w:left="180"/>
              <w:spacing w:after="0"/>
              <w:rPr>
                <w:sz w:val="20"/>
                <w:szCs w:val="20"/>
                <w:color w:val="auto"/>
              </w:rPr>
            </w:pPr>
            <w:r>
              <w:rPr>
                <w:rFonts w:ascii="Arial" w:cs="Arial" w:eastAsia="Arial" w:hAnsi="Arial"/>
                <w:sz w:val="18"/>
                <w:szCs w:val="18"/>
                <w:color w:val="auto"/>
              </w:rPr>
              <w:t>o</w:t>
            </w:r>
          </w:p>
        </w:tc>
        <w:tc>
          <w:tcPr>
            <w:tcW w:w="8540" w:type="dxa"/>
            <w:vAlign w:val="bottom"/>
          </w:tcPr>
          <w:p>
            <w:pPr>
              <w:ind w:left="20"/>
              <w:spacing w:after="0"/>
              <w:rPr>
                <w:sz w:val="20"/>
                <w:szCs w:val="20"/>
                <w:color w:val="auto"/>
              </w:rPr>
            </w:pPr>
            <w:r>
              <w:rPr>
                <w:rFonts w:ascii="Arial" w:cs="Arial" w:eastAsia="Arial" w:hAnsi="Arial"/>
                <w:sz w:val="18"/>
                <w:szCs w:val="18"/>
                <w:color w:val="auto"/>
              </w:rPr>
              <w:t>Group, in accordance with § 240.13d-1(b)(1)(ii)(K).</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Ownership:</w:t>
            </w:r>
          </w:p>
        </w:tc>
        <w:tc>
          <w:tcPr>
            <w:tcW w:w="912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Arial" w:cs="Arial" w:eastAsia="Arial" w:hAnsi="Arial"/>
                <w:sz w:val="18"/>
                <w:szCs w:val="18"/>
                <w:color w:val="auto"/>
                <w:w w:val="92"/>
              </w:rPr>
              <w:t>Provide the following information regarding the aggregate number and percentage of the class of securities of the issuer identified in Item 1.</w:t>
            </w:r>
          </w:p>
        </w:tc>
      </w:tr>
      <w:tr>
        <w:trPr>
          <w:trHeight w:val="432"/>
        </w:trPr>
        <w:tc>
          <w:tcPr>
            <w:tcW w:w="9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984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2,545,892</w:t>
            </w:r>
          </w:p>
        </w:tc>
      </w:tr>
      <w:tr>
        <w:trPr>
          <w:trHeight w:val="432"/>
        </w:trPr>
        <w:tc>
          <w:tcPr>
            <w:tcW w:w="9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9840" w:type="dxa"/>
            <w:vAlign w:val="bottom"/>
            <w:gridSpan w:val="2"/>
          </w:tcPr>
          <w:p>
            <w:pPr>
              <w:ind w:left="160"/>
              <w:spacing w:after="0"/>
              <w:rPr>
                <w:sz w:val="20"/>
                <w:szCs w:val="20"/>
                <w:color w:val="auto"/>
              </w:rPr>
            </w:pPr>
            <w:r>
              <w:rPr>
                <w:rFonts w:ascii="Arial" w:cs="Arial" w:eastAsia="Arial" w:hAnsi="Arial"/>
                <w:sz w:val="18"/>
                <w:szCs w:val="18"/>
                <w:color w:val="auto"/>
              </w:rPr>
              <w:t>Percent of class: 7.3%</w:t>
            </w:r>
          </w:p>
        </w:tc>
      </w:tr>
      <w:tr>
        <w:trPr>
          <w:trHeight w:val="432"/>
        </w:trPr>
        <w:tc>
          <w:tcPr>
            <w:tcW w:w="9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984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r>
        <w:trPr>
          <w:trHeight w:val="43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w:t>
            </w:r>
          </w:p>
        </w:tc>
        <w:tc>
          <w:tcPr>
            <w:tcW w:w="9120" w:type="dxa"/>
            <w:vAlign w:val="bottom"/>
          </w:tcPr>
          <w:p>
            <w:pPr>
              <w:ind w:left="2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(ii)</w:t>
            </w:r>
          </w:p>
        </w:tc>
        <w:tc>
          <w:tcPr>
            <w:tcW w:w="9120" w:type="dxa"/>
            <w:vAlign w:val="bottom"/>
          </w:tcPr>
          <w:p>
            <w:pPr>
              <w:ind w:left="20"/>
              <w:spacing w:after="0"/>
              <w:rPr>
                <w:sz w:val="20"/>
                <w:szCs w:val="20"/>
                <w:color w:val="auto"/>
              </w:rPr>
            </w:pPr>
            <w:r>
              <w:rPr>
                <w:rFonts w:ascii="Arial" w:cs="Arial" w:eastAsia="Arial" w:hAnsi="Arial"/>
                <w:sz w:val="18"/>
                <w:szCs w:val="18"/>
                <w:color w:val="auto"/>
              </w:rPr>
              <w:t>Shared power to vote or to direct the vote: 0</w:t>
            </w:r>
          </w:p>
        </w:tc>
      </w:tr>
      <w:tr>
        <w:trPr>
          <w:trHeight w:val="43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(iii)</w:t>
            </w:r>
          </w:p>
        </w:tc>
        <w:tc>
          <w:tcPr>
            <w:tcW w:w="9120" w:type="dxa"/>
            <w:vAlign w:val="bottom"/>
          </w:tcPr>
          <w:p>
            <w:pPr>
              <w:ind w:left="20"/>
              <w:spacing w:after="0"/>
              <w:rPr>
                <w:sz w:val="20"/>
                <w:szCs w:val="20"/>
                <w:color w:val="auto"/>
              </w:rPr>
            </w:pPr>
            <w:r>
              <w:rPr>
                <w:rFonts w:ascii="Arial" w:cs="Arial" w:eastAsia="Arial" w:hAnsi="Arial"/>
                <w:sz w:val="18"/>
                <w:szCs w:val="18"/>
                <w:color w:val="auto"/>
              </w:rPr>
              <w:t>Sole power to dispose or to direct the disposition of: 2,545,892</w:t>
            </w:r>
          </w:p>
        </w:tc>
      </w:tr>
      <w:tr>
        <w:trPr>
          <w:trHeight w:val="43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(iv)</w:t>
            </w:r>
          </w:p>
        </w:tc>
        <w:tc>
          <w:tcPr>
            <w:tcW w:w="9120" w:type="dxa"/>
            <w:vAlign w:val="bottom"/>
          </w:tcPr>
          <w:p>
            <w:pPr>
              <w:ind w:left="20"/>
              <w:spacing w:after="0"/>
              <w:rPr>
                <w:sz w:val="20"/>
                <w:szCs w:val="20"/>
                <w:color w:val="auto"/>
              </w:rPr>
            </w:pPr>
            <w:r>
              <w:rPr>
                <w:rFonts w:ascii="Arial" w:cs="Arial" w:eastAsia="Arial" w:hAnsi="Arial"/>
                <w:sz w:val="18"/>
                <w:szCs w:val="18"/>
                <w:color w:val="auto"/>
              </w:rPr>
              <w:t>Shared power to dispose or to direct the disposition of: 0</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00" w:type="dxa"/>
            <w:vAlign w:val="bottom"/>
            <w:gridSpan w:val="3"/>
          </w:tcPr>
          <w:p>
            <w:pPr>
              <w:ind w:left="2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16"/>
        </w:trPr>
        <w:tc>
          <w:tcPr>
            <w:tcW w:w="900" w:type="dxa"/>
            <w:vAlign w:val="bottom"/>
          </w:tcPr>
          <w:p>
            <w:pPr>
              <w:spacing w:after="0"/>
              <w:rPr>
                <w:sz w:val="18"/>
                <w:szCs w:val="18"/>
                <w:color w:val="auto"/>
              </w:rPr>
            </w:pPr>
          </w:p>
        </w:tc>
        <w:tc>
          <w:tcPr>
            <w:tcW w:w="10500" w:type="dxa"/>
            <w:vAlign w:val="bottom"/>
            <w:gridSpan w:val="3"/>
          </w:tcPr>
          <w:p>
            <w:pPr>
              <w:ind w:left="260"/>
              <w:spacing w:after="0"/>
              <w:rPr>
                <w:sz w:val="20"/>
                <w:szCs w:val="20"/>
                <w:color w:val="auto"/>
              </w:rPr>
            </w:pPr>
            <w:r>
              <w:rPr>
                <w:rFonts w:ascii="Arial" w:cs="Arial" w:eastAsia="Arial" w:hAnsi="Arial"/>
                <w:sz w:val="18"/>
                <w:szCs w:val="18"/>
                <w:color w:val="auto"/>
                <w:w w:val="91"/>
              </w:rPr>
              <w:t>If this statement is being filed to report the fact that as of the date hereof the reporting person has ceased to be the beneficial owner of more</w:t>
            </w:r>
          </w:p>
        </w:tc>
      </w:tr>
      <w:tr>
        <w:trPr>
          <w:trHeight w:val="230"/>
        </w:trPr>
        <w:tc>
          <w:tcPr>
            <w:tcW w:w="9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Arial" w:cs="Arial" w:eastAsia="Arial" w:hAnsi="Arial"/>
                <w:sz w:val="18"/>
                <w:szCs w:val="18"/>
                <w:color w:val="auto"/>
              </w:rPr>
              <w:t>than 5 percent of the class of securities, check the following. o</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3"/>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20"/>
                <w:szCs w:val="20"/>
                <w:color w:val="auto"/>
              </w:rPr>
            </w:pPr>
          </w:p>
        </w:tc>
        <w:tc>
          <w:tcPr>
            <w:tcW w:w="912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0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 Company:</w:t>
            </w:r>
          </w:p>
        </w:tc>
      </w:tr>
      <w:tr>
        <w:trPr>
          <w:trHeight w:val="230"/>
        </w:trPr>
        <w:tc>
          <w:tcPr>
            <w:tcW w:w="9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20"/>
                <w:szCs w:val="20"/>
                <w:color w:val="auto"/>
              </w:rPr>
            </w:pPr>
          </w:p>
        </w:tc>
        <w:tc>
          <w:tcPr>
            <w:tcW w:w="912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00" w:type="dxa"/>
            <w:vAlign w:val="bottom"/>
            <w:gridSpan w:val="3"/>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20"/>
                <w:szCs w:val="20"/>
                <w:color w:val="auto"/>
              </w:rPr>
            </w:pPr>
          </w:p>
        </w:tc>
        <w:tc>
          <w:tcPr>
            <w:tcW w:w="912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00" w:type="dxa"/>
            <w:vAlign w:val="bottom"/>
            <w:gridSpan w:val="3"/>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20"/>
                <w:szCs w:val="20"/>
                <w:color w:val="auto"/>
              </w:rPr>
            </w:pPr>
          </w:p>
        </w:tc>
        <w:tc>
          <w:tcPr>
            <w:tcW w:w="912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w w:val="90"/>
              </w:rPr>
              <w:t>Certifications:</w:t>
            </w:r>
          </w:p>
        </w:tc>
        <w:tc>
          <w:tcPr>
            <w:tcW w:w="91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0500" w:type="dxa"/>
            <w:vAlign w:val="bottom"/>
            <w:gridSpan w:val="3"/>
          </w:tcPr>
          <w:p>
            <w:pPr>
              <w:ind w:left="2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acquired and are held in the</w:t>
            </w:r>
          </w:p>
        </w:tc>
      </w:tr>
      <w:tr>
        <w:trPr>
          <w:trHeight w:val="230"/>
        </w:trPr>
        <w:tc>
          <w:tcPr>
            <w:tcW w:w="900" w:type="dxa"/>
            <w:vAlign w:val="bottom"/>
          </w:tcPr>
          <w:p>
            <w:pPr>
              <w:spacing w:after="0"/>
              <w:rPr>
                <w:sz w:val="20"/>
                <w:szCs w:val="20"/>
                <w:color w:val="auto"/>
              </w:rPr>
            </w:pPr>
          </w:p>
        </w:tc>
        <w:tc>
          <w:tcPr>
            <w:tcW w:w="10500" w:type="dxa"/>
            <w:vAlign w:val="bottom"/>
            <w:gridSpan w:val="3"/>
          </w:tcPr>
          <w:p>
            <w:pPr>
              <w:ind w:left="260"/>
              <w:spacing w:after="0"/>
              <w:rPr>
                <w:sz w:val="20"/>
                <w:szCs w:val="20"/>
                <w:color w:val="auto"/>
              </w:rPr>
            </w:pPr>
            <w:r>
              <w:rPr>
                <w:rFonts w:ascii="Arial" w:cs="Arial" w:eastAsia="Arial" w:hAnsi="Arial"/>
                <w:sz w:val="18"/>
                <w:szCs w:val="18"/>
                <w:color w:val="auto"/>
                <w:w w:val="91"/>
              </w:rPr>
              <w:t>ordinary course of business and were not acquired and are not held for the purpose of or with the effect of changing or influencing the control</w:t>
            </w:r>
          </w:p>
        </w:tc>
      </w:tr>
    </w:tbl>
    <w:p>
      <w:pPr>
        <w:ind w:left="1160"/>
        <w:spacing w:after="0" w:line="261" w:lineRule="auto"/>
        <w:rPr>
          <w:sz w:val="20"/>
          <w:szCs w:val="20"/>
          <w:color w:val="auto"/>
        </w:rPr>
      </w:pPr>
      <w:r>
        <w:rPr>
          <w:rFonts w:ascii="Arial" w:cs="Arial" w:eastAsia="Arial" w:hAnsi="Arial"/>
          <w:sz w:val="18"/>
          <w:szCs w:val="18"/>
          <w:color w:val="auto"/>
        </w:rPr>
        <w:t>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ind w:left="5160"/>
        <w:spacing w:after="0"/>
        <w:tabs>
          <w:tab w:leader="none" w:pos="5740" w:val="left"/>
        </w:tabs>
        <w:rPr>
          <w:sz w:val="20"/>
          <w:szCs w:val="20"/>
          <w:color w:val="auto"/>
        </w:rPr>
      </w:pPr>
      <w:r>
        <w:rPr>
          <w:rFonts w:ascii="Arial" w:cs="Arial" w:eastAsia="Arial" w:hAnsi="Arial"/>
          <w:sz w:val="18"/>
          <w:szCs w:val="18"/>
          <w:color w:val="auto"/>
        </w:rPr>
        <w:t>Date:</w:t>
        <w:tab/>
        <w:t>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16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 La 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40640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Michael P. LaValle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40640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59" w:lineRule="exact"/>
        <w:rPr>
          <w:sz w:val="20"/>
          <w:szCs w:val="20"/>
          <w:color w:val="auto"/>
        </w:rPr>
      </w:pPr>
    </w:p>
    <w:p>
      <w:pPr>
        <w:ind w:left="5160"/>
        <w:spacing w:after="0"/>
        <w:tabs>
          <w:tab w:leader="none" w:pos="574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40640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24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þ"/>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2019-12-17T07:39:03Z</dcterms:created>
  <dcterms:modified xsi:type="dcterms:W3CDTF">2019-12-17T07:39:03Z</dcterms:modified>
</cp:coreProperties>
</file>