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4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For the month of June 2019</w:t>
      </w:r>
    </w:p>
    <w:p>
      <w:pPr>
        <w:spacing w:after="0" w:line="225"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Commission File Number: 001-36903</w:t>
      </w:r>
    </w:p>
    <w:p>
      <w:pPr>
        <w:spacing w:after="0" w:line="217" w:lineRule="exact"/>
        <w:rPr>
          <w:sz w:val="24"/>
          <w:szCs w:val="24"/>
          <w:color w:val="auto"/>
        </w:rPr>
      </w:pPr>
    </w:p>
    <w:p>
      <w:pPr>
        <w:jc w:val="center"/>
        <w:ind w:right="-54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3860"/>
        <w:spacing w:after="0" w:line="207" w:lineRule="exact"/>
        <w:tabs>
          <w:tab w:leader="none" w:pos="5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June 13, 2019, Kornit Digital Ltd. (the “Company”) entered into an underwriting agreement (the “Underwriting Agreement”), with Citigroup Global Markets Inc., Goldman Sachs &amp; Co. LLC and Barclays Capital Inc., as representatives of the several underwriters named therein (the “Underwriters”), relating to an underwritten public offering (the “Offering”), of 4,340,000 ordinary shares of the Company. The offering price to the public is $27.50 per share. In addition, the Company granted the Underwriters a 30-day option to purchase up to an additional 651,000 ordinary shares at the public offering price. The Offering is expected to close on or about June 18, 2019.</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 xml:space="preserve">The foregoing description of the Underwriting Agreement is only a summary and is qualified in its entirety by reference to the Underwriting Agreement, a copy of which is attached as </w:t>
      </w:r>
      <w:r>
        <w:rPr>
          <w:rFonts w:ascii="Arial" w:cs="Arial" w:eastAsia="Arial" w:hAnsi="Arial"/>
          <w:sz w:val="18"/>
          <w:szCs w:val="18"/>
          <w:u w:val="single" w:color="auto"/>
          <w:color w:val="0000EE"/>
        </w:rPr>
        <w:t>Exhibit 1.1</w:t>
      </w:r>
      <w:r>
        <w:rPr>
          <w:rFonts w:ascii="Arial" w:cs="Arial" w:eastAsia="Arial" w:hAnsi="Arial"/>
          <w:sz w:val="18"/>
          <w:szCs w:val="18"/>
          <w:color w:val="auto"/>
        </w:rPr>
        <w:t xml:space="preserve"> to this Form 6-K.</w:t>
      </w:r>
    </w:p>
    <w:p>
      <w:pPr>
        <w:spacing w:after="0" w:line="170" w:lineRule="exact"/>
        <w:rPr>
          <w:sz w:val="20"/>
          <w:szCs w:val="20"/>
          <w:color w:val="auto"/>
        </w:rPr>
      </w:pPr>
    </w:p>
    <w:p>
      <w:pPr>
        <w:jc w:val="both"/>
        <w:ind w:firstLine="51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Offering is being made pursuant to the Company’s effective registration statement on </w:t>
      </w:r>
      <w:hyperlink r:id="rId13">
        <w:r>
          <w:rPr>
            <w:rFonts w:ascii="Arial" w:cs="Arial" w:eastAsia="Arial" w:hAnsi="Arial"/>
            <w:sz w:val="18"/>
            <w:szCs w:val="18"/>
            <w:u w:val="single" w:color="auto"/>
            <w:color w:val="0000EE"/>
          </w:rPr>
          <w:t>Form F-3ASR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333-232070), previously filed with the Securities and Exchange Commission (the “SEC”).</w:t>
      </w:r>
    </w:p>
    <w:p>
      <w:pPr>
        <w:spacing w:after="0" w:line="1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 xml:space="preserve">On June 11, 2019, the Company issued a press release titled, “Kornit Announces Launch of Public Offering of Ordinary Shares.” A copy of this press release is attached as </w:t>
      </w:r>
      <w:r>
        <w:rPr>
          <w:rFonts w:ascii="Arial" w:cs="Arial" w:eastAsia="Arial" w:hAnsi="Arial"/>
          <w:sz w:val="18"/>
          <w:szCs w:val="18"/>
          <w:u w:val="single" w:color="auto"/>
          <w:color w:val="0000EE"/>
        </w:rPr>
        <w:t>Exhibit 99.1</w:t>
      </w:r>
      <w:r>
        <w:rPr>
          <w:rFonts w:ascii="Arial" w:cs="Arial" w:eastAsia="Arial" w:hAnsi="Arial"/>
          <w:sz w:val="18"/>
          <w:szCs w:val="18"/>
          <w:color w:val="auto"/>
        </w:rPr>
        <w:t xml:space="preserve"> to this Form 6-K.</w:t>
      </w:r>
    </w:p>
    <w:p>
      <w:pPr>
        <w:spacing w:after="0" w:line="1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 xml:space="preserve">On June 13, 2019, the Company issued a press release titled, “Kornit Announces Pricing of Public Offering of Ordinary Shares.” A copy of this press release is attached as </w:t>
      </w:r>
      <w:r>
        <w:rPr>
          <w:rFonts w:ascii="Arial" w:cs="Arial" w:eastAsia="Arial" w:hAnsi="Arial"/>
          <w:sz w:val="18"/>
          <w:szCs w:val="18"/>
          <w:u w:val="single" w:color="auto"/>
          <w:color w:val="0000EE"/>
        </w:rPr>
        <w:t>Exhibit 99.2</w:t>
      </w:r>
      <w:r>
        <w:rPr>
          <w:rFonts w:ascii="Arial" w:cs="Arial" w:eastAsia="Arial" w:hAnsi="Arial"/>
          <w:sz w:val="18"/>
          <w:szCs w:val="18"/>
          <w:color w:val="auto"/>
        </w:rPr>
        <w:t xml:space="preserve"> to this Form 6-K.</w:t>
      </w:r>
    </w:p>
    <w:p>
      <w:pPr>
        <w:spacing w:after="0" w:line="170" w:lineRule="exact"/>
        <w:rPr>
          <w:sz w:val="20"/>
          <w:szCs w:val="20"/>
          <w:color w:val="auto"/>
        </w:rPr>
      </w:pPr>
    </w:p>
    <w:p>
      <w:pPr>
        <w:jc w:val="both"/>
        <w:ind w:firstLine="510"/>
        <w:spacing w:after="0" w:line="286" w:lineRule="auto"/>
        <w:rPr>
          <w:rFonts w:ascii="Arial" w:cs="Arial" w:eastAsia="Arial" w:hAnsi="Arial"/>
          <w:sz w:val="17"/>
          <w:szCs w:val="17"/>
          <w:color w:val="0000EE"/>
        </w:rPr>
      </w:pPr>
      <w:hyperlink r:id="rId13">
        <w:r>
          <w:rPr>
            <w:rFonts w:ascii="Arial" w:cs="Arial" w:eastAsia="Arial" w:hAnsi="Arial"/>
            <w:sz w:val="17"/>
            <w:szCs w:val="17"/>
            <w:color w:val="auto"/>
          </w:rPr>
          <w:t xml:space="preserve">This Report of Foreign Private Issuer is incorporated by reference in the Company’s registration statements on Form F-3, SEC file number </w:t>
        </w:r>
        <w:r>
          <w:rPr>
            <w:rFonts w:ascii="Arial" w:cs="Arial" w:eastAsia="Arial" w:hAnsi="Arial"/>
            <w:sz w:val="17"/>
            <w:szCs w:val="17"/>
            <w:u w:val="single" w:color="auto"/>
            <w:color w:val="0000EE"/>
          </w:rPr>
          <w:t>333-</w:t>
        </w:r>
      </w:hyperlink>
      <w:hyperlink r:id="rId13">
        <w:r>
          <w:rPr>
            <w:rFonts w:ascii="Arial" w:cs="Arial" w:eastAsia="Arial" w:hAnsi="Arial"/>
            <w:sz w:val="17"/>
            <w:szCs w:val="17"/>
            <w:u w:val="single" w:color="auto"/>
            <w:color w:val="0000EE"/>
          </w:rPr>
          <w:t>232070</w:t>
        </w:r>
        <w:r>
          <w:rPr>
            <w:rFonts w:ascii="Arial" w:cs="Arial" w:eastAsia="Arial" w:hAnsi="Arial"/>
            <w:sz w:val="17"/>
            <w:szCs w:val="17"/>
            <w:color w:val="000000"/>
          </w:rPr>
          <w:t>, filed with the SEC on June 11, 2019, and on Form S-8, SEC file numbers</w:t>
        </w:r>
        <w:r>
          <w:rPr>
            <w:rFonts w:ascii="Arial" w:cs="Arial" w:eastAsia="Arial" w:hAnsi="Arial"/>
            <w:sz w:val="17"/>
            <w:szCs w:val="17"/>
            <w:color w:val="0000EE"/>
          </w:rPr>
          <w:t xml:space="preserve"> </w:t>
        </w:r>
      </w:hyperlink>
      <w:hyperlink r:id="rId14">
        <w:r>
          <w:rPr>
            <w:rFonts w:ascii="Arial" w:cs="Arial" w:eastAsia="Arial" w:hAnsi="Arial"/>
            <w:sz w:val="17"/>
            <w:szCs w:val="17"/>
            <w:u w:val="single" w:color="auto"/>
            <w:color w:val="0000EE"/>
          </w:rPr>
          <w:t>333-230567</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5">
        <w:r>
          <w:rPr>
            <w:rFonts w:ascii="Arial" w:cs="Arial" w:eastAsia="Arial" w:hAnsi="Arial"/>
            <w:sz w:val="17"/>
            <w:szCs w:val="17"/>
            <w:u w:val="single" w:color="auto"/>
            <w:color w:val="0000EE"/>
          </w:rPr>
          <w:t>333-223794</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6">
        <w:r>
          <w:rPr>
            <w:rFonts w:ascii="Arial" w:cs="Arial" w:eastAsia="Arial" w:hAnsi="Arial"/>
            <w:sz w:val="17"/>
            <w:szCs w:val="17"/>
            <w:u w:val="single" w:color="auto"/>
            <w:color w:val="0000EE"/>
          </w:rPr>
          <w:t>333-217039</w:t>
        </w:r>
      </w:hyperlink>
      <w:hyperlink r:id="rId13">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7">
        <w:r>
          <w:rPr>
            <w:rFonts w:ascii="Arial" w:cs="Arial" w:eastAsia="Arial" w:hAnsi="Arial"/>
            <w:sz w:val="17"/>
            <w:szCs w:val="17"/>
            <w:u w:val="single" w:color="auto"/>
            <w:color w:val="0000EE"/>
          </w:rPr>
          <w:t xml:space="preserve">333-214015 </w:t>
        </w:r>
      </w:hyperlink>
      <w:hyperlink r:id="rId13">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18">
        <w:r>
          <w:rPr>
            <w:rFonts w:ascii="Arial" w:cs="Arial" w:eastAsia="Arial" w:hAnsi="Arial"/>
            <w:sz w:val="17"/>
            <w:szCs w:val="17"/>
            <w:u w:val="single" w:color="auto"/>
            <w:color w:val="0000EE"/>
          </w:rPr>
          <w:t>333-203970</w:t>
        </w:r>
      </w:hyperlink>
      <w:hyperlink r:id="rId13">
        <w:r>
          <w:rPr>
            <w:rFonts w:ascii="Arial" w:cs="Arial" w:eastAsia="Arial" w:hAnsi="Arial"/>
            <w:sz w:val="17"/>
            <w:szCs w:val="17"/>
            <w:color w:val="000000"/>
          </w:rPr>
          <w:t>, filed</w:t>
        </w:r>
      </w:hyperlink>
      <w:r>
        <w:rPr>
          <w:rFonts w:ascii="Arial" w:cs="Arial" w:eastAsia="Arial" w:hAnsi="Arial"/>
          <w:sz w:val="17"/>
          <w:szCs w:val="17"/>
          <w:color w:val="0000EE"/>
        </w:rPr>
        <w:t xml:space="preserve"> </w:t>
      </w:r>
      <w:r>
        <w:rPr>
          <w:rFonts w:ascii="Arial" w:cs="Arial" w:eastAsia="Arial" w:hAnsi="Arial"/>
          <w:sz w:val="17"/>
          <w:szCs w:val="17"/>
          <w:color w:val="000000"/>
        </w:rPr>
        <w:t>with the SEC on March 28, 2019, March 20, 2018, March 30, 2017, October 6, 2016 and May 7, 2015, respectively.</w:t>
      </w:r>
    </w:p>
    <w:p>
      <w:pPr>
        <w:spacing w:after="0" w:line="374"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June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560" w:type="dxa"/>
            <w:vAlign w:val="bottom"/>
            <w:gridSpan w:val="5"/>
          </w:tcPr>
          <w:p>
            <w:pPr>
              <w:ind w:left="2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0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380" w:type="dxa"/>
            <w:vAlign w:val="bottom"/>
            <w:gridSpan w:val="6"/>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380" w:type="dxa"/>
            <w:vAlign w:val="bottom"/>
            <w:tcBorders>
              <w:top w:val="single" w:sz="8" w:color="auto"/>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2"/>
              </w:rPr>
              <w:t>Underwriting Agreement, dated as of June 13, 2019, by and among the Company, Citigroup Global Markets Inc., Goldman Sachs &amp; Co. LLC</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0000EE"/>
              </w:rPr>
              <w:t>and Barclays Capital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c>
          <w:tcPr>
            <w:tcW w:w="103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w w:val="98"/>
              </w:rPr>
              <w:t>Opinion of Meitar Liquornik Leshem Tal, Israeli counsel to the Registrant, as to the validity of the ordinary shares (including consent).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103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Consent of Meitar Liquornik Geva Leshem Tal (included in Exhibit 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3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June 11, 2019 and titled, “Kornit Announces Launch of Public Offering of Ordinary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103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June 13, 2019 and titled, “Kornit Announces Pricing of Public Offering of Ordinary Shares.”</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60" w:type="dxa"/>
            <w:vAlign w:val="bottom"/>
            <w:tcBorders>
              <w:top w:val="single" w:sz="8" w:color="0000EE"/>
              <w:bottom w:val="single" w:sz="8" w:color="auto"/>
            </w:tcBorders>
            <w:gridSpan w:val="2"/>
          </w:tcPr>
          <w:p>
            <w:pPr>
              <w:ind w:left="4620"/>
              <w:spacing w:after="0"/>
              <w:rPr>
                <w:sz w:val="20"/>
                <w:szCs w:val="20"/>
                <w:color w:val="auto"/>
              </w:rPr>
            </w:pPr>
            <w:r>
              <w:rPr>
                <w:rFonts w:ascii="Arial" w:cs="Arial" w:eastAsia="Arial" w:hAnsi="Arial"/>
                <w:sz w:val="18"/>
                <w:szCs w:val="18"/>
                <w:color w:val="auto"/>
              </w:rPr>
              <w:t>3</w:t>
            </w:r>
          </w:p>
        </w:tc>
        <w:tc>
          <w:tcPr>
            <w:tcW w:w="28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4,340,000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OLDMAN</w:t>
      </w:r>
      <w:r>
        <w:rPr>
          <w:rFonts w:ascii="Arial" w:cs="Arial" w:eastAsia="Arial" w:hAnsi="Arial"/>
          <w:sz w:val="18"/>
          <w:szCs w:val="18"/>
          <w:color w:val="auto"/>
        </w:rPr>
        <w:t xml:space="preserve"> S</w:t>
      </w:r>
      <w:r>
        <w:rPr>
          <w:rFonts w:ascii="Arial" w:cs="Arial" w:eastAsia="Arial" w:hAnsi="Arial"/>
          <w:sz w:val="12"/>
          <w:szCs w:val="12"/>
          <w:color w:val="auto"/>
        </w:rPr>
        <w:t>ACHS</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Kornit Digital Ltd., a company incorporated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proposes to sell 4,340,000 of the Company’s ordinary shares (the “</w:t>
      </w:r>
      <w:r>
        <w:rPr>
          <w:rFonts w:ascii="Arial" w:cs="Arial" w:eastAsia="Arial" w:hAnsi="Arial"/>
          <w:sz w:val="16"/>
          <w:szCs w:val="16"/>
          <w:b w:val="1"/>
          <w:bCs w:val="1"/>
          <w:color w:val="auto"/>
        </w:rPr>
        <w:t>Firm Shares</w:t>
      </w:r>
      <w:r>
        <w:rPr>
          <w:rFonts w:ascii="Arial" w:cs="Arial" w:eastAsia="Arial" w:hAnsi="Arial"/>
          <w:sz w:val="16"/>
          <w:szCs w:val="16"/>
          <w:color w:val="auto"/>
        </w:rPr>
        <w:t>”), par value NIS 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In addition, the Company proposes to grant to the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named in Schedule I attached to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an option to purchase up to 651,000 additional Ordinary Shares on the terms set forth in Section 2 (the “</w:t>
      </w:r>
      <w:r>
        <w:rPr>
          <w:rFonts w:ascii="Arial" w:cs="Arial" w:eastAsia="Arial" w:hAnsi="Arial"/>
          <w:sz w:val="16"/>
          <w:szCs w:val="16"/>
          <w:b w:val="1"/>
          <w:bCs w:val="1"/>
          <w:color w:val="auto"/>
        </w:rPr>
        <w:t>Option Shares</w:t>
      </w:r>
      <w:r>
        <w:rPr>
          <w:rFonts w:ascii="Arial" w:cs="Arial" w:eastAsia="Arial" w:hAnsi="Arial"/>
          <w:sz w:val="16"/>
          <w:szCs w:val="16"/>
          <w:color w:val="auto"/>
        </w:rPr>
        <w:t>”). The Firm Shares and the Option Shares, if purchased, are hereinafter collectively called the “</w:t>
      </w:r>
      <w:r>
        <w:rPr>
          <w:rFonts w:ascii="Arial" w:cs="Arial" w:eastAsia="Arial" w:hAnsi="Arial"/>
          <w:sz w:val="16"/>
          <w:szCs w:val="16"/>
          <w:b w:val="1"/>
          <w:bCs w:val="1"/>
          <w:color w:val="auto"/>
        </w:rPr>
        <w:t>Shares</w:t>
      </w:r>
      <w:r>
        <w:rPr>
          <w:rFonts w:ascii="Arial" w:cs="Arial" w:eastAsia="Arial" w:hAnsi="Arial"/>
          <w:sz w:val="16"/>
          <w:szCs w:val="16"/>
          <w:color w:val="auto"/>
        </w:rPr>
        <w:t>”. This Agreement is to confirm the agreement concerning the purchase of the Shares from the Company by the Underwriters.</w:t>
      </w:r>
    </w:p>
    <w:p>
      <w:pPr>
        <w:spacing w:after="0" w:line="158" w:lineRule="exact"/>
        <w:rPr>
          <w:sz w:val="20"/>
          <w:szCs w:val="20"/>
          <w:color w:val="auto"/>
        </w:rPr>
      </w:pPr>
    </w:p>
    <w:p>
      <w:pPr>
        <w:ind w:left="840" w:hanging="184"/>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225" w:lineRule="exact"/>
        <w:rPr>
          <w:rFonts w:ascii="Arial" w:cs="Arial" w:eastAsia="Arial" w:hAnsi="Arial"/>
          <w:sz w:val="18"/>
          <w:szCs w:val="18"/>
          <w:color w:val="auto"/>
        </w:rPr>
      </w:pPr>
    </w:p>
    <w:p>
      <w:pPr>
        <w:jc w:val="both"/>
        <w:ind w:left="660" w:firstLine="645"/>
        <w:spacing w:after="0" w:line="276" w:lineRule="auto"/>
        <w:tabs>
          <w:tab w:leader="none" w:pos="1573" w:val="left"/>
        </w:tabs>
        <w:numPr>
          <w:ilvl w:val="1"/>
          <w:numId w:val="1"/>
        </w:numPr>
        <w:rPr>
          <w:rFonts w:ascii="Arial" w:cs="Arial" w:eastAsia="Arial" w:hAnsi="Arial"/>
          <w:sz w:val="17"/>
          <w:szCs w:val="17"/>
          <w:color w:val="auto"/>
        </w:rPr>
      </w:pPr>
      <w:r>
        <w:rPr>
          <w:rFonts w:ascii="Arial" w:cs="Arial" w:eastAsia="Arial" w:hAnsi="Arial"/>
          <w:sz w:val="17"/>
          <w:szCs w:val="17"/>
          <w:color w:val="auto"/>
        </w:rPr>
        <w:t>A registration statement on Form F-3ASR (File No. 333-232070) relating to the Shares has (i) been prepared by the Company in conformity with the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thereunder; (ii) been filed with the Commission under the Securities Act; and (iii) become effective under the Securities Act. Copies of such registration statement and any amendment thereto have been delivered by the Company to you as the representatives of the Underwriters (the “</w:t>
      </w:r>
      <w:r>
        <w:rPr>
          <w:rFonts w:ascii="Arial" w:cs="Arial" w:eastAsia="Arial" w:hAnsi="Arial"/>
          <w:sz w:val="17"/>
          <w:szCs w:val="17"/>
          <w:b w:val="1"/>
          <w:bCs w:val="1"/>
          <w:color w:val="auto"/>
        </w:rPr>
        <w:t>Representatives</w:t>
      </w:r>
      <w:r>
        <w:rPr>
          <w:rFonts w:ascii="Arial" w:cs="Arial" w:eastAsia="Arial" w:hAnsi="Arial"/>
          <w:sz w:val="17"/>
          <w:szCs w:val="17"/>
          <w:color w:val="auto"/>
        </w:rPr>
        <w:t>”). As used in this Agreement:</w:t>
      </w:r>
    </w:p>
    <w:p>
      <w:pPr>
        <w:spacing w:after="0" w:line="168" w:lineRule="exact"/>
        <w:rPr>
          <w:rFonts w:ascii="Arial" w:cs="Arial" w:eastAsia="Arial" w:hAnsi="Arial"/>
          <w:sz w:val="17"/>
          <w:szCs w:val="17"/>
          <w:color w:val="auto"/>
        </w:rPr>
      </w:pPr>
    </w:p>
    <w:p>
      <w:pPr>
        <w:ind w:left="2160" w:hanging="207"/>
        <w:spacing w:after="0"/>
        <w:tabs>
          <w:tab w:leader="none" w:pos="2160"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5:30 P.M. (New York City time) June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1560" w:hanging="267"/>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and time as of which such registration statement became effective;</w:t>
      </w:r>
    </w:p>
    <w:p>
      <w:pPr>
        <w:spacing w:after="0" w:line="225" w:lineRule="exact"/>
        <w:rPr>
          <w:rFonts w:ascii="Arial" w:cs="Arial" w:eastAsia="Arial" w:hAnsi="Arial"/>
          <w:sz w:val="18"/>
          <w:szCs w:val="18"/>
          <w:color w:val="auto"/>
        </w:rPr>
      </w:pPr>
    </w:p>
    <w:p>
      <w:pPr>
        <w:ind w:left="1600" w:hanging="307"/>
        <w:spacing w:after="0"/>
        <w:tabs>
          <w:tab w:leader="none" w:pos="1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each “issuer free writing prospectus” (as defined in Rule 433 under the Securities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640" w:firstLine="653"/>
        <w:spacing w:after="0" w:line="282" w:lineRule="auto"/>
        <w:tabs>
          <w:tab w:leader="none" w:pos="159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under the Securities Act;</w:t>
      </w:r>
    </w:p>
    <w:p>
      <w:pPr>
        <w:spacing w:after="0" w:line="161" w:lineRule="exact"/>
        <w:rPr>
          <w:rFonts w:ascii="Arial" w:cs="Arial" w:eastAsia="Arial" w:hAnsi="Arial"/>
          <w:sz w:val="18"/>
          <w:szCs w:val="18"/>
          <w:color w:val="auto"/>
        </w:rPr>
      </w:pPr>
    </w:p>
    <w:p>
      <w:pPr>
        <w:jc w:val="both"/>
        <w:ind w:left="640" w:firstLine="653"/>
        <w:spacing w:after="0" w:line="314" w:lineRule="auto"/>
        <w:tabs>
          <w:tab w:leader="none" w:pos="155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Pricing Disclosure Package</w:t>
      </w:r>
      <w:r>
        <w:rPr>
          <w:rFonts w:ascii="Arial" w:cs="Arial" w:eastAsia="Arial" w:hAnsi="Arial"/>
          <w:sz w:val="16"/>
          <w:szCs w:val="16"/>
          <w:color w:val="auto"/>
        </w:rPr>
        <w:t>” means, as of the Applicable Time, the Preliminary Prospectus, together with the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Schedule III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42" w:lineRule="exact"/>
        <w:rPr>
          <w:rFonts w:ascii="Arial" w:cs="Arial" w:eastAsia="Arial" w:hAnsi="Arial"/>
          <w:sz w:val="16"/>
          <w:szCs w:val="16"/>
          <w:color w:val="auto"/>
        </w:rPr>
      </w:pPr>
    </w:p>
    <w:p>
      <w:pPr>
        <w:ind w:left="640" w:firstLine="653"/>
        <w:spacing w:after="0" w:line="282" w:lineRule="auto"/>
        <w:tabs>
          <w:tab w:leader="none" w:pos="159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Shares, as filed with the Commission pursuant to Rule 424(b) under the Securities Act;</w:t>
      </w:r>
    </w:p>
    <w:p>
      <w:pPr>
        <w:spacing w:after="0" w:line="161" w:lineRule="exact"/>
        <w:rPr>
          <w:rFonts w:ascii="Arial" w:cs="Arial" w:eastAsia="Arial" w:hAnsi="Arial"/>
          <w:sz w:val="18"/>
          <w:szCs w:val="18"/>
          <w:color w:val="auto"/>
        </w:rPr>
      </w:pPr>
    </w:p>
    <w:p>
      <w:pPr>
        <w:jc w:val="both"/>
        <w:ind w:left="640" w:firstLine="653"/>
        <w:spacing w:after="0" w:line="314" w:lineRule="auto"/>
        <w:tabs>
          <w:tab w:leader="none" w:pos="164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such registration statement, as amended as of the Effective Date, including any Preliminary Prospectus or the Prospectus, all exhibits to such registration statement, the documents incorporated by reference therein and including the information deemed by virtue of Rule 430A under the Securities Act to be part of such registration statement as of the Effective Date;</w:t>
      </w:r>
    </w:p>
    <w:p>
      <w:pPr>
        <w:spacing w:after="0" w:line="142" w:lineRule="exact"/>
        <w:rPr>
          <w:rFonts w:ascii="Arial" w:cs="Arial" w:eastAsia="Arial" w:hAnsi="Arial"/>
          <w:sz w:val="16"/>
          <w:szCs w:val="16"/>
          <w:color w:val="auto"/>
        </w:rPr>
      </w:pPr>
    </w:p>
    <w:p>
      <w:pPr>
        <w:ind w:left="640" w:firstLine="653"/>
        <w:spacing w:after="0" w:line="282" w:lineRule="auto"/>
        <w:tabs>
          <w:tab w:leader="none" w:pos="1707"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and</w:t>
      </w:r>
    </w:p>
    <w:p>
      <w:pPr>
        <w:spacing w:after="0" w:line="161" w:lineRule="exact"/>
        <w:rPr>
          <w:rFonts w:ascii="Arial" w:cs="Arial" w:eastAsia="Arial" w:hAnsi="Arial"/>
          <w:sz w:val="18"/>
          <w:szCs w:val="18"/>
          <w:color w:val="auto"/>
        </w:rPr>
      </w:pPr>
    </w:p>
    <w:p>
      <w:pPr>
        <w:ind w:left="640" w:right="20" w:firstLine="653"/>
        <w:spacing w:after="0" w:line="282" w:lineRule="auto"/>
        <w:tabs>
          <w:tab w:leader="none" w:pos="1687"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within the meaning of Rule 405 under the Securities Act.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reference to any Preliminary Prospectus or the Prospectus shall be deemed to refer to and include any documents incorporated by reference therein pursuant to Form F-3ASR under the Securities Act as of the date of the Preliminary Prospectus or the Prospectus, as the case may be. Any reference to the amendment or supplement to any Preliminary Prospectus or the Prospectus shall be deemed to refer to and include any document filed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after the date of the Preliminary Prospectus or the Prospectus, as the case may be, and before the date of such amendment or supplement and incorporated by reference in the Preliminary Prospectus or the Prospectus, as the case may be; and any reference to any amendment to the Registration Statement shall be deemed to include any document filed with the Commission pursuant to Section 13(a)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been instituted or threatened by the Commission. The Commission has not notified the Company of any objection to the use of the form of the Registration Statement or any post-effective amendment thereto.</w:t>
      </w:r>
    </w:p>
    <w:p>
      <w:pPr>
        <w:spacing w:after="0" w:line="39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6" w:name="page7"/>
    <w:bookmarkEnd w:id="6"/>
    <w:p>
      <w:pPr>
        <w:jc w:val="both"/>
        <w:ind w:left="-540" w:firstLine="645"/>
        <w:spacing w:after="0" w:line="312" w:lineRule="auto"/>
        <w:tabs>
          <w:tab w:leader="none" w:pos="378"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the time of initial filing of the Registration Statement with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540" w:right="20" w:firstLine="645"/>
        <w:spacing w:after="0" w:line="277" w:lineRule="auto"/>
        <w:tabs>
          <w:tab w:leader="none" w:pos="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 has not engaged in any Testing-the-Waters Communication and (ii) has not authorized anyone other than the Representatives to engage in Testing-the-Waters Communications.</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37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Securities Act) of the Shares and is not on the date hereof and will not be on the applicable Delivery Date (as defined in Section 4 below), an “ineligible issuer” (as defined in Rule 405 under the Securities Act).</w:t>
      </w:r>
    </w:p>
    <w:p>
      <w:pPr>
        <w:spacing w:after="0" w:line="186" w:lineRule="exact"/>
        <w:rPr>
          <w:rFonts w:ascii="Arial" w:cs="Arial" w:eastAsia="Arial" w:hAnsi="Arial"/>
          <w:sz w:val="18"/>
          <w:szCs w:val="18"/>
          <w:color w:val="auto"/>
        </w:rPr>
      </w:pPr>
    </w:p>
    <w:p>
      <w:pPr>
        <w:jc w:val="both"/>
        <w:ind w:left="-540" w:firstLine="645"/>
        <w:spacing w:after="0" w:line="291" w:lineRule="auto"/>
        <w:tabs>
          <w:tab w:leader="none" w:pos="36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167" w:lineRule="exact"/>
        <w:rPr>
          <w:rFonts w:ascii="Arial" w:cs="Arial" w:eastAsia="Arial" w:hAnsi="Arial"/>
          <w:sz w:val="16"/>
          <w:szCs w:val="16"/>
          <w:color w:val="auto"/>
        </w:rPr>
      </w:pPr>
    </w:p>
    <w:p>
      <w:pPr>
        <w:jc w:val="both"/>
        <w:ind w:left="-540" w:firstLine="645"/>
        <w:spacing w:after="0" w:line="25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8(e).</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jc w:val="both"/>
        <w:ind w:left="-540" w:firstLine="645"/>
        <w:spacing w:after="0" w:line="257" w:lineRule="auto"/>
        <w:tabs>
          <w:tab w:leader="none" w:pos="37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8(e).</w:t>
      </w:r>
    </w:p>
    <w:p>
      <w:pPr>
        <w:spacing w:after="0" w:line="188" w:lineRule="exact"/>
        <w:rPr>
          <w:rFonts w:ascii="Arial" w:cs="Arial" w:eastAsia="Arial" w:hAnsi="Arial"/>
          <w:sz w:val="18"/>
          <w:szCs w:val="18"/>
          <w:color w:val="auto"/>
        </w:rPr>
      </w:pPr>
    </w:p>
    <w:p>
      <w:pPr>
        <w:jc w:val="both"/>
        <w:ind w:left="-540" w:firstLine="645"/>
        <w:spacing w:after="0" w:line="286" w:lineRule="auto"/>
        <w:tabs>
          <w:tab w:leader="none" w:pos="36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jc w:val="both"/>
        <w:ind w:left="-540" w:firstLine="645"/>
        <w:spacing w:after="0" w:line="25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8(e).</w:t>
      </w:r>
    </w:p>
    <w:p>
      <w:pPr>
        <w:spacing w:after="0" w:line="188" w:lineRule="exact"/>
        <w:rPr>
          <w:rFonts w:ascii="Arial" w:cs="Arial" w:eastAsia="Arial" w:hAnsi="Arial"/>
          <w:sz w:val="18"/>
          <w:szCs w:val="18"/>
          <w:color w:val="auto"/>
        </w:rPr>
      </w:pPr>
    </w:p>
    <w:p>
      <w:pPr>
        <w:jc w:val="both"/>
        <w:ind w:left="-540" w:firstLine="645"/>
        <w:spacing w:after="0" w:line="255"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listed in Schedule IV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listed in Schedule IV hereto in reliance upon and in conformity with written information furnished to the Company through the Representatives by or on behalf of any Underwriter specifically for inclusion therein, which information is specified in Section 8(e).</w:t>
      </w:r>
    </w:p>
    <w:p>
      <w:pPr>
        <w:spacing w:after="0" w:line="193" w:lineRule="exact"/>
        <w:rPr>
          <w:rFonts w:ascii="Arial" w:cs="Arial" w:eastAsia="Arial" w:hAnsi="Arial"/>
          <w:sz w:val="18"/>
          <w:szCs w:val="18"/>
          <w:color w:val="auto"/>
        </w:rPr>
      </w:pPr>
    </w:p>
    <w:p>
      <w:pPr>
        <w:ind w:left="360" w:hanging="255"/>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540" w:firstLine="645"/>
        <w:spacing w:after="0" w:line="273" w:lineRule="auto"/>
        <w:tabs>
          <w:tab w:leader="none" w:pos="327"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Representatives.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 w:name="page9"/>
    <w:bookmarkEnd w:id="8"/>
    <w:p>
      <w:pPr>
        <w:jc w:val="both"/>
        <w:ind w:left="-540" w:firstLine="645"/>
        <w:spacing w:after="0" w:line="268" w:lineRule="auto"/>
        <w:tabs>
          <w:tab w:leader="none" w:pos="41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8.1 to the Company’s Annual Report on Form 20-F for the year ended December 31, 2018. None of the subsidiaries of the Company (other than Kornit Digital Technologies Ltd., Kornit Digital Europe GmbH, Kornit Digital North America Inc. and Kornit Digital Asia Pacific Limited (collectively, the “</w:t>
      </w:r>
      <w:r>
        <w:rPr>
          <w:rFonts w:ascii="Arial" w:cs="Arial" w:eastAsia="Arial" w:hAnsi="Arial"/>
          <w:sz w:val="17"/>
          <w:szCs w:val="17"/>
          <w:b w:val="1"/>
          <w:bCs w:val="1"/>
          <w:color w:val="auto"/>
        </w:rPr>
        <w:t>Significant</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Subsidiaries</w:t>
      </w:r>
      <w:r>
        <w:rPr>
          <w:rFonts w:ascii="Arial" w:cs="Arial" w:eastAsia="Arial" w:hAnsi="Arial"/>
          <w:sz w:val="17"/>
          <w:szCs w:val="17"/>
          <w:color w:val="auto"/>
        </w:rPr>
        <w:t>”)) is a “significant subsidiary” (as defined in Rule 405 under the Securities Act). The Company and its sole Israeli subsidiary, Kornit</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Technologies Ltd., are not currently designated as a “breaching company” (within the meaning of the Israeli Companies Law 5759-1999) by the Registrar of Companies of the State of Israel, nor has a proceeding been instituted by the Registrar of Companies in Israel for the dissolution of the Company or Kornit Digital Technologies Ltd.</w:t>
      </w:r>
    </w:p>
    <w:p>
      <w:pPr>
        <w:spacing w:after="0" w:line="185" w:lineRule="exact"/>
        <w:rPr>
          <w:rFonts w:ascii="Arial" w:cs="Arial" w:eastAsia="Arial" w:hAnsi="Arial"/>
          <w:sz w:val="17"/>
          <w:szCs w:val="17"/>
          <w:color w:val="auto"/>
        </w:rPr>
      </w:pPr>
    </w:p>
    <w:p>
      <w:pPr>
        <w:jc w:val="both"/>
        <w:ind w:left="-540" w:firstLine="645"/>
        <w:spacing w:after="0" w:line="270" w:lineRule="auto"/>
        <w:tabs>
          <w:tab w:leader="none" w:pos="36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each of the Preliminary Prospectus and the Prospectus, and all of the issued share capital of the Company has been duly authorized and validly issued, is fully paid and non-assessable, conforms to the description thereof contained in the Preliminary Prospectus and was issued in compliance with Israeli securities laws and, to the extent applicable, other foreign and U.S. federal and state securities laws and not in violation of any preemptive right, resale right, right of first refusal or similar right. All of the Company’s options, warrants and other rights to purchase or exchange any securities for shares of the Company have been duly authorized and validly issued, conform to the description thereof contained in the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 w:name="page10"/>
    <w:bookmarkEnd w:id="9"/>
    <w:p>
      <w:pPr>
        <w:jc w:val="both"/>
        <w:ind w:left="-540" w:firstLine="645"/>
        <w:spacing w:after="0" w:line="259" w:lineRule="auto"/>
        <w:tabs>
          <w:tab w:leader="none" w:pos="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Preliminary Prospectus, will be issued in compliance with federal and state securities laws and will be free of statutory and contractual preemptive rights, rights of first refusal and similar rights.</w:t>
      </w:r>
    </w:p>
    <w:p>
      <w:pPr>
        <w:spacing w:after="0" w:line="186" w:lineRule="exact"/>
        <w:rPr>
          <w:rFonts w:ascii="Arial" w:cs="Arial" w:eastAsia="Arial" w:hAnsi="Arial"/>
          <w:sz w:val="18"/>
          <w:szCs w:val="18"/>
          <w:color w:val="auto"/>
        </w:rPr>
      </w:pPr>
    </w:p>
    <w:p>
      <w:pPr>
        <w:jc w:val="both"/>
        <w:ind w:left="-540" w:firstLine="645"/>
        <w:spacing w:after="0" w:line="270" w:lineRule="auto"/>
        <w:tabs>
          <w:tab w:leader="none" w:pos="3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grants and issuances of the Company’s shares to its, or its subsidiaries’, employees were made pursuant to an employee benefit plan, qualified share option plan or other equity compensation plan. With respect to any share options granted (the “</w:t>
      </w:r>
      <w:r>
        <w:rPr>
          <w:rFonts w:ascii="Arial" w:cs="Arial" w:eastAsia="Arial" w:hAnsi="Arial"/>
          <w:sz w:val="17"/>
          <w:szCs w:val="17"/>
          <w:b w:val="1"/>
          <w:bCs w:val="1"/>
          <w:color w:val="auto"/>
        </w:rPr>
        <w:t>Share Options</w:t>
      </w:r>
      <w:r>
        <w:rPr>
          <w:rFonts w:ascii="Arial" w:cs="Arial" w:eastAsia="Arial" w:hAnsi="Arial"/>
          <w:sz w:val="17"/>
          <w:szCs w:val="17"/>
          <w:color w:val="auto"/>
        </w:rPr>
        <w:t>”) (i) each Share Option purported to be issued under Section 102 of the Israel Tax Ordinance qualifies for treatment under that section and for treatment under the capital gains track, (ii) each Share Option intended to qualify as an “incentive stock option” under Section 422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81" w:lineRule="exact"/>
        <w:rPr>
          <w:rFonts w:ascii="Arial" w:cs="Arial" w:eastAsia="Arial" w:hAnsi="Arial"/>
          <w:sz w:val="17"/>
          <w:szCs w:val="17"/>
          <w:color w:val="auto"/>
        </w:rPr>
      </w:pPr>
    </w:p>
    <w:p>
      <w:pPr>
        <w:ind w:left="-540" w:firstLine="645"/>
        <w:spacing w:after="0" w:line="342" w:lineRule="auto"/>
        <w:tabs>
          <w:tab w:leader="none" w:pos="38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and obtained all requisite corporate approvals to execute, deliver and perform its obligations under this Agreement. This Agreement has been duly and validly authorized, executed and delivered by the Company.</w:t>
      </w:r>
    </w:p>
    <w:p>
      <w:pPr>
        <w:spacing w:after="0" w:line="123" w:lineRule="exact"/>
        <w:rPr>
          <w:rFonts w:ascii="Arial" w:cs="Arial" w:eastAsia="Arial" w:hAnsi="Arial"/>
          <w:sz w:val="16"/>
          <w:szCs w:val="16"/>
          <w:color w:val="auto"/>
        </w:rPr>
      </w:pPr>
    </w:p>
    <w:p>
      <w:pPr>
        <w:jc w:val="both"/>
        <w:ind w:left="-540" w:firstLine="645"/>
        <w:spacing w:after="0" w:line="287" w:lineRule="auto"/>
        <w:tabs>
          <w:tab w:leader="none" w:pos="33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Preliminary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for purposes of clauses (i) 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37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 w:name="page11"/>
    <w:bookmarkEnd w:id="10"/>
    <w:p>
      <w:pPr>
        <w:jc w:val="both"/>
        <w:ind w:left="-540" w:firstLine="645"/>
        <w:spacing w:after="0" w:line="255"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has any outstanding obligations to the National Authority of Technological Innovation (formerly the Office of the Chief Scientist) of the Ministry of Economy and Industry of the State of Israel (“</w:t>
      </w:r>
      <w:r>
        <w:rPr>
          <w:rFonts w:ascii="Arial" w:cs="Arial" w:eastAsia="Arial" w:hAnsi="Arial"/>
          <w:sz w:val="18"/>
          <w:szCs w:val="18"/>
          <w:b w:val="1"/>
          <w:bCs w:val="1"/>
          <w:color w:val="auto"/>
        </w:rPr>
        <w:t>NATI</w:t>
      </w:r>
      <w:r>
        <w:rPr>
          <w:rFonts w:ascii="Arial" w:cs="Arial" w:eastAsia="Arial" w:hAnsi="Arial"/>
          <w:sz w:val="18"/>
          <w:szCs w:val="18"/>
          <w:color w:val="auto"/>
        </w:rPr>
        <w:t>”) except as set forth in each of the Preliminary Prospectus and Prospectus nor (ii) is in violation with respect to any instrument of approval granted to it by the Investment Center of the Ministry of Economy of the State of Israel (the “</w:t>
      </w:r>
      <w:r>
        <w:rPr>
          <w:rFonts w:ascii="Arial" w:cs="Arial" w:eastAsia="Arial" w:hAnsi="Arial"/>
          <w:sz w:val="18"/>
          <w:szCs w:val="18"/>
          <w:b w:val="1"/>
          <w:bCs w:val="1"/>
          <w:color w:val="auto"/>
        </w:rPr>
        <w:t>Investment Center</w:t>
      </w:r>
      <w:r>
        <w:rPr>
          <w:rFonts w:ascii="Arial" w:cs="Arial" w:eastAsia="Arial" w:hAnsi="Arial"/>
          <w:sz w:val="18"/>
          <w:szCs w:val="18"/>
          <w:color w:val="auto"/>
        </w:rPr>
        <w:t>”) or by NATI. The Company has not received from the Investment Center any notice denying, revoking or adversely modifying any “approved enterprise” or “benefited enterprise” or “preferred enterprise” status with respect to any of the Company’s facilities or operations (including, in all such cases, notice of proceedings or investigations related thereto).</w:t>
      </w:r>
    </w:p>
    <w:p>
      <w:pPr>
        <w:spacing w:after="0" w:line="189" w:lineRule="exact"/>
        <w:rPr>
          <w:rFonts w:ascii="Arial" w:cs="Arial" w:eastAsia="Arial" w:hAnsi="Arial"/>
          <w:sz w:val="18"/>
          <w:szCs w:val="18"/>
          <w:color w:val="auto"/>
        </w:rPr>
      </w:pPr>
    </w:p>
    <w:p>
      <w:pPr>
        <w:jc w:val="both"/>
        <w:ind w:left="-540" w:firstLine="645"/>
        <w:spacing w:after="0" w:line="290" w:lineRule="auto"/>
        <w:tabs>
          <w:tab w:leader="none" w:pos="336"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Preliminary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purchase and sale of the Shares by the Underwriters; (iii) the filing of certain information with the Registrar of Companies in the State of Israel, following the Closing, regarding the issuance of the Shares; and (iv) the transaction notification to Nasdaq.</w:t>
      </w:r>
    </w:p>
    <w:p>
      <w:pPr>
        <w:spacing w:after="0" w:line="166" w:lineRule="exact"/>
        <w:rPr>
          <w:rFonts w:ascii="Arial" w:cs="Arial" w:eastAsia="Arial" w:hAnsi="Arial"/>
          <w:sz w:val="16"/>
          <w:szCs w:val="16"/>
          <w:color w:val="auto"/>
        </w:rPr>
      </w:pPr>
    </w:p>
    <w:p>
      <w:pPr>
        <w:jc w:val="both"/>
        <w:ind w:left="-540" w:firstLine="645"/>
        <w:spacing w:after="0" w:line="257" w:lineRule="auto"/>
        <w:tabs>
          <w:tab w:leader="none" w:pos="3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historical financial statements (including the related notes and supporting schedules) included or incorporated by reference in the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88" w:lineRule="exact"/>
        <w:rPr>
          <w:rFonts w:ascii="Arial" w:cs="Arial" w:eastAsia="Arial" w:hAnsi="Arial"/>
          <w:sz w:val="18"/>
          <w:szCs w:val="18"/>
          <w:color w:val="auto"/>
        </w:rPr>
      </w:pPr>
    </w:p>
    <w:p>
      <w:pPr>
        <w:jc w:val="both"/>
        <w:ind w:left="-540" w:firstLine="645"/>
        <w:spacing w:after="0" w:line="312" w:lineRule="auto"/>
        <w:tabs>
          <w:tab w:leader="none" w:pos="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Kost Forer Gabbay &amp; Kasierer, a member of Ernst &amp; Young Global, who have certified certain financial statements of the Company and its consolidated subsidiaries, whose report appears in the Preliminary Prospectus, or is incorporated therein, and who have delivered the initial letter referred to in Section 7(i) hereof, are independent public accountants as required by the Securities Act and the rules and regulations thereunder.</w:t>
      </w:r>
    </w:p>
    <w:p>
      <w:pPr>
        <w:spacing w:after="0" w:line="35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 w:name="page12"/>
    <w:bookmarkEnd w:id="11"/>
    <w:p>
      <w:pPr>
        <w:jc w:val="both"/>
        <w:ind w:left="-540" w:firstLine="645"/>
        <w:spacing w:after="0" w:line="286" w:lineRule="auto"/>
        <w:tabs>
          <w:tab w:leader="none" w:pos="40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The Company and each of its subsidiaries maintain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Kost Forer Gabbay &amp; Kasierer, a member of Ernst &amp; Young Global, and the audit committee of the board of directors of the Company, there were no material weaknesses in the Company’s internal controls.</w:t>
      </w:r>
    </w:p>
    <w:p>
      <w:pPr>
        <w:spacing w:after="0" w:line="171" w:lineRule="exact"/>
        <w:rPr>
          <w:rFonts w:ascii="Arial" w:cs="Arial" w:eastAsia="Arial" w:hAnsi="Arial"/>
          <w:sz w:val="16"/>
          <w:szCs w:val="16"/>
          <w:color w:val="auto"/>
        </w:rPr>
      </w:pPr>
    </w:p>
    <w:p>
      <w:pPr>
        <w:jc w:val="both"/>
        <w:ind w:left="-540" w:firstLine="645"/>
        <w:spacing w:after="0" w:line="255" w:lineRule="auto"/>
        <w:tabs>
          <w:tab w:leader="none" w:pos="373" w:val="left"/>
        </w:tabs>
        <w:numPr>
          <w:ilvl w:val="0"/>
          <w:numId w:val="9"/>
        </w:numPr>
        <w:rPr>
          <w:rFonts w:ascii="Arial" w:cs="Arial" w:eastAsia="Arial" w:hAnsi="Arial"/>
          <w:sz w:val="18"/>
          <w:szCs w:val="18"/>
          <w:color w:val="auto"/>
        </w:rPr>
      </w:pPr>
      <w:r>
        <w:rPr>
          <w:rFonts w:ascii="Arial" w:cs="Arial" w:eastAsia="Arial" w:hAnsi="Arial"/>
          <w:sz w:val="18"/>
          <w:szCs w:val="18"/>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spacing w:after="0" w:line="193" w:lineRule="exact"/>
        <w:rPr>
          <w:rFonts w:ascii="Arial" w:cs="Arial" w:eastAsia="Arial" w:hAnsi="Arial"/>
          <w:sz w:val="18"/>
          <w:szCs w:val="18"/>
          <w:color w:val="auto"/>
        </w:rPr>
      </w:pPr>
    </w:p>
    <w:p>
      <w:pPr>
        <w:jc w:val="both"/>
        <w:ind w:left="-540" w:firstLine="645"/>
        <w:spacing w:after="0" w:line="255" w:lineRule="auto"/>
        <w:tabs>
          <w:tab w:leader="none" w:pos="382"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193" w:lineRule="exact"/>
        <w:rPr>
          <w:rFonts w:ascii="Arial" w:cs="Arial" w:eastAsia="Arial" w:hAnsi="Arial"/>
          <w:sz w:val="18"/>
          <w:szCs w:val="18"/>
          <w:color w:val="auto"/>
        </w:rPr>
      </w:pPr>
    </w:p>
    <w:p>
      <w:pPr>
        <w:ind w:left="-540" w:firstLine="645"/>
        <w:spacing w:after="0" w:line="342" w:lineRule="auto"/>
        <w:tabs>
          <w:tab w:leader="none" w:pos="35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33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jc w:val="both"/>
        <w:ind w:left="-540" w:firstLine="645"/>
        <w:spacing w:after="0" w:line="287" w:lineRule="auto"/>
        <w:tabs>
          <w:tab w:leader="none" w:pos="4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included or incorporated by reference in the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Preliminary Prospectus, (iii) incurred any material liability or obligation, direct or contingent, other than liabilities and obligations that were incurred in the ordinary course of business or otherwise set forth in the Preliminary Prospectus, (iv) entered into any material transaction not in the ordinary course of business, except as set forth in the Preliminary Prospectus or (v) declared or paid any dividend on its share capital, and since such date, there has not been any change in the share capital (other than the issuance of ordinary shares, if any, pursuant to share option plans or other equity compensation plans or arrangements described in the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172" w:lineRule="exact"/>
        <w:rPr>
          <w:rFonts w:ascii="Arial" w:cs="Arial" w:eastAsia="Arial" w:hAnsi="Arial"/>
          <w:sz w:val="16"/>
          <w:szCs w:val="16"/>
          <w:color w:val="auto"/>
        </w:rPr>
      </w:pPr>
    </w:p>
    <w:p>
      <w:pPr>
        <w:jc w:val="both"/>
        <w:ind w:left="-540" w:firstLine="645"/>
        <w:spacing w:after="0" w:line="273" w:lineRule="auto"/>
        <w:tabs>
          <w:tab w:leader="none" w:pos="4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178" w:lineRule="exact"/>
        <w:rPr>
          <w:rFonts w:ascii="Arial" w:cs="Arial" w:eastAsia="Arial" w:hAnsi="Arial"/>
          <w:sz w:val="17"/>
          <w:szCs w:val="17"/>
          <w:color w:val="auto"/>
        </w:rPr>
      </w:pPr>
    </w:p>
    <w:p>
      <w:pPr>
        <w:jc w:val="both"/>
        <w:ind w:left="-540" w:firstLine="645"/>
        <w:spacing w:after="0" w:line="290" w:lineRule="auto"/>
        <w:tabs>
          <w:tab w:leader="none" w:pos="4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each of its subsidiaries have such permits, licenses, patents, franchises, certificates of need and other approvals or authorizations of 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under applicable law to own their properties and conduct their businesses in the manner described in the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37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 w:name="page14"/>
    <w:bookmarkEnd w:id="13"/>
    <w:p>
      <w:pPr>
        <w:jc w:val="both"/>
        <w:ind w:left="-540" w:firstLine="645"/>
        <w:spacing w:after="0" w:line="273" w:lineRule="auto"/>
        <w:tabs>
          <w:tab w:leader="none" w:pos="4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178" w:lineRule="exact"/>
        <w:rPr>
          <w:rFonts w:ascii="Arial" w:cs="Arial" w:eastAsia="Arial" w:hAnsi="Arial"/>
          <w:sz w:val="17"/>
          <w:szCs w:val="17"/>
          <w:color w:val="auto"/>
        </w:rPr>
      </w:pPr>
    </w:p>
    <w:p>
      <w:pPr>
        <w:jc w:val="both"/>
        <w:ind w:left="-540" w:firstLine="645"/>
        <w:spacing w:after="0" w:line="312" w:lineRule="auto"/>
        <w:tabs>
          <w:tab w:leader="none" w:pos="4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the Company and its subsidiaries (i) have suffered no information security incidents, (ii) have taken commercially reasonable steps to secure their information technology systems and the data thereon, and (iii) have complied with all applicable data protection laws, regulations and contractual obligations.</w:t>
      </w:r>
    </w:p>
    <w:p>
      <w:pPr>
        <w:spacing w:after="0" w:line="146" w:lineRule="exact"/>
        <w:rPr>
          <w:rFonts w:ascii="Arial" w:cs="Arial" w:eastAsia="Arial" w:hAnsi="Arial"/>
          <w:sz w:val="16"/>
          <w:szCs w:val="16"/>
          <w:color w:val="auto"/>
        </w:rPr>
      </w:pPr>
    </w:p>
    <w:p>
      <w:pPr>
        <w:jc w:val="both"/>
        <w:ind w:left="-540" w:firstLine="645"/>
        <w:spacing w:after="0" w:line="257" w:lineRule="auto"/>
        <w:tabs>
          <w:tab w:leader="none" w:pos="4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8" w:lineRule="exact"/>
        <w:rPr>
          <w:rFonts w:ascii="Arial" w:cs="Arial" w:eastAsia="Arial" w:hAnsi="Arial"/>
          <w:sz w:val="18"/>
          <w:szCs w:val="18"/>
          <w:color w:val="auto"/>
        </w:rPr>
      </w:pPr>
    </w:p>
    <w:p>
      <w:pPr>
        <w:jc w:val="both"/>
        <w:ind w:left="-540" w:firstLine="645"/>
        <w:spacing w:after="0" w:line="273" w:lineRule="auto"/>
        <w:tabs>
          <w:tab w:leader="none" w:pos="4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are no contracts or other documents required to be described in the Registration Statement or the Preliminary Prospectus or filed as exhibits to the Registration Statement, that are not described and filed as required. The statements made in the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jc w:val="both"/>
        <w:ind w:left="-540" w:firstLine="645"/>
        <w:spacing w:after="0" w:line="293" w:lineRule="auto"/>
        <w:tabs>
          <w:tab w:leader="none" w:pos="47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statements made, or incorporated by reference, in the Preliminary Prospectus under the captions “Item 4 – Information on the Company – Business Overview”, “Item 6 – Directors, Senior Management and Employees”, “Underwriting”, “Description of Ordinary Shares”, “Item 5 - Operating and Financial Review and Prospects - Taxation and Israeli Government Programs Applicable to our Company”, “U.S. and Israeli Tax Considerations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 w:name="page15"/>
    <w:bookmarkEnd w:id="14"/>
    <w:p>
      <w:pPr>
        <w:jc w:val="both"/>
        <w:ind w:left="-540" w:firstLine="645"/>
        <w:spacing w:after="0" w:line="288" w:lineRule="auto"/>
        <w:tabs>
          <w:tab w:leader="none" w:pos="4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69" w:lineRule="exact"/>
        <w:rPr>
          <w:rFonts w:ascii="Arial" w:cs="Arial" w:eastAsia="Arial" w:hAnsi="Arial"/>
          <w:sz w:val="16"/>
          <w:szCs w:val="16"/>
          <w:color w:val="auto"/>
        </w:rPr>
      </w:pPr>
    </w:p>
    <w:p>
      <w:pPr>
        <w:ind w:left="-540" w:firstLine="645"/>
        <w:spacing w:after="0" w:line="342" w:lineRule="auto"/>
        <w:tabs>
          <w:tab w:leader="none" w:pos="3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on the one hand, and the directors, officers, shareholders, customers or suppliers of the Company, on the other hand, that is required to be described in the Preliminary Prospectus which is not so described.</w:t>
      </w:r>
    </w:p>
    <w:p>
      <w:pPr>
        <w:spacing w:after="0" w:line="123" w:lineRule="exact"/>
        <w:rPr>
          <w:rFonts w:ascii="Arial" w:cs="Arial" w:eastAsia="Arial" w:hAnsi="Arial"/>
          <w:sz w:val="16"/>
          <w:szCs w:val="16"/>
          <w:color w:val="auto"/>
        </w:rPr>
      </w:pPr>
    </w:p>
    <w:p>
      <w:pPr>
        <w:jc w:val="both"/>
        <w:ind w:left="-540" w:firstLine="645"/>
        <w:spacing w:after="0" w:line="259" w:lineRule="auto"/>
        <w:tabs>
          <w:tab w:leader="none" w:pos="4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86" w:lineRule="exact"/>
        <w:rPr>
          <w:rFonts w:ascii="Arial" w:cs="Arial" w:eastAsia="Arial" w:hAnsi="Arial"/>
          <w:sz w:val="18"/>
          <w:szCs w:val="18"/>
          <w:color w:val="auto"/>
        </w:rPr>
      </w:pPr>
    </w:p>
    <w:p>
      <w:pPr>
        <w:jc w:val="both"/>
        <w:ind w:left="-540" w:firstLine="645"/>
        <w:spacing w:after="0" w:line="290" w:lineRule="auto"/>
        <w:tabs>
          <w:tab w:leader="none" w:pos="4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3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jc w:val="both"/>
        <w:ind w:left="-540" w:firstLine="645"/>
        <w:spacing w:after="0" w:line="267" w:lineRule="auto"/>
        <w:tabs>
          <w:tab w:leader="none" w:pos="5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for purposes of clauses (i) and (ii) above, where such non-compliance, violation, liability, or other obligation would not, in the aggregate, reasonably be expected to have a Material Adverse Effect. Except as described in the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92" w:lineRule="exact"/>
        <w:rPr>
          <w:rFonts w:ascii="Arial" w:cs="Arial" w:eastAsia="Arial" w:hAnsi="Arial"/>
          <w:sz w:val="17"/>
          <w:szCs w:val="17"/>
          <w:color w:val="auto"/>
        </w:rPr>
      </w:pPr>
    </w:p>
    <w:p>
      <w:pPr>
        <w:jc w:val="both"/>
        <w:ind w:left="-540" w:firstLine="645"/>
        <w:spacing w:after="0" w:line="255" w:lineRule="auto"/>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material taxes due, except as may be being contested in good faith and by appropriate proceedings and for which adequate reserves have been made under GAAP.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193" w:lineRule="exact"/>
        <w:rPr>
          <w:rFonts w:ascii="Arial" w:cs="Arial" w:eastAsia="Arial" w:hAnsi="Arial"/>
          <w:sz w:val="18"/>
          <w:szCs w:val="18"/>
          <w:color w:val="auto"/>
        </w:rPr>
      </w:pPr>
    </w:p>
    <w:p>
      <w:pPr>
        <w:jc w:val="both"/>
        <w:ind w:left="-540" w:firstLine="645"/>
        <w:spacing w:after="0" w:line="259"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 respectively.</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 w:name="page17"/>
    <w:bookmarkEnd w:id="16"/>
    <w:p>
      <w:pPr>
        <w:jc w:val="both"/>
        <w:ind w:left="-540" w:firstLine="645"/>
        <w:spacing w:after="0" w:line="286" w:lineRule="auto"/>
        <w:tabs>
          <w:tab w:leader="none" w:pos="4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71" w:lineRule="exact"/>
        <w:rPr>
          <w:rFonts w:ascii="Arial" w:cs="Arial" w:eastAsia="Arial" w:hAnsi="Arial"/>
          <w:sz w:val="16"/>
          <w:szCs w:val="16"/>
          <w:color w:val="auto"/>
        </w:rPr>
      </w:pPr>
    </w:p>
    <w:p>
      <w:pPr>
        <w:ind w:left="-540" w:firstLine="645"/>
        <w:spacing w:after="0" w:line="277" w:lineRule="auto"/>
        <w:tabs>
          <w:tab w:leader="none" w:pos="4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Preliminary Prospectus or incorporated by reference are based on or derived from sources that the Company believes to be reliable in all material respects.</w:t>
      </w:r>
    </w:p>
    <w:p>
      <w:pPr>
        <w:spacing w:after="0" w:line="170" w:lineRule="exact"/>
        <w:rPr>
          <w:rFonts w:ascii="Arial" w:cs="Arial" w:eastAsia="Arial" w:hAnsi="Arial"/>
          <w:sz w:val="18"/>
          <w:szCs w:val="18"/>
          <w:color w:val="auto"/>
        </w:rPr>
      </w:pPr>
    </w:p>
    <w:p>
      <w:pPr>
        <w:jc w:val="both"/>
        <w:ind w:left="-540" w:firstLine="645"/>
        <w:spacing w:after="0" w:line="276" w:lineRule="auto"/>
        <w:tabs>
          <w:tab w:leader="none" w:pos="394"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and as of the applicable Delivery Date and, after giving effect to the offer and sale of the Shares and the application of the proceeds therefrom as described under “Use of Proceeds” in the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and the rules and regulations of the Commission thereunder, or (ii) a “business development company” (as defined in Section 2(a)(48) of the Investment Company Act).</w:t>
      </w:r>
    </w:p>
    <w:p>
      <w:pPr>
        <w:spacing w:after="0" w:line="172" w:lineRule="exact"/>
        <w:rPr>
          <w:rFonts w:ascii="Arial" w:cs="Arial" w:eastAsia="Arial" w:hAnsi="Arial"/>
          <w:sz w:val="17"/>
          <w:szCs w:val="17"/>
          <w:color w:val="auto"/>
        </w:rPr>
      </w:pPr>
    </w:p>
    <w:p>
      <w:pPr>
        <w:jc w:val="both"/>
        <w:ind w:left="-540" w:firstLine="645"/>
        <w:spacing w:after="0" w:line="276" w:lineRule="auto"/>
        <w:tabs>
          <w:tab w:leader="none" w:pos="417"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described in the Preliminary Prospectus, there are no contracts, agreements or understandings between the Company and any person granting such person the right (other than rights that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38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 w:name="page18"/>
    <w:bookmarkEnd w:id="17"/>
    <w:p>
      <w:pPr>
        <w:jc w:val="both"/>
        <w:ind w:left="-540" w:firstLine="645"/>
        <w:spacing w:after="0" w:line="264"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left="-540" w:right="20" w:firstLine="645"/>
        <w:spacing w:after="0" w:line="308" w:lineRule="auto"/>
        <w:tabs>
          <w:tab w:leader="none" w:pos="47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146" w:lineRule="exact"/>
        <w:rPr>
          <w:rFonts w:ascii="Arial" w:cs="Arial" w:eastAsia="Arial" w:hAnsi="Arial"/>
          <w:sz w:val="17"/>
          <w:szCs w:val="17"/>
          <w:color w:val="auto"/>
        </w:rPr>
      </w:pPr>
    </w:p>
    <w:p>
      <w:pPr>
        <w:jc w:val="both"/>
        <w:ind w:left="-540" w:firstLine="645"/>
        <w:spacing w:after="0" w:line="264"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jc w:val="both"/>
        <w:ind w:left="-540" w:firstLine="645"/>
        <w:spacing w:after="0" w:line="276" w:lineRule="auto"/>
        <w:tabs>
          <w:tab w:leader="none" w:pos="57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Assuming the Underwriters have not offered the Shares other than in accordance with their obligations under Section 5(c) or otherwise engaged in solicitation, advertising or any other action constituting an offer to the public under the Israeli Securities Law 5728-1968, as amended, (the “</w:t>
      </w:r>
      <w:r>
        <w:rPr>
          <w:rFonts w:ascii="Arial" w:cs="Arial" w:eastAsia="Arial" w:hAnsi="Arial"/>
          <w:sz w:val="17"/>
          <w:szCs w:val="17"/>
          <w:b w:val="1"/>
          <w:bCs w:val="1"/>
          <w:color w:val="auto"/>
        </w:rPr>
        <w:t>Israeli Securities Law</w:t>
      </w:r>
      <w:r>
        <w:rPr>
          <w:rFonts w:ascii="Arial" w:cs="Arial" w:eastAsia="Arial" w:hAnsi="Arial"/>
          <w:sz w:val="17"/>
          <w:szCs w:val="17"/>
          <w:color w:val="auto"/>
        </w:rPr>
        <w:t>”) in Israel, the Company has not engaged in any form of solicitation, advertising or any other action constituting an offer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72" w:lineRule="exact"/>
        <w:rPr>
          <w:rFonts w:ascii="Arial" w:cs="Arial" w:eastAsia="Arial" w:hAnsi="Arial"/>
          <w:sz w:val="17"/>
          <w:szCs w:val="17"/>
          <w:color w:val="auto"/>
        </w:rPr>
      </w:pPr>
    </w:p>
    <w:p>
      <w:pPr>
        <w:ind w:left="-540" w:right="20" w:firstLine="645"/>
        <w:spacing w:after="0" w:line="277" w:lineRule="auto"/>
        <w:tabs>
          <w:tab w:leader="none" w:pos="4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official notice of issuance and evidence of satisfactory distribution on, The Nasdaq Global Select Market.</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4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Representatives have consented in accordance with Section 1(j) or 5(a)(vi) and any Issuer Free Writing Prospectus set forth on Schedule V hereto.</w:t>
      </w:r>
    </w:p>
    <w:p>
      <w:pPr>
        <w:spacing w:after="0" w:line="186" w:lineRule="exact"/>
        <w:rPr>
          <w:rFonts w:ascii="Arial" w:cs="Arial" w:eastAsia="Arial" w:hAnsi="Arial"/>
          <w:sz w:val="18"/>
          <w:szCs w:val="18"/>
          <w:color w:val="auto"/>
        </w:rPr>
      </w:pPr>
    </w:p>
    <w:p>
      <w:pPr>
        <w:jc w:val="both"/>
        <w:ind w:left="-540" w:firstLine="645"/>
        <w:spacing w:after="0" w:line="259" w:lineRule="auto"/>
        <w:tabs>
          <w:tab w:leader="none" w:pos="4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8" w:name="page19"/>
    <w:bookmarkEnd w:id="18"/>
    <w:p>
      <w:pPr>
        <w:jc w:val="both"/>
        <w:ind w:left="4" w:firstLine="645"/>
        <w:spacing w:after="0" w:line="288" w:lineRule="auto"/>
        <w:tabs>
          <w:tab w:leader="none" w:pos="1058"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w:t>
      </w:r>
    </w:p>
    <w:p>
      <w:pPr>
        <w:jc w:val="both"/>
        <w:ind w:left="4" w:hanging="4"/>
        <w:spacing w:after="0" w:line="281" w:lineRule="auto"/>
        <w:tabs>
          <w:tab w:leader="none" w:pos="2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made any direct or indirect unlawful payment to any foreign or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FCPA, Section 291 and 291A of the Israeli Penal Law 5733-1973, the U.K. Bribery Act 2010, as amended, or any other applicable anti-bribery statute or regulation; or (iv) made any bribe, rebate, payoff, influence payment, kickback or other unlawful payment to any domestic government official, foreign official or employee; and the Company and its subsidiaries and the Company’s controlled affiliates have conducted their respective businesses in compliance with the FCPA, Sections 291 and 291A of the Israeli Penal Law 5733-1973, U.K. Bribery Act 2010, and all other applicable anti-bribery statutes and regulations, and have instituted and maintain policies and procedures designed to promote continued compliance therewith.</w:t>
      </w:r>
    </w:p>
    <w:p>
      <w:pPr>
        <w:spacing w:after="0" w:line="194" w:lineRule="exact"/>
        <w:rPr>
          <w:rFonts w:ascii="Arial" w:cs="Arial" w:eastAsia="Arial" w:hAnsi="Arial"/>
          <w:sz w:val="18"/>
          <w:szCs w:val="18"/>
          <w:color w:val="auto"/>
        </w:rPr>
      </w:pPr>
    </w:p>
    <w:p>
      <w:pPr>
        <w:jc w:val="both"/>
        <w:ind w:left="4" w:firstLine="645"/>
        <w:spacing w:after="0" w:line="273" w:lineRule="auto"/>
        <w:tabs>
          <w:tab w:leader="none" w:pos="10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jc w:val="both"/>
        <w:ind w:left="4" w:firstLine="645"/>
        <w:spacing w:after="0" w:line="268" w:lineRule="auto"/>
        <w:tabs>
          <w:tab w:leader="none" w:pos="10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controlled affiliate of the Company or any of its subsidiaries is (i) currently subject to any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U.S. Department of State,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 (ii) located, organized or ordinarily resident in a country that is the subject of comprehensive country-wide Sanctions (including, without limitation, the Crimea region of the Ukraine, Cuba, Iran, North Korea and Syria); and the Company will not directly or indirectly use the proceeds of the offering, or lend, contribute or otherwise make available such proceeds to any subsidiary, joint venture partner or other person or entity, for the purpose of financing the activities of any person that is the target of Sanctions, or in any country or territory that currently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39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9" w:name="page20"/>
    <w:bookmarkEnd w:id="19"/>
    <w:p>
      <w:pPr>
        <w:ind w:left="660" w:right="20" w:firstLine="645"/>
        <w:spacing w:after="0" w:line="277" w:lineRule="auto"/>
        <w:tabs>
          <w:tab w:leader="none" w:pos="17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described in the Preliminary Prospectus, no approvals are currently required in the State of Israel in order for the Company to pay dividends or other distributions declared by the Company to the holders of Underlying Securities.</w:t>
      </w:r>
    </w:p>
    <w:p>
      <w:pPr>
        <w:spacing w:after="0" w:line="170" w:lineRule="exact"/>
        <w:rPr>
          <w:rFonts w:ascii="Arial" w:cs="Arial" w:eastAsia="Arial" w:hAnsi="Arial"/>
          <w:sz w:val="18"/>
          <w:szCs w:val="18"/>
          <w:color w:val="auto"/>
        </w:rPr>
      </w:pPr>
    </w:p>
    <w:p>
      <w:pPr>
        <w:jc w:val="both"/>
        <w:ind w:left="660" w:firstLine="645"/>
        <w:spacing w:after="0" w:line="257" w:lineRule="auto"/>
        <w:tabs>
          <w:tab w:leader="none" w:pos="17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2019 or for any foreseeable subsequent taxable year.</w:t>
      </w:r>
    </w:p>
    <w:p>
      <w:pPr>
        <w:spacing w:after="0" w:line="188" w:lineRule="exact"/>
        <w:rPr>
          <w:rFonts w:ascii="Arial" w:cs="Arial" w:eastAsia="Arial" w:hAnsi="Arial"/>
          <w:sz w:val="18"/>
          <w:szCs w:val="18"/>
          <w:color w:val="auto"/>
        </w:rPr>
      </w:pPr>
    </w:p>
    <w:p>
      <w:pPr>
        <w:jc w:val="both"/>
        <w:ind w:left="660" w:firstLine="645"/>
        <w:spacing w:after="0" w:line="286" w:lineRule="auto"/>
        <w:tabs>
          <w:tab w:leader="none" w:pos="1637"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17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7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86"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qualifies as a “foreign private issuer” within the meaning of Rule 405 under the Act.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has duly designated Kornit Digital North America, Inc. as its authorized agent to receive service of process as set forth 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20.</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pursuant to this Agreement in connection with the offering of the Shares shall be deemed a representation and warranty by the Company, as to matters covered thereby, to each Underwriter.</w:t>
      </w:r>
    </w:p>
    <w:p>
      <w:pPr>
        <w:spacing w:after="0" w:line="124" w:lineRule="exact"/>
        <w:rPr>
          <w:sz w:val="20"/>
          <w:szCs w:val="20"/>
          <w:color w:val="auto"/>
        </w:rPr>
      </w:pPr>
    </w:p>
    <w:p>
      <w:pPr>
        <w:jc w:val="both"/>
        <w:ind w:firstLine="656"/>
        <w:spacing w:after="0" w:line="272" w:lineRule="auto"/>
        <w:tabs>
          <w:tab w:leader="none" w:pos="82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Purchase of the Shares by the Underwriters</w:t>
      </w:r>
      <w:r>
        <w:rPr>
          <w:rFonts w:ascii="Arial" w:cs="Arial" w:eastAsia="Arial" w:hAnsi="Arial"/>
          <w:sz w:val="17"/>
          <w:szCs w:val="17"/>
          <w:color w:val="auto"/>
        </w:rPr>
        <w:t>. On the basis of the representations, warranties and covenants contained in, and subject to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of, this Agreement, the Company agrees to sell 4,340,000 Shares to the several Underwriters, and each of the Underwriters, severally and not jointly, agrees to purchase the number of Firm Shares set forth opposite that Underwriter’s name in Schedule I hereto. Each Underwriter shall be obligated to purchase from the Company that number of Shares that represents the same proportion of the number of Shares to be sold by the Company as the number of Shares set forth opposite the name of such Underwriter in Schedule I represents to the total number of Shares to be purchased by all of the Underwriters pursuant to this Agreement. The respective purchase obligations of the Underwriters with respect to the Firm Shares shall be rounded among the Underwriters to avoid fractional shares, as the Representatives may determine.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76" w:lineRule="auto"/>
        <w:rPr>
          <w:sz w:val="20"/>
          <w:szCs w:val="20"/>
          <w:color w:val="auto"/>
        </w:rPr>
      </w:pPr>
      <w:r>
        <w:rPr>
          <w:rFonts w:ascii="Arial" w:cs="Arial" w:eastAsia="Arial" w:hAnsi="Arial"/>
          <w:sz w:val="17"/>
          <w:szCs w:val="17"/>
          <w:color w:val="auto"/>
        </w:rPr>
        <w:t>In addition, the Company grants to the Underwriters an option to purchase up to 651,000 additional Option Shares. Any such election to purchase Option Shares shall be made in proportion to the maximum number of Option Shares to be sold by the Company. Each Underwriter agrees, severally and not jointly, to purchase the number of Option Shares (subject to such adjustments to eliminate fractional shares as the Representatives may determine) that bears the same proportion to the total number of Option Shares to be sold on such Delivery Date as the number of Firm Shares set forth in Schedule I hereto opposite the name of such Underwriter bears to the total number of Firm Shares.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payable by the Underwriters for both the Firm Shares and any Option Shares is $26.125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not obligated to deliver any of the Firm Shares or Option Shares to be delivered on the applicable Delivery Date, except upon payment for all such Shares to be purchased on such Delivery Date as provided herein.</w:t>
      </w:r>
    </w:p>
    <w:p>
      <w:pPr>
        <w:spacing w:after="0" w:line="170" w:lineRule="exact"/>
        <w:rPr>
          <w:sz w:val="20"/>
          <w:szCs w:val="20"/>
          <w:color w:val="auto"/>
        </w:rPr>
      </w:pPr>
    </w:p>
    <w:p>
      <w:pPr>
        <w:ind w:right="20" w:firstLine="656"/>
        <w:spacing w:after="0" w:line="277" w:lineRule="auto"/>
        <w:tabs>
          <w:tab w:leader="none" w:pos="84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Offering of Shares by the Underwriters</w:t>
      </w:r>
      <w:r>
        <w:rPr>
          <w:rFonts w:ascii="Arial" w:cs="Arial" w:eastAsia="Arial" w:hAnsi="Arial"/>
          <w:sz w:val="18"/>
          <w:szCs w:val="18"/>
          <w:color w:val="auto"/>
        </w:rPr>
        <w:t>. Upon authorization by the Representatives of the release of the Firm Shares,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to offer the Firm Shares for sale upon the terms and conditions to be set forth in the Prospectus.</w:t>
      </w:r>
    </w:p>
    <w:p>
      <w:pPr>
        <w:spacing w:after="0" w:line="170" w:lineRule="exact"/>
        <w:rPr>
          <w:rFonts w:ascii="Arial" w:cs="Arial" w:eastAsia="Arial" w:hAnsi="Arial"/>
          <w:sz w:val="18"/>
          <w:szCs w:val="18"/>
          <w:color w:val="auto"/>
        </w:rPr>
      </w:pPr>
    </w:p>
    <w:p>
      <w:pPr>
        <w:jc w:val="both"/>
        <w:ind w:firstLine="656"/>
        <w:spacing w:after="0" w:line="271" w:lineRule="auto"/>
        <w:tabs>
          <w:tab w:leader="none" w:pos="82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Delivery of and Payment for the Shares</w:t>
      </w:r>
      <w:r>
        <w:rPr>
          <w:rFonts w:ascii="Arial" w:cs="Arial" w:eastAsia="Arial" w:hAnsi="Arial"/>
          <w:sz w:val="17"/>
          <w:szCs w:val="17"/>
          <w:color w:val="auto"/>
        </w:rPr>
        <w:t>. Delivery of and payment for the Firm Shares shall be made at 10:00 A.M., New York City time,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full business day following the date of this Agreement or at such other date or place as shall be determined by agreement between the Representatives and the Company. This date and time are sometimes referred to as the “</w:t>
      </w:r>
      <w:r>
        <w:rPr>
          <w:rFonts w:ascii="Arial" w:cs="Arial" w:eastAsia="Arial" w:hAnsi="Arial"/>
          <w:sz w:val="17"/>
          <w:szCs w:val="17"/>
          <w:b w:val="1"/>
          <w:bCs w:val="1"/>
          <w:color w:val="auto"/>
        </w:rPr>
        <w:t>Initial Delivery Date</w:t>
      </w:r>
      <w:r>
        <w:rPr>
          <w:rFonts w:ascii="Arial" w:cs="Arial" w:eastAsia="Arial" w:hAnsi="Arial"/>
          <w:sz w:val="17"/>
          <w:szCs w:val="17"/>
          <w:color w:val="auto"/>
        </w:rPr>
        <w:t>”. Delivery of the Firm Shares shall be made to the Representatives for the account of each Underwriter against payment by the several Underwriters through the Representatives and of the respective aggregate purchase prices of the Firm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Firm Shares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unless the Representatives shall otherwise instruct.</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option granted in Section 2 will expire 30 days after the date of this Agreement and may be exercised in whole or from time to time in part by written notice being given to the Company by the Representatives within such 30 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date falls on a day that is not a business day, the option granted in Section 2 will expire on the next succeeding business day. Such notice shall set forth the aggregate number of Option Shares as to which the option is being exercised, the names in which the Option Shares are to be registered, the denominations in which the Option Shares are to be issued and the date and time, as determined by the Representatives, when the Option Shares are to be delivered;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this date and time shall not be earlier than the Initial Delivery Date nor earlier than the second business day after the date on which the option shall have been exercised nor later than the fifth day after the date on which the option shall have been exercised. Each date and time the Option Shares are delivered is sometimes referred to as an “</w:t>
      </w:r>
      <w:r>
        <w:rPr>
          <w:rFonts w:ascii="Arial" w:cs="Arial" w:eastAsia="Arial" w:hAnsi="Arial"/>
          <w:sz w:val="16"/>
          <w:szCs w:val="16"/>
          <w:b w:val="1"/>
          <w:bCs w:val="1"/>
          <w:color w:val="auto"/>
        </w:rPr>
        <w:t>Option Shares Delivery Date</w:t>
      </w:r>
      <w:r>
        <w:rPr>
          <w:rFonts w:ascii="Arial" w:cs="Arial" w:eastAsia="Arial" w:hAnsi="Arial"/>
          <w:sz w:val="16"/>
          <w:szCs w:val="16"/>
          <w:color w:val="auto"/>
        </w:rPr>
        <w:t>”, and the Initial Delivery Date and any Option Shares Delivery Date are sometimes each referred to as a “</w:t>
      </w:r>
      <w:r>
        <w:rPr>
          <w:rFonts w:ascii="Arial" w:cs="Arial" w:eastAsia="Arial" w:hAnsi="Arial"/>
          <w:sz w:val="16"/>
          <w:szCs w:val="16"/>
          <w:b w:val="1"/>
          <w:bCs w:val="1"/>
          <w:color w:val="auto"/>
        </w:rPr>
        <w:t>Delivery Date</w:t>
      </w:r>
      <w:r>
        <w:rPr>
          <w:rFonts w:ascii="Arial" w:cs="Arial" w:eastAsia="Arial" w:hAnsi="Arial"/>
          <w:sz w:val="16"/>
          <w:szCs w:val="16"/>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53" w:lineRule="auto"/>
        <w:rPr>
          <w:sz w:val="20"/>
          <w:szCs w:val="20"/>
          <w:color w:val="auto"/>
        </w:rPr>
      </w:pPr>
      <w:r>
        <w:rPr>
          <w:rFonts w:ascii="Arial" w:cs="Arial" w:eastAsia="Arial" w:hAnsi="Arial"/>
          <w:sz w:val="18"/>
          <w:szCs w:val="18"/>
          <w:color w:val="auto"/>
        </w:rPr>
        <w:t>Delivery of the Option Shares by the Company and payment for the Option Shares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Shares Delivery Date, the Company shall deliver or cause to be delivered the Option Shares being sold by the Company on such Option Shares Delivery Date to the Representatives for the account of each Underwriter against payment by the several Underwriters through the Representatives and of the respective aggregate purchase prices of the Option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Representatives shall otherwise instruct.</w:t>
      </w:r>
    </w:p>
    <w:p>
      <w:pPr>
        <w:spacing w:after="0" w:line="197"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225" w:lineRule="exact"/>
        <w:rPr>
          <w:rFonts w:ascii="Arial" w:cs="Arial" w:eastAsia="Arial" w:hAnsi="Arial"/>
          <w:sz w:val="18"/>
          <w:szCs w:val="18"/>
          <w:color w:val="auto"/>
        </w:rPr>
      </w:pPr>
    </w:p>
    <w:p>
      <w:pPr>
        <w:jc w:val="both"/>
        <w:ind w:left="1300" w:firstLine="653"/>
        <w:spacing w:after="0" w:line="269" w:lineRule="auto"/>
        <w:tabs>
          <w:tab w:leader="none" w:pos="2165"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left="100" w:firstLine="653"/>
        <w:spacing w:after="0" w:line="264" w:lineRule="auto"/>
        <w:tabs>
          <w:tab w:leader="none" w:pos="10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furnish promptly upon request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81" w:lineRule="exact"/>
        <w:rPr>
          <w:rFonts w:ascii="Arial" w:cs="Arial" w:eastAsia="Arial" w:hAnsi="Arial"/>
          <w:sz w:val="18"/>
          <w:szCs w:val="18"/>
          <w:color w:val="auto"/>
        </w:rPr>
      </w:pPr>
    </w:p>
    <w:p>
      <w:pPr>
        <w:jc w:val="both"/>
        <w:ind w:left="100" w:firstLine="653"/>
        <w:spacing w:after="0" w:line="287" w:lineRule="auto"/>
        <w:tabs>
          <w:tab w:leader="none" w:pos="107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the Preliminary Prospectus, the 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168" w:lineRule="exact"/>
        <w:rPr>
          <w:rFonts w:ascii="Arial" w:cs="Arial" w:eastAsia="Arial" w:hAnsi="Arial"/>
          <w:sz w:val="16"/>
          <w:szCs w:val="16"/>
          <w:color w:val="auto"/>
        </w:rPr>
      </w:pPr>
    </w:p>
    <w:p>
      <w:pPr>
        <w:ind w:left="100" w:firstLine="653"/>
        <w:spacing w:after="0" w:line="308" w:lineRule="auto"/>
        <w:tabs>
          <w:tab w:leader="none" w:pos="105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file promptly with the Commission any amendment or supplement to the Registration Statement or the Prospectus that may, in the judgment of the Company or the Representatives, be required by the Securities Act or requested by the Commission.</w:t>
      </w:r>
    </w:p>
    <w:p>
      <w:pPr>
        <w:spacing w:after="0" w:line="146" w:lineRule="exact"/>
        <w:rPr>
          <w:rFonts w:ascii="Arial" w:cs="Arial" w:eastAsia="Arial" w:hAnsi="Arial"/>
          <w:sz w:val="17"/>
          <w:szCs w:val="17"/>
          <w:color w:val="auto"/>
        </w:rPr>
      </w:pPr>
    </w:p>
    <w:p>
      <w:pPr>
        <w:jc w:val="both"/>
        <w:ind w:left="100" w:firstLine="653"/>
        <w:spacing w:after="0" w:line="259" w:lineRule="auto"/>
        <w:tabs>
          <w:tab w:leader="none" w:pos="10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not to file any such amendment or supplement to which the Representatives shall reasonably object.</w:t>
      </w:r>
    </w:p>
    <w:p>
      <w:pPr>
        <w:spacing w:after="0" w:line="186" w:lineRule="exact"/>
        <w:rPr>
          <w:rFonts w:ascii="Arial" w:cs="Arial" w:eastAsia="Arial" w:hAnsi="Arial"/>
          <w:sz w:val="18"/>
          <w:szCs w:val="18"/>
          <w:color w:val="auto"/>
        </w:rPr>
      </w:pPr>
    </w:p>
    <w:p>
      <w:pPr>
        <w:ind w:left="100" w:firstLine="653"/>
        <w:spacing w:after="0" w:line="277" w:lineRule="auto"/>
        <w:tabs>
          <w:tab w:leader="none" w:pos="10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to make any offer relating to the Shares that would constitute an Issuer Free Writing Prospectus without the prior written consent of the Representatives.</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3" w:name="page24"/>
    <w:bookmarkEnd w:id="23"/>
    <w:p>
      <w:pPr>
        <w:jc w:val="both"/>
        <w:ind w:left="100" w:firstLine="653"/>
        <w:spacing w:after="0" w:line="253" w:lineRule="auto"/>
        <w:tabs>
          <w:tab w:leader="none" w:pos="11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97" w:lineRule="exact"/>
        <w:rPr>
          <w:rFonts w:ascii="Arial" w:cs="Arial" w:eastAsia="Arial" w:hAnsi="Arial"/>
          <w:sz w:val="18"/>
          <w:szCs w:val="18"/>
          <w:color w:val="auto"/>
        </w:rPr>
      </w:pPr>
    </w:p>
    <w:p>
      <w:pPr>
        <w:jc w:val="both"/>
        <w:ind w:left="100" w:firstLine="653"/>
        <w:spacing w:after="0" w:line="276" w:lineRule="auto"/>
        <w:tabs>
          <w:tab w:leader="none" w:pos="11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w:t>
      </w:r>
    </w:p>
    <w:p>
      <w:pPr>
        <w:spacing w:after="0" w:line="172" w:lineRule="exact"/>
        <w:rPr>
          <w:rFonts w:ascii="Arial" w:cs="Arial" w:eastAsia="Arial" w:hAnsi="Arial"/>
          <w:sz w:val="17"/>
          <w:szCs w:val="17"/>
          <w:color w:val="auto"/>
        </w:rPr>
      </w:pPr>
    </w:p>
    <w:p>
      <w:pPr>
        <w:jc w:val="both"/>
        <w:ind w:left="100" w:firstLine="653"/>
        <w:spacing w:after="0" w:line="273" w:lineRule="auto"/>
        <w:tabs>
          <w:tab w:leader="none" w:pos="1083"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Promptly from time to time to take such action as the Representatives may reasonably request to qualify the Shares for offering and sale under the securities or Blue Sky laws of Canada and such other jurisdictions as the Representatives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jc w:val="both"/>
        <w:ind w:left="100" w:firstLine="653"/>
        <w:spacing w:after="0" w:line="285" w:lineRule="auto"/>
        <w:tabs>
          <w:tab w:leader="none" w:pos="1031" w:val="left"/>
        </w:tabs>
        <w:numPr>
          <w:ilvl w:val="1"/>
          <w:numId w:val="24"/>
        </w:numPr>
        <w:rPr>
          <w:rFonts w:ascii="Arial" w:cs="Arial" w:eastAsia="Arial" w:hAnsi="Arial"/>
          <w:sz w:val="16"/>
          <w:szCs w:val="16"/>
          <w:color w:val="auto"/>
        </w:rPr>
      </w:pPr>
      <w:r>
        <w:rPr>
          <w:rFonts w:ascii="Arial" w:cs="Arial" w:eastAsia="Arial" w:hAnsi="Arial"/>
          <w:sz w:val="16"/>
          <w:szCs w:val="16"/>
          <w:color w:val="auto"/>
        </w:rPr>
        <w:t>For a period commencing on the date hereof and ending on the 90th day after the date of the Prospectus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not to, directly or indirectly, (A) offer for sale, sell, pledge, or otherwise dispose of (or enter into any transaction or device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Arial" w:cs="Arial" w:eastAsia="Arial" w:hAnsi="Arial"/>
          <w:sz w:val="16"/>
          <w:szCs w:val="16"/>
          <w:b w:val="1"/>
          <w:bCs w:val="1"/>
          <w:color w:val="auto"/>
        </w:rPr>
        <w:t>Existing Plans</w:t>
      </w:r>
      <w:r>
        <w:rPr>
          <w:rFonts w:ascii="Arial" w:cs="Arial" w:eastAsia="Arial" w:hAnsi="Arial"/>
          <w:sz w:val="16"/>
          <w:szCs w:val="16"/>
          <w:color w:val="auto"/>
        </w:rPr>
        <w:t xml:space="preserve">”) or upon exercise of currently outstanding options, warrants or rights and (iii) Ordinary Shares or other securities issued in connection 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Initial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 (A) or (B) above is to be settled by delivery of Ordinary Shares or other securities, in cash or otherwise, (C) 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Citigroup Global Markets Inc., Goldman Sachs &amp; Co. LLC and Barclays Capital Inc., on behalf of the Underwriters, and to cause each officer, director and shareholder of the Company set forth on Schedule II hereto to furnish to the Representatives, prior to the Initial Delivery Date, a letter or letters, substantially in the form of Exhibit A hereto (the “</w:t>
      </w:r>
      <w:r>
        <w:rPr>
          <w:rFonts w:ascii="Arial" w:cs="Arial" w:eastAsia="Arial" w:hAnsi="Arial"/>
          <w:sz w:val="16"/>
          <w:szCs w:val="16"/>
          <w:b w:val="1"/>
          <w:bCs w:val="1"/>
          <w:color w:val="auto"/>
        </w:rPr>
        <w:t>Lock-Up Agreements</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100" w:firstLine="653"/>
        <w:spacing w:after="0" w:line="277" w:lineRule="auto"/>
        <w:tabs>
          <w:tab w:leader="none" w:pos="108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being sold by the Company substantially in accordance with the description as set forth in the Prospectus under the caption “Use of Proceeds.”</w:t>
      </w:r>
    </w:p>
    <w:p>
      <w:pPr>
        <w:spacing w:after="0" w:line="170" w:lineRule="exact"/>
        <w:rPr>
          <w:rFonts w:ascii="Arial" w:cs="Arial" w:eastAsia="Arial" w:hAnsi="Arial"/>
          <w:sz w:val="18"/>
          <w:szCs w:val="18"/>
          <w:color w:val="auto"/>
        </w:rPr>
      </w:pPr>
    </w:p>
    <w:p>
      <w:pPr>
        <w:jc w:val="both"/>
        <w:ind w:left="100" w:firstLine="653"/>
        <w:spacing w:after="0" w:line="259" w:lineRule="auto"/>
        <w:tabs>
          <w:tab w:leader="none" w:pos="11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(A) the time when a prospectus relating to the offering or sale of the Shares or any other securities relating thereto is not required by the Securities Act to be delivered (whether physically or through compliance with Rule 172 under the Securities Act or any similar rule) and (B) completion of the Lock-Up Period.</w:t>
      </w:r>
    </w:p>
    <w:p>
      <w:pPr>
        <w:spacing w:after="0" w:line="186" w:lineRule="exact"/>
        <w:rPr>
          <w:rFonts w:ascii="Arial" w:cs="Arial" w:eastAsia="Arial" w:hAnsi="Arial"/>
          <w:sz w:val="18"/>
          <w:szCs w:val="18"/>
          <w:color w:val="auto"/>
        </w:rPr>
      </w:pPr>
    </w:p>
    <w:p>
      <w:pPr>
        <w:jc w:val="both"/>
        <w:ind w:left="100" w:firstLine="653"/>
        <w:spacing w:after="0" w:line="264" w:lineRule="auto"/>
        <w:tabs>
          <w:tab w:leader="none" w:pos="11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ind w:left="100" w:right="20" w:firstLine="653"/>
        <w:spacing w:after="0" w:line="308" w:lineRule="auto"/>
        <w:tabs>
          <w:tab w:leader="none" w:pos="11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146" w:lineRule="exact"/>
        <w:rPr>
          <w:rFonts w:ascii="Arial" w:cs="Arial" w:eastAsia="Arial" w:hAnsi="Arial"/>
          <w:sz w:val="17"/>
          <w:szCs w:val="17"/>
          <w:color w:val="auto"/>
        </w:rPr>
      </w:pPr>
    </w:p>
    <w:p>
      <w:pPr>
        <w:jc w:val="both"/>
        <w:ind w:left="-540" w:firstLine="645"/>
        <w:spacing w:after="0" w:line="293" w:lineRule="auto"/>
        <w:tabs>
          <w:tab w:leader="none" w:pos="3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color w:val="auto"/>
        </w:rPr>
        <w:t>Permitted Issuer</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no such consent shall be required with respect to any such issuer information contained in any document filed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5" w:name="page26"/>
    <w:bookmarkEnd w:id="25"/>
    <w:p>
      <w:pPr>
        <w:jc w:val="both"/>
        <w:ind w:left="660" w:firstLine="645"/>
        <w:spacing w:after="0" w:line="270" w:lineRule="auto"/>
        <w:tabs>
          <w:tab w:leader="none" w:pos="1559" w:val="left"/>
        </w:tabs>
        <w:numPr>
          <w:ilvl w:val="1"/>
          <w:numId w:val="26"/>
        </w:numPr>
        <w:rPr>
          <w:rFonts w:ascii="Arial" w:cs="Arial" w:eastAsia="Arial" w:hAnsi="Arial"/>
          <w:sz w:val="17"/>
          <w:szCs w:val="17"/>
          <w:color w:val="auto"/>
        </w:rPr>
      </w:pPr>
      <w:r>
        <w:rPr>
          <w:rFonts w:ascii="Arial" w:cs="Arial" w:eastAsia="Arial" w:hAnsi="Arial"/>
          <w:sz w:val="17"/>
          <w:szCs w:val="17"/>
          <w:color w:val="auto"/>
        </w:rPr>
        <w:t>Each Underwriter severally agrees that other than as set forth in this Section 5(c), it will not offer any Shares to offerees in Israel, other than to investors listed in the First Addendum to the Israeli Securities Law (the “</w:t>
      </w:r>
      <w:r>
        <w:rPr>
          <w:rFonts w:ascii="Arial" w:cs="Arial" w:eastAsia="Arial" w:hAnsi="Arial"/>
          <w:sz w:val="17"/>
          <w:szCs w:val="17"/>
          <w:b w:val="1"/>
          <w:bCs w:val="1"/>
          <w:color w:val="auto"/>
        </w:rPr>
        <w:t>Addendum</w:t>
      </w:r>
      <w:r>
        <w:rPr>
          <w:rFonts w:ascii="Arial" w:cs="Arial" w:eastAsia="Arial" w:hAnsi="Arial"/>
          <w:sz w:val="17"/>
          <w:szCs w:val="17"/>
          <w:color w:val="auto"/>
        </w:rPr>
        <w:t>”). The Company acknowledges, understands and agrees that Shares may be sold in Israel only by the Underwriters and only to such Israeli investors listed in the Addendum; all of whom are to be specifically identified and approved by the Underwriters, and provided further that as a prerequisite to sale of Shares by the Underwriters to such Israeli investors, each of them shall be required to submit written confirmation to the Underwriters and the Company that such investor (i) falls within the scope of the Addendum; and (ii) is acquiring the Shares being offered to it for investment for its own account or, if applicable, for investment for clients who are institutional investors and in any event not as a nominee, market maker or agent and not with a view to, or for the resale in connection with, any distribution thereof. The Underwriters and the Company acknowledge and agree that any failure to comply with the above procedure may result in a violation of Israeli Securities Law.</w:t>
      </w:r>
    </w:p>
    <w:p>
      <w:pPr>
        <w:spacing w:after="0" w:line="181" w:lineRule="exact"/>
        <w:rPr>
          <w:rFonts w:ascii="Arial" w:cs="Arial" w:eastAsia="Arial" w:hAnsi="Arial"/>
          <w:sz w:val="17"/>
          <w:szCs w:val="17"/>
          <w:color w:val="auto"/>
        </w:rPr>
      </w:pPr>
    </w:p>
    <w:p>
      <w:pPr>
        <w:jc w:val="both"/>
        <w:ind w:firstLine="656"/>
        <w:spacing w:after="0" w:line="284" w:lineRule="auto"/>
        <w:tabs>
          <w:tab w:leader="none" w:pos="869"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agrees, whether or not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terminated, to pay all expenses, costs, fees and taxes incident to and in connection with (a) the authorization, issuance, sale and delivery of the Shares and any stamp duties or other taxes payable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Shares; (e) the listing of the Shares on The Nasdaq Global Select Market and/or any other exchange; (f) the qualification of the Shares under the securities laws of the several jurisdictions as provided in Section 5(a)(ix) and the preparation, printing and distribution of a Blue Sky Memorandum (including related fees and expenses of counsel to the Underwriters, which shall not exceed $15,000); (g)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(h) all other costs and expenses incident to the performance of the obligations of the Company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provided in this Section 6 and in Section 11,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 (h) all other costs and expenses incident to the performance of the obligations of the Company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provided in this Section 6 and in Section 11,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56"/>
        <w:spacing w:after="0" w:line="264"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 The respective obligations of the Underwriters hereunder are subject to the accuracy, when made and on</w:t>
      </w:r>
      <w:r>
        <w:rPr>
          <w:rFonts w:ascii="Arial" w:cs="Arial" w:eastAsia="Arial" w:hAnsi="Arial"/>
          <w:sz w:val="18"/>
          <w:szCs w:val="18"/>
          <w:i w:val="1"/>
          <w:iCs w:val="1"/>
          <w:color w:val="auto"/>
        </w:rPr>
        <w:t xml:space="preserve"> </w:t>
      </w:r>
      <w:r>
        <w:rPr>
          <w:rFonts w:ascii="Arial" w:cs="Arial" w:eastAsia="Arial" w:hAnsi="Arial"/>
          <w:sz w:val="18"/>
          <w:szCs w:val="18"/>
          <w:color w:val="auto"/>
        </w:rPr>
        <w:t>each Delivery Date, of the representations and warranties of the Company contained herein, to the performance by the Company of its obligations hereunder, and to each of the following additional terms and conditions:</w:t>
      </w:r>
    </w:p>
    <w:p>
      <w:pPr>
        <w:spacing w:after="0" w:line="181" w:lineRule="exact"/>
        <w:rPr>
          <w:rFonts w:ascii="Arial" w:cs="Arial" w:eastAsia="Arial" w:hAnsi="Arial"/>
          <w:sz w:val="18"/>
          <w:szCs w:val="18"/>
          <w:color w:val="auto"/>
        </w:rPr>
      </w:pPr>
    </w:p>
    <w:p>
      <w:pPr>
        <w:jc w:val="both"/>
        <w:ind w:left="660" w:firstLine="645"/>
        <w:spacing w:after="0" w:line="272" w:lineRule="auto"/>
        <w:tabs>
          <w:tab w:leader="none" w:pos="1553"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77" w:lineRule="exact"/>
        <w:rPr>
          <w:rFonts w:ascii="Arial" w:cs="Arial" w:eastAsia="Arial" w:hAnsi="Arial"/>
          <w:sz w:val="17"/>
          <w:szCs w:val="17"/>
          <w:color w:val="auto"/>
        </w:rPr>
      </w:pPr>
    </w:p>
    <w:p>
      <w:pPr>
        <w:jc w:val="both"/>
        <w:ind w:left="660" w:firstLine="645"/>
        <w:spacing w:after="0" w:line="312" w:lineRule="auto"/>
        <w:tabs>
          <w:tab w:leader="none" w:pos="15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146" w:lineRule="exact"/>
        <w:rPr>
          <w:rFonts w:ascii="Arial" w:cs="Arial" w:eastAsia="Arial" w:hAnsi="Arial"/>
          <w:sz w:val="16"/>
          <w:szCs w:val="16"/>
          <w:color w:val="auto"/>
        </w:rPr>
      </w:pPr>
    </w:p>
    <w:p>
      <w:pPr>
        <w:jc w:val="both"/>
        <w:ind w:left="660" w:firstLine="645"/>
        <w:spacing w:after="0" w:line="302" w:lineRule="auto"/>
        <w:tabs>
          <w:tab w:leader="none" w:pos="1564"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154" w:lineRule="exact"/>
        <w:rPr>
          <w:rFonts w:ascii="Arial" w:cs="Arial" w:eastAsia="Arial" w:hAnsi="Arial"/>
          <w:sz w:val="16"/>
          <w:szCs w:val="16"/>
          <w:color w:val="auto"/>
        </w:rPr>
      </w:pPr>
    </w:p>
    <w:p>
      <w:pPr>
        <w:ind w:left="660" w:firstLine="645"/>
        <w:spacing w:after="0" w:line="342" w:lineRule="auto"/>
        <w:tabs>
          <w:tab w:leader="none" w:pos="15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White &amp; Case LLP shall have furnished to the Representatives its written opinion and negative assurance letter, as U.S. counsel to the Company, addressed to the Underwriters and dated such Delivery Date, in form and substance reasonably satisfactory to the Representatives.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540" w:firstLine="645"/>
        <w:spacing w:after="0" w:line="308" w:lineRule="auto"/>
        <w:tabs>
          <w:tab w:leader="none" w:pos="366"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Meitar Liquornik Geva Leshem Tal shall have furnished to the Representatives its written opinion, as Israeli counsel to the Company, addressed to the Underwriters and dated such Delivery Date, in form and substance reasonably satisfactory to the Representatives.</w:t>
      </w:r>
    </w:p>
    <w:p>
      <w:pPr>
        <w:spacing w:after="0" w:line="146" w:lineRule="exact"/>
        <w:rPr>
          <w:rFonts w:ascii="Arial" w:cs="Arial" w:eastAsia="Arial" w:hAnsi="Arial"/>
          <w:sz w:val="17"/>
          <w:szCs w:val="17"/>
          <w:color w:val="auto"/>
        </w:rPr>
      </w:pPr>
    </w:p>
    <w:p>
      <w:pPr>
        <w:jc w:val="both"/>
        <w:ind w:left="-540" w:firstLine="645"/>
        <w:spacing w:after="0" w:line="257" w:lineRule="auto"/>
        <w:tabs>
          <w:tab w:leader="none" w:pos="3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from Skadden, Arps, Slate, Meagher &amp; Flom LLP, as U.S. counsel to the Underwriters, its written opinion and negative assurance letter,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88" w:lineRule="exact"/>
        <w:rPr>
          <w:rFonts w:ascii="Arial" w:cs="Arial" w:eastAsia="Arial" w:hAnsi="Arial"/>
          <w:sz w:val="18"/>
          <w:szCs w:val="18"/>
          <w:color w:val="auto"/>
        </w:rPr>
      </w:pPr>
    </w:p>
    <w:p>
      <w:pPr>
        <w:jc w:val="both"/>
        <w:ind w:left="-540" w:firstLine="645"/>
        <w:spacing w:after="0" w:line="302" w:lineRule="auto"/>
        <w:tabs>
          <w:tab w:leader="none" w:pos="3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Representatives shall have received from Gross, Kleinhendler, Hodak, Halevy, Greenberg, Shenhav &amp; Co., as Israeli counsel to the Underwriters, its written opinion,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54" w:lineRule="exact"/>
        <w:rPr>
          <w:rFonts w:ascii="Arial" w:cs="Arial" w:eastAsia="Arial" w:hAnsi="Arial"/>
          <w:sz w:val="16"/>
          <w:szCs w:val="16"/>
          <w:color w:val="auto"/>
        </w:rPr>
      </w:pPr>
    </w:p>
    <w:p>
      <w:pPr>
        <w:jc w:val="both"/>
        <w:ind w:left="-540" w:firstLine="645"/>
        <w:spacing w:after="0" w:line="254" w:lineRule="auto"/>
        <w:tabs>
          <w:tab w:leader="none" w:pos="3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time of execution of this Agreement, the Representatives shall have received from Kost Forer Gabbay &amp; Kasierer, a member of Ernst &amp; Young Global, a letter, in form and substance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92" w:lineRule="exact"/>
        <w:rPr>
          <w:rFonts w:ascii="Arial" w:cs="Arial" w:eastAsia="Arial" w:hAnsi="Arial"/>
          <w:sz w:val="18"/>
          <w:szCs w:val="18"/>
          <w:color w:val="auto"/>
        </w:rPr>
      </w:pPr>
    </w:p>
    <w:p>
      <w:pPr>
        <w:jc w:val="both"/>
        <w:ind w:left="-540" w:firstLine="645"/>
        <w:spacing w:after="0" w:line="253" w:lineRule="auto"/>
        <w:tabs>
          <w:tab w:leader="none" w:pos="3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the letter of Kost Forer Gabbay &amp; Kasierer, a member of Ernst &amp; Young Global referred to in the preceding paragraph and delivered to the Representatives concurrently with the execution of this Agreement (the “</w:t>
      </w:r>
      <w:r>
        <w:rPr>
          <w:rFonts w:ascii="Arial" w:cs="Arial" w:eastAsia="Arial" w:hAnsi="Arial"/>
          <w:sz w:val="18"/>
          <w:szCs w:val="18"/>
          <w:b w:val="1"/>
          <w:bCs w:val="1"/>
          <w:color w:val="auto"/>
        </w:rPr>
        <w:t>initial letter</w:t>
      </w:r>
      <w:r>
        <w:rPr>
          <w:rFonts w:ascii="Arial" w:cs="Arial" w:eastAsia="Arial" w:hAnsi="Arial"/>
          <w:sz w:val="18"/>
          <w:szCs w:val="18"/>
          <w:color w:val="auto"/>
        </w:rPr>
        <w:t>”), the Company shall have furnished to the Representatives a letter (the “</w:t>
      </w:r>
      <w:r>
        <w:rPr>
          <w:rFonts w:ascii="Arial" w:cs="Arial" w:eastAsia="Arial" w:hAnsi="Arial"/>
          <w:sz w:val="18"/>
          <w:szCs w:val="18"/>
          <w:b w:val="1"/>
          <w:bCs w:val="1"/>
          <w:color w:val="auto"/>
        </w:rPr>
        <w:t>bring-down letter</w:t>
      </w:r>
      <w:r>
        <w:rPr>
          <w:rFonts w:ascii="Arial" w:cs="Arial" w:eastAsia="Arial" w:hAnsi="Arial"/>
          <w:sz w:val="18"/>
          <w:szCs w:val="18"/>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8" w:name="page29"/>
    <w:bookmarkEnd w:id="28"/>
    <w:p>
      <w:pPr>
        <w:ind w:left="-540" w:right="20" w:firstLine="645"/>
        <w:spacing w:after="0" w:line="308" w:lineRule="auto"/>
        <w:tabs>
          <w:tab w:leader="none" w:pos="32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Representatives a certificate, dated such Delivery Date, of its Chief Executive Officer and its Chief Financial Officer as to such matters as the Representatives may reasonably request, including, without limitation, a statement:</w:t>
      </w:r>
    </w:p>
    <w:p>
      <w:pPr>
        <w:spacing w:after="0" w:line="146" w:lineRule="exact"/>
        <w:rPr>
          <w:rFonts w:ascii="Arial" w:cs="Arial" w:eastAsia="Arial" w:hAnsi="Arial"/>
          <w:sz w:val="17"/>
          <w:szCs w:val="17"/>
          <w:color w:val="auto"/>
        </w:rPr>
      </w:pPr>
    </w:p>
    <w:p>
      <w:pPr>
        <w:jc w:val="both"/>
        <w:ind w:left="100" w:firstLine="653"/>
        <w:spacing w:after="0" w:line="264" w:lineRule="auto"/>
        <w:tabs>
          <w:tab w:leader="none" w:pos="99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81" w:lineRule="exact"/>
        <w:rPr>
          <w:rFonts w:ascii="Arial" w:cs="Arial" w:eastAsia="Arial" w:hAnsi="Arial"/>
          <w:sz w:val="18"/>
          <w:szCs w:val="18"/>
          <w:color w:val="auto"/>
        </w:rPr>
      </w:pPr>
    </w:p>
    <w:p>
      <w:pPr>
        <w:jc w:val="both"/>
        <w:ind w:left="100" w:firstLine="653"/>
        <w:spacing w:after="0" w:line="286" w:lineRule="auto"/>
        <w:tabs>
          <w:tab w:leader="none" w:pos="1053"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w:t>
      </w:r>
    </w:p>
    <w:p>
      <w:pPr>
        <w:spacing w:after="0" w:line="165" w:lineRule="exact"/>
        <w:rPr>
          <w:rFonts w:ascii="Arial" w:cs="Arial" w:eastAsia="Arial" w:hAnsi="Arial"/>
          <w:sz w:val="17"/>
          <w:szCs w:val="17"/>
          <w:color w:val="auto"/>
        </w:rPr>
      </w:pPr>
    </w:p>
    <w:p>
      <w:pPr>
        <w:ind w:left="1060" w:hanging="307"/>
        <w:spacing w:after="0"/>
        <w:tabs>
          <w:tab w:leader="none" w:pos="10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That they have examined the Registration Statement, the Prospectus and the Pricing Disclosure Package, and, in their opinion,</w:t>
      </w:r>
    </w:p>
    <w:p>
      <w:pPr>
        <w:spacing w:after="0" w:line="46" w:lineRule="exact"/>
        <w:rPr>
          <w:rFonts w:ascii="Arial" w:cs="Arial" w:eastAsia="Arial" w:hAnsi="Arial"/>
          <w:sz w:val="16"/>
          <w:szCs w:val="16"/>
          <w:color w:val="auto"/>
        </w:rPr>
      </w:pPr>
    </w:p>
    <w:p>
      <w:pPr>
        <w:jc w:val="both"/>
        <w:ind w:left="100"/>
        <w:spacing w:after="0" w:line="270" w:lineRule="auto"/>
        <w:rPr>
          <w:rFonts w:ascii="Arial" w:cs="Arial" w:eastAsia="Arial" w:hAnsi="Arial"/>
          <w:sz w:val="16"/>
          <w:szCs w:val="16"/>
          <w:color w:val="auto"/>
        </w:rPr>
      </w:pPr>
      <w:r>
        <w:rPr>
          <w:rFonts w:ascii="Arial" w:cs="Arial" w:eastAsia="Arial" w:hAnsi="Arial"/>
          <w:sz w:val="17"/>
          <w:szCs w:val="17"/>
          <w:color w:val="auto"/>
        </w:rPr>
        <w:t>(A)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78" w:lineRule="exact"/>
        <w:rPr>
          <w:rFonts w:ascii="Arial" w:cs="Arial" w:eastAsia="Arial" w:hAnsi="Arial"/>
          <w:sz w:val="16"/>
          <w:szCs w:val="16"/>
          <w:color w:val="auto"/>
        </w:rPr>
      </w:pPr>
    </w:p>
    <w:p>
      <w:pPr>
        <w:ind w:left="1080" w:hanging="327"/>
        <w:spacing w:after="0"/>
        <w:tabs>
          <w:tab w:leader="none" w:pos="10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 the effect of Section 7(l) (provided that no representation with respect to the judgment of the Representatives need be</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made).</w:t>
      </w:r>
    </w:p>
    <w:p>
      <w:pPr>
        <w:spacing w:after="0" w:line="210" w:lineRule="exact"/>
        <w:rPr>
          <w:rFonts w:ascii="Arial" w:cs="Arial" w:eastAsia="Arial" w:hAnsi="Arial"/>
          <w:sz w:val="17"/>
          <w:szCs w:val="17"/>
          <w:color w:val="auto"/>
        </w:rPr>
      </w:pPr>
    </w:p>
    <w:p>
      <w:pPr>
        <w:jc w:val="both"/>
        <w:ind w:left="-540" w:firstLine="645"/>
        <w:spacing w:after="0" w:line="270" w:lineRule="auto"/>
        <w:tabs>
          <w:tab w:leader="none" w:pos="3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shall have sustained, since the date of the latest audited financial statements included or incorporated by reference in the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Shares being delivered on such Delivery Date on the terms and in the manner contemplated in the Prospectus.</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 w:name="page30"/>
    <w:bookmarkEnd w:id="29"/>
    <w:p>
      <w:pPr>
        <w:jc w:val="both"/>
        <w:ind w:left="660" w:firstLine="645"/>
        <w:spacing w:after="0" w:line="286" w:lineRule="auto"/>
        <w:tabs>
          <w:tab w:leader="none" w:pos="15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Representatives, impracticable or inadvisable to proceed with the public offering or delivery of the Shares being delivered on such Delivery Date on the terms and in the manner contemplated in the Prospectus.</w:t>
      </w:r>
    </w:p>
    <w:p>
      <w:pPr>
        <w:spacing w:after="0" w:line="174" w:lineRule="exact"/>
        <w:rPr>
          <w:rFonts w:ascii="Arial" w:cs="Arial" w:eastAsia="Arial" w:hAnsi="Arial"/>
          <w:sz w:val="16"/>
          <w:szCs w:val="16"/>
          <w:color w:val="auto"/>
        </w:rPr>
      </w:pPr>
    </w:p>
    <w:p>
      <w:pPr>
        <w:ind w:left="660" w:firstLine="645"/>
        <w:spacing w:after="0" w:line="277" w:lineRule="auto"/>
        <w:tabs>
          <w:tab w:leader="none" w:pos="1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Nasdaq Global Select Market shall have approved the Shares for listing, subject only to official notice of issuance and evidence of satisfactory distribution.</w:t>
      </w:r>
    </w:p>
    <w:p>
      <w:pPr>
        <w:spacing w:after="0" w:line="170" w:lineRule="exact"/>
        <w:rPr>
          <w:rFonts w:ascii="Arial" w:cs="Arial" w:eastAsia="Arial" w:hAnsi="Arial"/>
          <w:sz w:val="18"/>
          <w:szCs w:val="18"/>
          <w:color w:val="auto"/>
        </w:rPr>
      </w:pPr>
    </w:p>
    <w:p>
      <w:pPr>
        <w:ind w:left="660" w:firstLine="645"/>
        <w:spacing w:after="0" w:line="308" w:lineRule="auto"/>
        <w:tabs>
          <w:tab w:leader="none" w:pos="159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Lock-Up Agreements between the Representatives and the officers, directors and shareholders of the Company set forth on Schedule II, delivered to the Representatives on or before the date of this Agreement, shall be in full force and effect on such Delivery Date.</w:t>
      </w:r>
    </w:p>
    <w:p>
      <w:pPr>
        <w:spacing w:after="0" w:line="146" w:lineRule="exact"/>
        <w:rPr>
          <w:rFonts w:ascii="Arial" w:cs="Arial" w:eastAsia="Arial" w:hAnsi="Arial"/>
          <w:sz w:val="17"/>
          <w:szCs w:val="17"/>
          <w:color w:val="auto"/>
        </w:rPr>
      </w:pPr>
    </w:p>
    <w:p>
      <w:pPr>
        <w:ind w:left="660" w:firstLine="645"/>
        <w:spacing w:after="0" w:line="277" w:lineRule="auto"/>
        <w:tabs>
          <w:tab w:leader="none" w:pos="15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prior to each Delivery Date, the Company shall have furnished to the Underwriters such further certificates and documents as the Representatives may reasonably request.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184" w:hanging="184"/>
        <w:spacing w:after="0"/>
        <w:tabs>
          <w:tab w:leader="none" w:pos="18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906"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hereby agrees to indemnify and hold harmless each Underwriter, its affiliates, directors, officers, employees and agents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6"/>
          <w:szCs w:val="16"/>
          <w:b w:val="1"/>
          <w:bCs w:val="1"/>
          <w:color w:val="auto"/>
        </w:rPr>
        <w:t>Marketing Materials</w:t>
      </w:r>
      <w:r>
        <w:rPr>
          <w:rFonts w:ascii="Arial" w:cs="Arial" w:eastAsia="Arial" w:hAnsi="Arial"/>
          <w:sz w:val="16"/>
          <w:szCs w:val="16"/>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6"/>
          <w:szCs w:val="16"/>
          <w:b w:val="1"/>
          <w:bCs w:val="1"/>
          <w:color w:val="auto"/>
        </w:rPr>
        <w:t>Blue Sky Application</w:t>
      </w:r>
      <w:r>
        <w:rPr>
          <w:rFonts w:ascii="Arial" w:cs="Arial" w:eastAsia="Arial" w:hAnsi="Arial"/>
          <w:sz w:val="16"/>
          <w:szCs w:val="16"/>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8(e). The foregoing indemnity agreement is in addition to any liability which the Company may otherwise have to any Underwriter or to any affiliate, director, officer, agent, employee or controlling person of that Underwriter.</w:t>
      </w:r>
    </w:p>
    <w:p>
      <w:pPr>
        <w:spacing w:after="0" w:line="200" w:lineRule="exact"/>
        <w:rPr>
          <w:sz w:val="20"/>
          <w:szCs w:val="20"/>
          <w:color w:val="auto"/>
        </w:rPr>
      </w:pPr>
    </w:p>
    <w:p>
      <w:pPr>
        <w:spacing w:after="0" w:line="39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1" w:name="page32"/>
    <w:bookmarkEnd w:id="31"/>
    <w:p>
      <w:pPr>
        <w:jc w:val="both"/>
        <w:ind w:left="-540" w:firstLine="645"/>
        <w:spacing w:after="0" w:line="268" w:lineRule="auto"/>
        <w:tabs>
          <w:tab w:leader="none" w:pos="388"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Underwriter, severally and not jointly, shall indemnify and hold harmless the Company, its directors, officers, employees and agents,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8(e). The foregoing indemnity agreement is in addition to any liability that any Underwriter may otherwise have to the Company or any such director, officer, employee or controlling person.</w:t>
      </w:r>
    </w:p>
    <w:p>
      <w:pPr>
        <w:spacing w:after="0" w:line="185" w:lineRule="exact"/>
        <w:rPr>
          <w:rFonts w:ascii="Arial" w:cs="Arial" w:eastAsia="Arial" w:hAnsi="Arial"/>
          <w:sz w:val="17"/>
          <w:szCs w:val="17"/>
          <w:color w:val="auto"/>
        </w:rPr>
      </w:pPr>
    </w:p>
    <w:p>
      <w:pPr>
        <w:jc w:val="both"/>
        <w:ind w:left="-540" w:firstLine="645"/>
        <w:spacing w:after="0" w:line="283" w:lineRule="auto"/>
        <w:tabs>
          <w:tab w:leader="none" w:pos="374"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8 except to the extent it has been materially prejudiced (through the forfeiture of substantive rights and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8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8(a)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2" w:name="page33"/>
    <w:bookmarkEnd w:id="32"/>
    <w:p>
      <w:pPr>
        <w:jc w:val="both"/>
        <w:ind w:left="-540" w:firstLine="645"/>
        <w:spacing w:after="0" w:line="284" w:lineRule="auto"/>
        <w:tabs>
          <w:tab w:leader="none" w:pos="4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shall for any reason be unavailable to or insufficient to hold harmless an indemnified party under Section 8(a) or 8(b)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8(d) are several in proportion to their respective underwriting obligations and not joint.</w:t>
      </w:r>
    </w:p>
    <w:p>
      <w:pPr>
        <w:spacing w:after="0" w:line="391" w:lineRule="exact"/>
        <w:rPr>
          <w:rFonts w:ascii="Arial" w:cs="Arial" w:eastAsia="Arial" w:hAnsi="Arial"/>
          <w:sz w:val="16"/>
          <w:szCs w:val="16"/>
          <w:color w:val="auto"/>
        </w:rPr>
      </w:pPr>
    </w:p>
    <w:p>
      <w:pPr>
        <w:jc w:val="both"/>
        <w:ind w:left="-540" w:firstLine="645"/>
        <w:spacing w:after="0" w:line="255" w:lineRule="auto"/>
        <w:tabs>
          <w:tab w:leader="none" w:pos="3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Underwriters severally confirm and the Company acknowledges and agrees that the statements regarding delivery of the Shares by the Underwriters set forth on the cover page of, and the concession and reallowance figures and the paragraph relating to stabilization, short positions and penalty bids by the Underwriters appearing under the caption “Underwriting” in the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3" w:name="page34"/>
    <w:bookmarkEnd w:id="33"/>
    <w:p>
      <w:pPr>
        <w:ind w:left="184" w:hanging="184"/>
        <w:spacing w:after="0"/>
        <w:tabs>
          <w:tab w:leader="none" w:pos="18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Defaulting Underwriters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6" w:lineRule="auto"/>
        <w:tabs>
          <w:tab w:leader="none" w:pos="915"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on any Delivery Date, any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9, purchases Shares that a defaulting Underwriter agreed but failed to purchase.</w:t>
      </w:r>
    </w:p>
    <w:p>
      <w:pPr>
        <w:spacing w:after="0" w:line="174" w:lineRule="exact"/>
        <w:rPr>
          <w:rFonts w:ascii="Arial" w:cs="Arial" w:eastAsia="Arial" w:hAnsi="Arial"/>
          <w:sz w:val="16"/>
          <w:szCs w:val="16"/>
          <w:color w:val="auto"/>
        </w:rPr>
      </w:pPr>
    </w:p>
    <w:p>
      <w:pPr>
        <w:jc w:val="both"/>
        <w:ind w:left="4" w:firstLine="645"/>
        <w:spacing w:after="0" w:line="272" w:lineRule="auto"/>
        <w:tabs>
          <w:tab w:leader="none" w:pos="9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pro rata share (based on the total number of Shares that such Underwriter agreed to purchase hereunder) of the Shares of such defaulting Underwriter or Underwriters for which such arrangements have not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non-defaulting Underwriters shall not be obligated to purchase more than 110% of the total number of Shares that it agreed to purchase on such Delivery Date pursuant to the terms of Section 2.</w:t>
      </w:r>
    </w:p>
    <w:p>
      <w:pPr>
        <w:spacing w:after="0" w:line="177" w:lineRule="exact"/>
        <w:rPr>
          <w:rFonts w:ascii="Arial" w:cs="Arial" w:eastAsia="Arial" w:hAnsi="Arial"/>
          <w:sz w:val="17"/>
          <w:szCs w:val="17"/>
          <w:color w:val="auto"/>
        </w:rPr>
      </w:pPr>
    </w:p>
    <w:p>
      <w:pPr>
        <w:jc w:val="both"/>
        <w:ind w:left="4" w:firstLine="645"/>
        <w:spacing w:after="0" w:line="273" w:lineRule="auto"/>
        <w:tabs>
          <w:tab w:leader="none" w:pos="925"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9 shall be without liability on the part of the Company, except that the Company will continue to be liable for the payment of expenses as set forth in Sections 6 and 11 and except that the provisions of Section 8 shall not terminate and shall remain in effect.</w:t>
      </w:r>
    </w:p>
    <w:p>
      <w:pPr>
        <w:spacing w:after="0" w:line="178" w:lineRule="exact"/>
        <w:rPr>
          <w:rFonts w:ascii="Arial" w:cs="Arial" w:eastAsia="Arial" w:hAnsi="Arial"/>
          <w:sz w:val="17"/>
          <w:szCs w:val="17"/>
          <w:color w:val="auto"/>
        </w:rPr>
      </w:pPr>
    </w:p>
    <w:p>
      <w:pPr>
        <w:ind w:left="4" w:right="20" w:firstLine="645"/>
        <w:spacing w:after="0" w:line="277" w:lineRule="auto"/>
        <w:tabs>
          <w:tab w:leader="none" w:pos="931"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37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4" w:name="page35"/>
    <w:bookmarkEnd w:id="34"/>
    <w:p>
      <w:pPr>
        <w:jc w:val="both"/>
        <w:ind w:firstLine="656"/>
        <w:spacing w:after="0" w:line="264" w:lineRule="auto"/>
        <w:tabs>
          <w:tab w:leader="none" w:pos="932"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obligations of the Underwriters hereunder may be terminated by the Representatives by notice given to and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prior to delivery of and payment for the Firm Shares if, prior to that time, any of the events described in Sections 7(k) and 7(l) shall have occurred or if the Underwriters shall decline to purchase the Shares for any reason permitted under this Agreement.</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Reimbursement of Underwriters’ Expenses</w:t>
      </w:r>
      <w:r>
        <w:rPr>
          <w:rFonts w:ascii="Arial" w:cs="Arial" w:eastAsia="Arial" w:hAnsi="Arial"/>
          <w:sz w:val="16"/>
          <w:szCs w:val="16"/>
          <w:color w:val="auto"/>
        </w:rPr>
        <w:t>. If (a) the Company shall fail to tender the Shares for delivery to the Underwriters for any reason, or</w:t>
      </w:r>
    </w:p>
    <w:p>
      <w:pPr>
        <w:spacing w:after="0" w:line="46" w:lineRule="exact"/>
        <w:rPr>
          <w:rFonts w:ascii="Arial" w:cs="Arial" w:eastAsia="Arial" w:hAnsi="Arial"/>
          <w:sz w:val="16"/>
          <w:szCs w:val="16"/>
          <w:color w:val="auto"/>
        </w:rPr>
      </w:pPr>
    </w:p>
    <w:p>
      <w:pPr>
        <w:jc w:val="both"/>
        <w:ind w:firstLine="8"/>
        <w:spacing w:after="0" w:line="253" w:lineRule="auto"/>
        <w:tabs>
          <w:tab w:leader="none" w:pos="2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Underwriters shall decline to purchase the Shares for any reason permitted under this Agreement,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Representatives. If this Agreement is terminated pursuant to Section 9 by reason of the default of one or more Underwriters, the Company shall not be obligated to reimburse any defaulting Underwriter on account of those expenses.</w:t>
      </w:r>
    </w:p>
    <w:p>
      <w:pPr>
        <w:spacing w:after="0" w:line="191" w:lineRule="exact"/>
        <w:rPr>
          <w:rFonts w:ascii="Arial" w:cs="Arial" w:eastAsia="Arial" w:hAnsi="Arial"/>
          <w:sz w:val="18"/>
          <w:szCs w:val="18"/>
          <w:color w:val="auto"/>
        </w:rPr>
      </w:pPr>
    </w:p>
    <w:p>
      <w:pPr>
        <w:jc w:val="both"/>
        <w:ind w:firstLine="656"/>
        <w:spacing w:after="0" w:line="253" w:lineRule="auto"/>
        <w:tabs>
          <w:tab w:leader="none" w:pos="918"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Research Analyst Independence</w:t>
      </w:r>
      <w:r>
        <w:rPr>
          <w:rFonts w:ascii="Arial" w:cs="Arial" w:eastAsia="Arial" w:hAnsi="Arial"/>
          <w:sz w:val="18"/>
          <w:szCs w:val="18"/>
          <w:color w:val="auto"/>
        </w:rPr>
        <w:t>. The Company acknowledges that the Underwriters’ research analysts and research departments are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jc w:val="both"/>
        <w:ind w:firstLine="656"/>
        <w:spacing w:after="0" w:line="270" w:lineRule="auto"/>
        <w:tabs>
          <w:tab w:leader="none" w:pos="932"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No Fiduciary Duty</w:t>
      </w:r>
      <w:r>
        <w:rPr>
          <w:rFonts w:ascii="Arial" w:cs="Arial" w:eastAsia="Arial" w:hAnsi="Arial"/>
          <w:sz w:val="17"/>
          <w:szCs w:val="17"/>
          <w:color w:val="auto"/>
        </w:rPr>
        <w:t>. The Company acknowledges and agrees that in connection with this offering, sale of the Shares or any other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and any other person, on the one hand, and the Underwriters, on the other, exists; (b) the Underwriters are not acting as advisors, expert or otherwise, to the Company, including, without limitation, with respect to the determination of the public offering price of the Shares, and such relationship between the Company, on the one hand, and the Underwriters, on the other, is entirely and solely commercial, based on arms-length negotiations; (c) any duties and obligations that the Underwriters may have to the Company shall be limited to those duties and obligations specifically stated herein; and (d) 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Notices, etc</w:t>
      </w:r>
      <w:r>
        <w:rPr>
          <w:rFonts w:ascii="Arial" w:cs="Arial" w:eastAsia="Arial" w:hAnsi="Arial"/>
          <w:sz w:val="18"/>
          <w:szCs w:val="18"/>
          <w:color w:val="auto"/>
        </w:rPr>
        <w:t>. All statements, requests, notices and agreements hereunder shall be in writing, and:</w:t>
      </w:r>
    </w:p>
    <w:p>
      <w:pPr>
        <w:spacing w:after="0" w:line="225" w:lineRule="exact"/>
        <w:rPr>
          <w:rFonts w:ascii="Arial" w:cs="Arial" w:eastAsia="Arial" w:hAnsi="Arial"/>
          <w:sz w:val="18"/>
          <w:szCs w:val="18"/>
          <w:color w:val="auto"/>
        </w:rPr>
      </w:pPr>
    </w:p>
    <w:p>
      <w:pPr>
        <w:jc w:val="both"/>
        <w:ind w:left="660" w:firstLine="645"/>
        <w:spacing w:after="0" w:line="288" w:lineRule="auto"/>
        <w:tabs>
          <w:tab w:leader="none" w:pos="15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to the Underwriters, shall be delivered or sent by mail or facsimile transmission to (i) Citigroup Global Markets Inc., 388 Greenwich Street, New York, New York 10013 Attention: General Counsel, (Fax: (646) 291-1469), with a copy, in the case of any notice pursuant to Section 8(c), to the General Counsel, Citigroup Global Markets Inc., 388 Greenwich Street, New York, New York 10013, (ii) Goldman Sachs &amp; Co. LLC,</w:t>
      </w:r>
    </w:p>
    <w:p>
      <w:pPr>
        <w:ind w:left="660" w:right="20" w:hanging="4"/>
        <w:spacing w:after="0" w:line="261" w:lineRule="auto"/>
        <w:tabs>
          <w:tab w:leader="none" w:pos="9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West Street, New York, New York 10282, Attention: Registration Department and (iii) Barclays Capital Inc., 745 Seventh Avenue, New York, New York 10019, Attention: Syndicate Registration (Fax: (646) 834-8133); and</w:t>
      </w:r>
    </w:p>
    <w:p>
      <w:pPr>
        <w:spacing w:after="0" w:line="183" w:lineRule="exact"/>
        <w:rPr>
          <w:rFonts w:ascii="Arial" w:cs="Arial" w:eastAsia="Arial" w:hAnsi="Arial"/>
          <w:sz w:val="18"/>
          <w:szCs w:val="18"/>
          <w:color w:val="auto"/>
        </w:rPr>
      </w:pPr>
    </w:p>
    <w:p>
      <w:pPr>
        <w:ind w:left="660" w:right="20" w:firstLine="645"/>
        <w:spacing w:after="0" w:line="277" w:lineRule="auto"/>
        <w:tabs>
          <w:tab w:leader="none" w:pos="1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Guy Avidan (Fax: (+972) 3-908-0280).</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Any such statements, requests, notices or agreements shall take effect at the time of receipt thereof. The Company shall be entitled to act and rely upon any request, consent, notice or agreement given or made on behalf of the Underwriters by Citigroup Global Markets Inc. on behalf of the Representatives.</w:t>
      </w:r>
    </w:p>
    <w:p>
      <w:pPr>
        <w:spacing w:after="0" w:line="124" w:lineRule="exact"/>
        <w:rPr>
          <w:sz w:val="20"/>
          <w:szCs w:val="20"/>
          <w:color w:val="auto"/>
        </w:rPr>
      </w:pPr>
    </w:p>
    <w:p>
      <w:pPr>
        <w:jc w:val="both"/>
        <w:ind w:firstLine="656"/>
        <w:spacing w:after="0" w:line="290" w:lineRule="auto"/>
        <w:tabs>
          <w:tab w:leader="none" w:pos="91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Underwriters,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8(b)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66" w:lineRule="exact"/>
        <w:rPr>
          <w:rFonts w:ascii="Arial" w:cs="Arial" w:eastAsia="Arial" w:hAnsi="Arial"/>
          <w:sz w:val="16"/>
          <w:szCs w:val="16"/>
          <w:color w:val="auto"/>
        </w:rPr>
      </w:pPr>
    </w:p>
    <w:p>
      <w:pPr>
        <w:jc w:val="both"/>
        <w:ind w:firstLine="656"/>
        <w:spacing w:after="0" w:line="286" w:lineRule="auto"/>
        <w:tabs>
          <w:tab w:leader="none" w:pos="945"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Survival</w:t>
      </w:r>
      <w:r>
        <w:rPr>
          <w:rFonts w:ascii="Arial" w:cs="Arial" w:eastAsia="Arial" w:hAnsi="Arial"/>
          <w:sz w:val="17"/>
          <w:szCs w:val="17"/>
          <w:color w:val="auto"/>
        </w:rPr>
        <w:t>. The respective indemnities, representations, warranties and agreements of the Company and the Underwriters contained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557"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left="660" w:firstLine="645"/>
        <w:spacing w:after="0" w:line="259" w:lineRule="auto"/>
        <w:tabs>
          <w:tab w:leader="none" w:pos="15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2" w:lineRule="exact"/>
        <w:rPr>
          <w:rFonts w:ascii="Arial" w:cs="Arial" w:eastAsia="Arial" w:hAnsi="Arial"/>
          <w:sz w:val="18"/>
          <w:szCs w:val="18"/>
          <w:color w:val="auto"/>
        </w:rPr>
      </w:pPr>
    </w:p>
    <w:p>
      <w:pPr>
        <w:jc w:val="both"/>
        <w:ind w:left="660" w:firstLine="645"/>
        <w:spacing w:after="0" w:line="289" w:lineRule="auto"/>
        <w:tabs>
          <w:tab w:leader="none" w:pos="1563" w:val="left"/>
        </w:tabs>
        <w:numPr>
          <w:ilvl w:val="1"/>
          <w:numId w:val="41"/>
        </w:numPr>
        <w:rPr>
          <w:rFonts w:ascii="Arial" w:cs="Arial" w:eastAsia="Arial" w:hAnsi="Arial"/>
          <w:sz w:val="16"/>
          <w:szCs w:val="16"/>
          <w:color w:val="auto"/>
        </w:rPr>
      </w:pPr>
      <w:r>
        <w:rPr>
          <w:rFonts w:ascii="Arial" w:cs="Arial" w:eastAsia="Arial" w:hAnsi="Arial"/>
          <w:sz w:val="16"/>
          <w:szCs w:val="16"/>
          <w:color w:val="auto"/>
        </w:rPr>
        <w:t>For purposes of this Section 17, a “</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w:t>
      </w:r>
    </w:p>
    <w:p>
      <w:pPr>
        <w:spacing w:after="0" w:line="1" w:lineRule="exact"/>
        <w:rPr>
          <w:rFonts w:ascii="Arial" w:cs="Arial" w:eastAsia="Arial" w:hAnsi="Arial"/>
          <w:sz w:val="16"/>
          <w:szCs w:val="16"/>
          <w:color w:val="auto"/>
        </w:rPr>
      </w:pPr>
    </w:p>
    <w:p>
      <w:pPr>
        <w:jc w:val="both"/>
        <w:ind w:left="660" w:hanging="4"/>
        <w:spacing w:after="0" w:line="273" w:lineRule="auto"/>
        <w:tabs>
          <w:tab w:leader="none" w:pos="8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w:t>
      </w:r>
      <w:r>
        <w:rPr>
          <w:rFonts w:ascii="Arial" w:cs="Arial" w:eastAsia="Arial" w:hAnsi="Arial"/>
          <w:sz w:val="17"/>
          <w:szCs w:val="17"/>
          <w:color w:val="auto"/>
        </w:rPr>
        <w:t xml:space="preserve"> </w:t>
      </w:r>
      <w:r>
        <w:rPr>
          <w:rFonts w:ascii="Arial" w:cs="Arial" w:eastAsia="Arial" w:hAnsi="Arial"/>
          <w:sz w:val="17"/>
          <w:szCs w:val="17"/>
          <w:b w:val="1"/>
          <w:bCs w:val="1"/>
          <w:color w:val="auto"/>
        </w:rPr>
        <w:t>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3" w:lineRule="exact"/>
        <w:rPr>
          <w:sz w:val="20"/>
          <w:szCs w:val="20"/>
          <w:color w:val="auto"/>
        </w:rPr>
      </w:pPr>
    </w:p>
    <w:p>
      <w:pPr>
        <w:jc w:val="both"/>
        <w:ind w:firstLine="656"/>
        <w:spacing w:after="0" w:line="289" w:lineRule="auto"/>
        <w:tabs>
          <w:tab w:leader="none" w:pos="918"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Definition of the Terms “Business Day”, “Affiliate” and “Subsidiary”</w:t>
      </w:r>
      <w:r>
        <w:rPr>
          <w:rFonts w:ascii="Arial" w:cs="Arial" w:eastAsia="Arial" w:hAnsi="Arial"/>
          <w:sz w:val="17"/>
          <w:szCs w:val="17"/>
          <w:color w:val="auto"/>
        </w:rPr>
        <w:t>. For purposes of this Agreement, (a) “</w:t>
      </w:r>
      <w:r>
        <w:rPr>
          <w:rFonts w:ascii="Arial" w:cs="Arial" w:eastAsia="Arial" w:hAnsi="Arial"/>
          <w:sz w:val="17"/>
          <w:szCs w:val="17"/>
          <w:b w:val="1"/>
          <w:bCs w:val="1"/>
          <w:color w:val="auto"/>
        </w:rPr>
        <w:t>business day</w:t>
      </w:r>
      <w:r>
        <w:rPr>
          <w:rFonts w:ascii="Arial" w:cs="Arial" w:eastAsia="Arial" w:hAnsi="Arial"/>
          <w:sz w:val="17"/>
          <w:szCs w:val="17"/>
          <w:color w:val="auto"/>
        </w:rPr>
        <w:t>” means each Monday,</w:t>
      </w:r>
      <w:r>
        <w:rPr>
          <w:rFonts w:ascii="Arial" w:cs="Arial" w:eastAsia="Arial" w:hAnsi="Arial"/>
          <w:sz w:val="17"/>
          <w:szCs w:val="17"/>
          <w:i w:val="1"/>
          <w:iCs w:val="1"/>
          <w:color w:val="auto"/>
        </w:rPr>
        <w:t xml:space="preserve"> </w:t>
      </w:r>
      <w:r>
        <w:rPr>
          <w:rFonts w:ascii="Arial" w:cs="Arial" w:eastAsia="Arial" w:hAnsi="Arial"/>
          <w:sz w:val="17"/>
          <w:szCs w:val="17"/>
          <w:color w:val="auto"/>
        </w:rPr>
        <w:t>Tuesday, Wednesday, Thursday or Friday that is not a day on which banking institutions in New York are generally authorized or obligated by law or executive order to close, and (b) “</w:t>
      </w:r>
      <w:r>
        <w:rPr>
          <w:rFonts w:ascii="Arial" w:cs="Arial" w:eastAsia="Arial" w:hAnsi="Arial"/>
          <w:sz w:val="17"/>
          <w:szCs w:val="17"/>
          <w:b w:val="1"/>
          <w:bCs w:val="1"/>
          <w:color w:val="auto"/>
        </w:rPr>
        <w:t>affiliate</w:t>
      </w:r>
      <w:r>
        <w:rPr>
          <w:rFonts w:ascii="Arial" w:cs="Arial" w:eastAsia="Arial" w:hAnsi="Arial"/>
          <w:sz w:val="17"/>
          <w:szCs w:val="17"/>
          <w:color w:val="auto"/>
        </w:rPr>
        <w:t>” and “</w:t>
      </w:r>
      <w:r>
        <w:rPr>
          <w:rFonts w:ascii="Arial" w:cs="Arial" w:eastAsia="Arial" w:hAnsi="Arial"/>
          <w:sz w:val="17"/>
          <w:szCs w:val="17"/>
          <w:b w:val="1"/>
          <w:bCs w:val="1"/>
          <w:color w:val="auto"/>
        </w:rPr>
        <w:t>subsidiary</w:t>
      </w:r>
      <w:r>
        <w:rPr>
          <w:rFonts w:ascii="Arial" w:cs="Arial" w:eastAsia="Arial" w:hAnsi="Arial"/>
          <w:sz w:val="17"/>
          <w:szCs w:val="17"/>
          <w:color w:val="auto"/>
        </w:rPr>
        <w:t>” have the meanings set forth in Rule 405 under the Securities Act.</w:t>
      </w:r>
    </w:p>
    <w:p>
      <w:pPr>
        <w:spacing w:after="0" w:line="158" w:lineRule="exact"/>
        <w:rPr>
          <w:rFonts w:ascii="Arial" w:cs="Arial" w:eastAsia="Arial" w:hAnsi="Arial"/>
          <w:sz w:val="17"/>
          <w:szCs w:val="17"/>
          <w:color w:val="auto"/>
        </w:rPr>
      </w:pPr>
    </w:p>
    <w:p>
      <w:pPr>
        <w:ind w:firstLine="656"/>
        <w:spacing w:after="0" w:line="282" w:lineRule="auto"/>
        <w:tabs>
          <w:tab w:leader="none" w:pos="91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 without regard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to conflict of laws principles (other than Section 5-1401 of the General Obligations Law)</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56"/>
        <w:spacing w:after="0" w:line="270" w:lineRule="auto"/>
        <w:tabs>
          <w:tab w:leader="none" w:pos="918"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Submission to Jurisdiction, Etc</w:t>
      </w:r>
      <w:r>
        <w:rPr>
          <w:rFonts w:ascii="Arial" w:cs="Arial" w:eastAsia="Arial" w:hAnsi="Arial"/>
          <w:sz w:val="17"/>
          <w:szCs w:val="17"/>
          <w:color w:val="auto"/>
        </w:rPr>
        <w:t>. The Company hereby submits to the non-exclusive jurisdiction of the U.S. federal and New York state courts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irrevocably appoints Kornit Digital North America Inc., as its authorized agent in the Borough of Manhattan, The City of New York, New York upon which process may be served in any such suit or proceeding, and agrees that service of process upon such agent, and written notice of said service to the Company by the person serving the same to the address provided in Section 14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seven years from the date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56"/>
        <w:spacing w:after="0" w:line="255" w:lineRule="auto"/>
        <w:tabs>
          <w:tab w:leader="none" w:pos="91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Waiver of Immunity</w:t>
      </w:r>
      <w:r>
        <w:rPr>
          <w:rFonts w:ascii="Arial" w:cs="Arial" w:eastAsia="Arial" w:hAnsi="Arial"/>
          <w:sz w:val="18"/>
          <w:szCs w:val="18"/>
          <w:color w:val="auto"/>
        </w:rPr>
        <w:t>. With respect to any suit or proceeding arising out of or relating to this Agreement or the transactions contemplated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193" w:lineRule="exact"/>
        <w:rPr>
          <w:rFonts w:ascii="Arial" w:cs="Arial" w:eastAsia="Arial" w:hAnsi="Arial"/>
          <w:sz w:val="18"/>
          <w:szCs w:val="18"/>
          <w:color w:val="auto"/>
        </w:rPr>
      </w:pPr>
    </w:p>
    <w:p>
      <w:pPr>
        <w:jc w:val="both"/>
        <w:ind w:firstLine="656"/>
        <w:spacing w:after="0" w:line="290" w:lineRule="auto"/>
        <w:tabs>
          <w:tab w:leader="none" w:pos="918"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Judgment Currency</w:t>
      </w:r>
      <w:r>
        <w:rPr>
          <w:rFonts w:ascii="Arial" w:cs="Arial" w:eastAsia="Arial" w:hAnsi="Arial"/>
          <w:sz w:val="16"/>
          <w:szCs w:val="16"/>
          <w:color w:val="auto"/>
        </w:rPr>
        <w:t>. The obligation of the Company in respect of any sum due to any Underwriter under this Agreement shall, notwithstanding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any judgment in a currency other than U.S. dollars or any other applicable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agrees,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an amount equal to the excess of the U.S. dollars or other applicable currency so purchased over the sum originally due to such Underwriter hereunder.</w:t>
      </w:r>
    </w:p>
    <w:p>
      <w:pPr>
        <w:spacing w:after="0" w:line="166" w:lineRule="exact"/>
        <w:rPr>
          <w:rFonts w:ascii="Arial" w:cs="Arial" w:eastAsia="Arial" w:hAnsi="Arial"/>
          <w:sz w:val="16"/>
          <w:szCs w:val="16"/>
          <w:color w:val="auto"/>
        </w:rPr>
      </w:pPr>
    </w:p>
    <w:p>
      <w:pPr>
        <w:ind w:firstLine="656"/>
        <w:spacing w:after="0" w:line="277" w:lineRule="auto"/>
        <w:tabs>
          <w:tab w:leader="none" w:pos="91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The Company and the Underwriters hereby irrevocably waive, to the fullest extent permitted by applicable law,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656"/>
        <w:spacing w:after="0" w:line="277" w:lineRule="auto"/>
        <w:tabs>
          <w:tab w:leader="none" w:pos="94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and, if executed in more than one counterpart, the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each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right="20" w:firstLine="656"/>
        <w:spacing w:after="0" w:line="277" w:lineRule="auto"/>
        <w:tabs>
          <w:tab w:leader="none" w:pos="93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If the foregoing correctly sets forth the agreement between the Company and the Underwriters, please indicate your acceptance in the space provided for that purpose below.</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5340"/>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OLDMAN</w:t>
      </w:r>
      <w:r>
        <w:rPr>
          <w:rFonts w:ascii="Arial" w:cs="Arial" w:eastAsia="Arial" w:hAnsi="Arial"/>
          <w:sz w:val="18"/>
          <w:szCs w:val="18"/>
          <w:color w:val="auto"/>
        </w:rPr>
        <w:t xml:space="preserve"> S</w:t>
      </w:r>
      <w:r>
        <w:rPr>
          <w:rFonts w:ascii="Arial" w:cs="Arial" w:eastAsia="Arial" w:hAnsi="Arial"/>
          <w:sz w:val="12"/>
          <w:szCs w:val="12"/>
          <w:color w:val="auto"/>
        </w:rPr>
        <w:t>ACHS</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G</w:t>
      </w:r>
      <w:r>
        <w:rPr>
          <w:rFonts w:ascii="Arial" w:cs="Arial" w:eastAsia="Arial" w:hAnsi="Arial"/>
          <w:sz w:val="12"/>
          <w:szCs w:val="12"/>
          <w:color w:val="auto"/>
        </w:rPr>
        <w:t>OLDMAN</w:t>
      </w:r>
      <w:r>
        <w:rPr>
          <w:rFonts w:ascii="Arial" w:cs="Arial" w:eastAsia="Arial" w:hAnsi="Arial"/>
          <w:sz w:val="18"/>
          <w:szCs w:val="18"/>
          <w:color w:val="auto"/>
        </w:rPr>
        <w:t xml:space="preserve"> S</w:t>
      </w:r>
      <w:r>
        <w:rPr>
          <w:rFonts w:ascii="Arial" w:cs="Arial" w:eastAsia="Arial" w:hAnsi="Arial"/>
          <w:sz w:val="12"/>
          <w:szCs w:val="12"/>
          <w:color w:val="auto"/>
        </w:rPr>
        <w:t>ACHS</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320" w:type="dxa"/>
            <w:vAlign w:val="bottom"/>
            <w:gridSpan w:val="4"/>
          </w:tcPr>
          <w:p>
            <w:pPr>
              <w:ind w:left="106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Firm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5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7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1,171,800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7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Needham &amp; Company, LLC</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238,700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7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238,700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Craig-Hallum Capital Group LLC</w:t>
            </w:r>
          </w:p>
        </w:tc>
        <w:tc>
          <w:tcPr>
            <w:tcW w:w="5740" w:type="dxa"/>
            <w:vAlign w:val="bottom"/>
            <w:tcBorders>
              <w:bottom w:val="single" w:sz="8" w:color="CCEEFF"/>
            </w:tcBorders>
            <w:gridSpan w:val="2"/>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4,340,000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ind w:right="-1200"/>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Yuval Cohen, Gabi Seligsohn, Ofer Ben-Zur, Eli Blatt, Lauri Hanover, Marc Lesnick, Alon Lumbroso, Yehoshua Nir, Dov Ofer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Ronen Samuel, Guy Avidan, Gilad Yron</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2" w:name="page43"/>
    <w:bookmarkEnd w:id="42"/>
    <w:p>
      <w:pPr>
        <w:jc w:val="center"/>
        <w:ind w:right="-1220"/>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jc w:val="right"/>
        <w:ind w:right="2979"/>
        <w:spacing w:after="0"/>
        <w:rPr>
          <w:sz w:val="20"/>
          <w:szCs w:val="20"/>
          <w:color w:val="auto"/>
        </w:rPr>
      </w:pPr>
      <w:r>
        <w:rPr>
          <w:rFonts w:ascii="Arial" w:cs="Arial" w:eastAsia="Arial" w:hAnsi="Arial"/>
          <w:sz w:val="18"/>
          <w:szCs w:val="18"/>
          <w:color w:val="auto"/>
        </w:rPr>
        <w:t>CONVEYED PRICING INFORMATION</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 offering price: $27.50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Number of Firm Shares: 4,340,000</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3" w:name="page44"/>
    <w:bookmarkEnd w:id="43"/>
    <w:p>
      <w:pPr>
        <w:jc w:val="center"/>
        <w:ind w:right="-1200"/>
        <w:spacing w:after="0"/>
        <w:rPr>
          <w:sz w:val="20"/>
          <w:szCs w:val="20"/>
          <w:color w:val="auto"/>
        </w:rPr>
      </w:pPr>
      <w:r>
        <w:rPr>
          <w:rFonts w:ascii="Arial" w:cs="Arial" w:eastAsia="Arial" w:hAnsi="Arial"/>
          <w:sz w:val="18"/>
          <w:szCs w:val="18"/>
          <w:b w:val="1"/>
          <w:bCs w:val="1"/>
          <w:color w:val="auto"/>
        </w:rPr>
        <w:t>SCHEDULE IV</w:t>
      </w:r>
    </w:p>
    <w:p>
      <w:pPr>
        <w:spacing w:after="0" w:line="229" w:lineRule="exact"/>
        <w:rPr>
          <w:sz w:val="20"/>
          <w:szCs w:val="20"/>
          <w:color w:val="auto"/>
        </w:rPr>
      </w:pPr>
    </w:p>
    <w:p>
      <w:pPr>
        <w:jc w:val="right"/>
        <w:ind w:right="1699"/>
        <w:spacing w:after="0"/>
        <w:rPr>
          <w:sz w:val="20"/>
          <w:szCs w:val="20"/>
          <w:color w:val="auto"/>
        </w:rPr>
      </w:pPr>
      <w:r>
        <w:rPr>
          <w:rFonts w:ascii="Arial" w:cs="Arial" w:eastAsia="Arial" w:hAnsi="Arial"/>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4" w:name="page45"/>
    <w:bookmarkEnd w:id="44"/>
    <w:p>
      <w:pPr>
        <w:jc w:val="center"/>
        <w:ind w:right="-1200"/>
        <w:spacing w:after="0"/>
        <w:rPr>
          <w:sz w:val="20"/>
          <w:szCs w:val="20"/>
          <w:color w:val="auto"/>
        </w:rPr>
      </w:pPr>
      <w:r>
        <w:rPr>
          <w:rFonts w:ascii="Arial" w:cs="Arial" w:eastAsia="Arial" w:hAnsi="Arial"/>
          <w:sz w:val="18"/>
          <w:szCs w:val="18"/>
          <w:b w:val="1"/>
          <w:bCs w:val="1"/>
          <w:color w:val="auto"/>
        </w:rPr>
        <w:t>SCHEDULE V</w:t>
      </w:r>
    </w:p>
    <w:p>
      <w:pPr>
        <w:spacing w:after="0" w:line="229" w:lineRule="exact"/>
        <w:rPr>
          <w:sz w:val="20"/>
          <w:szCs w:val="20"/>
          <w:color w:val="auto"/>
        </w:rPr>
      </w:pPr>
    </w:p>
    <w:p>
      <w:pPr>
        <w:jc w:val="right"/>
        <w:ind w:right="2959"/>
        <w:spacing w:after="0"/>
        <w:rPr>
          <w:sz w:val="20"/>
          <w:szCs w:val="20"/>
          <w:color w:val="auto"/>
        </w:rPr>
      </w:pPr>
      <w:r>
        <w:rPr>
          <w:rFonts w:ascii="Arial" w:cs="Arial" w:eastAsia="Arial" w:hAnsi="Arial"/>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Underwriters named in Schedule I of the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undersigned understands that you and certain other firms (the “</w:t>
      </w:r>
      <w:r>
        <w:rPr>
          <w:rFonts w:ascii="Arial" w:cs="Arial" w:eastAsia="Arial" w:hAnsi="Arial"/>
          <w:sz w:val="18"/>
          <w:szCs w:val="18"/>
          <w:b w:val="1"/>
          <w:bCs w:val="1"/>
          <w:color w:val="auto"/>
        </w:rPr>
        <w:t>Underwriters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providing for the purchase by the Underwriters of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par value NIS 0.01 per share (the “</w:t>
      </w:r>
      <w:r>
        <w:rPr>
          <w:rFonts w:ascii="Arial" w:cs="Arial" w:eastAsia="Arial" w:hAnsi="Arial"/>
          <w:sz w:val="18"/>
          <w:szCs w:val="18"/>
          <w:b w:val="1"/>
          <w:b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of Kornit Digital Ltd., a company incorporated under the laws of the Stale of Israel (the “</w:t>
      </w:r>
      <w:r>
        <w:rPr>
          <w:rFonts w:ascii="Arial" w:cs="Arial" w:eastAsia="Arial" w:hAnsi="Arial"/>
          <w:sz w:val="18"/>
          <w:szCs w:val="18"/>
          <w:b w:val="1"/>
          <w:bCs w:val="1"/>
          <w:color w:val="auto"/>
        </w:rPr>
        <w:t>Company</w:t>
      </w:r>
      <w:r>
        <w:rPr>
          <w:rFonts w:ascii="Arial" w:cs="Arial" w:eastAsia="Arial" w:hAnsi="Arial"/>
          <w:sz w:val="18"/>
          <w:szCs w:val="18"/>
          <w:color w:val="auto"/>
        </w:rPr>
        <w:t>”), and that the Underwriters propose to reoffer</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Citigroup Global Markets Inc., Goldman Sachs &amp; Co. LLC and Barclays Capital Inc., on behalf of the Underwriters or except as contemplated by the Underwriting Agreement,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w:t>
      </w:r>
      <w:r>
        <w:rPr>
          <w:rFonts w:ascii="Arial" w:cs="Arial" w:eastAsia="Arial" w:hAnsi="Arial"/>
          <w:sz w:val="16"/>
          <w:szCs w:val="16"/>
          <w:b w:val="1"/>
          <w:bCs w:val="1"/>
          <w:color w:val="auto"/>
        </w:rPr>
        <w:t>Lock-Up Securities</w:t>
      </w:r>
      <w:r>
        <w:rPr>
          <w:rFonts w:ascii="Arial" w:cs="Arial" w:eastAsia="Arial" w:hAnsi="Arial"/>
          <w:sz w:val="16"/>
          <w:szCs w:val="16"/>
          <w:color w:val="auto"/>
        </w:rPr>
        <w:t>”), (2) enter into any swap or other derivatives transaction that transfers to another, in whole or in part, any of the economic benefits or risks of ownership of Lock-Up Securities,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Lock-Up Securities, or (4) publicly disclose the intention to do any of the foregoing for a period commencing on the date hereof and ending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date of the Prospectus relating to the Offering (such 90-day period, the “</w:t>
      </w:r>
      <w:r>
        <w:rPr>
          <w:rFonts w:ascii="Arial" w:cs="Arial" w:eastAsia="Arial" w:hAnsi="Arial"/>
          <w:sz w:val="16"/>
          <w:szCs w:val="16"/>
          <w:b w:val="1"/>
          <w:bCs w:val="1"/>
          <w:color w:val="auto"/>
        </w:rPr>
        <w:t>Lock-Up Period</w:t>
      </w:r>
      <w:r>
        <w:rPr>
          <w:rFonts w:ascii="Arial" w:cs="Arial" w:eastAsia="Arial" w:hAnsi="Arial"/>
          <w:sz w:val="16"/>
          <w:szCs w:val="16"/>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 foregoing paragraph shall not apply to:</w:t>
      </w:r>
    </w:p>
    <w:p>
      <w:pPr>
        <w:spacing w:after="0" w:line="225" w:lineRule="exact"/>
        <w:rPr>
          <w:sz w:val="20"/>
          <w:szCs w:val="20"/>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transactions relating to Ordinary Shares or other securities acquired in the open market after the completion of the Offering,</w:t>
      </w:r>
    </w:p>
    <w:p>
      <w:pPr>
        <w:spacing w:after="0" w:line="221" w:lineRule="exact"/>
        <w:rPr>
          <w:rFonts w:ascii="Arial" w:cs="Arial" w:eastAsia="Arial" w:hAnsi="Arial"/>
          <w:sz w:val="18"/>
          <w:szCs w:val="18"/>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bona fide gifts (of “</w:t>
      </w:r>
      <w:r>
        <w:rPr>
          <w:rFonts w:ascii="Arial" w:cs="Arial" w:eastAsia="Arial" w:hAnsi="Arial"/>
          <w:sz w:val="18"/>
          <w:szCs w:val="18"/>
          <w:b w:val="1"/>
          <w:bCs w:val="1"/>
          <w:color w:val="auto"/>
        </w:rPr>
        <w:t>Lock-Up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20" w:firstLine="656"/>
        <w:spacing w:after="0" w:line="259" w:lineRule="auto"/>
        <w:tabs>
          <w:tab w:leader="none" w:pos="9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undersigned, or to any investment fund or other entity controlled or managed by, or under the common control or management with, the undersigned,</w:t>
      </w:r>
    </w:p>
    <w:p>
      <w:pPr>
        <w:spacing w:after="0" w:line="186" w:lineRule="exact"/>
        <w:rPr>
          <w:rFonts w:ascii="Arial" w:cs="Arial" w:eastAsia="Arial" w:hAnsi="Arial"/>
          <w:sz w:val="18"/>
          <w:szCs w:val="18"/>
          <w:color w:val="auto"/>
        </w:rPr>
      </w:pPr>
    </w:p>
    <w:p>
      <w:pPr>
        <w:ind w:firstLine="656"/>
        <w:spacing w:after="0" w:line="277" w:lineRule="auto"/>
        <w:tabs>
          <w:tab w:leader="none" w:pos="9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of Lock-Up Securities to the undersigned’s limited or general partners (if a partnership), members (if a limited liability company), beneficiaries (if a trust) or shareholders (if a corporation),</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of Lock-Up Securities by will or by intestacy,</w:t>
      </w:r>
    </w:p>
    <w:p>
      <w:pPr>
        <w:spacing w:after="0" w:line="225" w:lineRule="exact"/>
        <w:rPr>
          <w:rFonts w:ascii="Arial" w:cs="Arial" w:eastAsia="Arial" w:hAnsi="Arial"/>
          <w:sz w:val="18"/>
          <w:szCs w:val="18"/>
          <w:color w:val="auto"/>
        </w:rPr>
      </w:pPr>
    </w:p>
    <w:p>
      <w:pPr>
        <w:ind w:firstLine="656"/>
        <w:spacing w:after="0" w:line="308" w:lineRule="auto"/>
        <w:tabs>
          <w:tab w:leader="none" w:pos="9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cash exercise of warrants or the exercise of stock options granted pursuant to the Company’s stock option/incentive plans or otherwise outstanding on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restrictions shall apply to Ordinary Shares issued upon such exercise or conversion,</w:t>
      </w:r>
    </w:p>
    <w:p>
      <w:pPr>
        <w:spacing w:after="0" w:line="142" w:lineRule="exact"/>
        <w:rPr>
          <w:rFonts w:ascii="Arial" w:cs="Arial" w:eastAsia="Arial" w:hAnsi="Arial"/>
          <w:sz w:val="17"/>
          <w:szCs w:val="17"/>
          <w:color w:val="auto"/>
        </w:rPr>
      </w:pPr>
    </w:p>
    <w:p>
      <w:pPr>
        <w:jc w:val="both"/>
        <w:ind w:firstLine="656"/>
        <w:spacing w:after="0" w:line="256" w:lineRule="auto"/>
        <w:tabs>
          <w:tab w:leader="none" w:pos="9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establishment of any contract, instruction or plan that satisfies all of the requirements of Rule 10b5-1 (a “</w:t>
      </w:r>
      <w:r>
        <w:rPr>
          <w:rFonts w:ascii="Arial" w:cs="Arial" w:eastAsia="Arial" w:hAnsi="Arial"/>
          <w:sz w:val="18"/>
          <w:szCs w:val="18"/>
          <w:b w:val="1"/>
          <w:bCs w:val="1"/>
          <w:color w:val="auto"/>
        </w:rPr>
        <w:t>Rule 10b5-l Plan</w:t>
      </w:r>
      <w:r>
        <w:rPr>
          <w:rFonts w:ascii="Arial" w:cs="Arial" w:eastAsia="Arial" w:hAnsi="Arial"/>
          <w:sz w:val="18"/>
          <w:szCs w:val="18"/>
          <w:color w:val="auto"/>
        </w:rPr>
        <w:t>”)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sales of Ordinary Shares or securities convertible into, or exchangeable or exercisable for, Ordinary Shares, shall be made pursuant to a Rule 10b5-1 Plan prior to the expiration of the Lock-Up Period (as the same may be extended pursuant to the provisions 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91" w:lineRule="exact"/>
        <w:rPr>
          <w:rFonts w:ascii="Arial" w:cs="Arial" w:eastAsia="Arial" w:hAnsi="Arial"/>
          <w:sz w:val="18"/>
          <w:szCs w:val="18"/>
          <w:color w:val="auto"/>
        </w:rPr>
      </w:pPr>
    </w:p>
    <w:p>
      <w:pPr>
        <w:jc w:val="both"/>
        <w:ind w:firstLine="656"/>
        <w:spacing w:after="0" w:line="279" w:lineRule="auto"/>
        <w:tabs>
          <w:tab w:leader="none" w:pos="919"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sales or transfers of Ordinary Shares under a Rule 10b5-1 Plan that has been entered into by the undersigned prior to the date hereof (an “</w:t>
      </w:r>
      <w:r>
        <w:rPr>
          <w:rFonts w:ascii="Arial" w:cs="Arial" w:eastAsia="Arial" w:hAnsi="Arial"/>
          <w:sz w:val="17"/>
          <w:szCs w:val="17"/>
          <w:b w:val="1"/>
          <w:bCs w:val="1"/>
          <w:color w:val="auto"/>
        </w:rPr>
        <w:t>Existing Rule 10b5-1 Plan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amendment shall be made to any such Existing Rule 10b5-1 Plan during the Lock-Up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any public report or filing is made with the Commission in connection with such sales or transfers under an Existing Rule 10b5-1 Plan, such report or filing indicates that such sales or transfers are being made pursuant to an Existing Rule 10b5-1 Plan,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56"/>
        <w:spacing w:after="0" w:line="259" w:lineRule="auto"/>
        <w:tabs>
          <w:tab w:leader="none" w:pos="8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demands or requests for, exercises of any right with respect to, or any action in preparation of, the registration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undersigned’s Lock-Up Securities, provided that no transfer of the undersigned’s Lock-Up Securities registered pursuant to the exercise of any such right and no registration statement shall be filed under the Securities Act with respect to any of the undersigned’s Lock-Up Securities during the Lock-Up Period,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8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such tender offer, merger, consolidation or other such transaction is not completed, the Lock-Up Securities held by the undersigned shall remain subject to the provisions of this Lock-Up Letter Agreement,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it shall be a condition to any transfer pursuant to clauses (b) through (e) that the transferee or donee agrees to be bound by the terms of this Lock Up Letter Agreement (including, without limitation, the restrictions set forth in the preceding sentence) to the same extent as if the transferee/donee were a party hereto, and (ii) it shall be a condition to any transfer pursuant to clauses (b) through (e) that the undersigned notifies Citigroup Global Markets Inc., Goldman Sachs &amp; Co. LLC and Barclays Capital Inc. at least two business days prior to the proposed transfer or disposition;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the case of clauses (a) through (d) and (f) through (h),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referred to above.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or (iii) the Underwriting Agreement (other than the provisions thereof which survive termination) shall terminate or be terminated prior to payment for and delivery of the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understands that the Company and the Underwriters will proceed with the Offering in reliance on this Lock-Up Letter Agreement.</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648"/>
        <w:spacing w:after="0" w:line="277" w:lineRule="auto"/>
        <w:rPr>
          <w:sz w:val="20"/>
          <w:szCs w:val="20"/>
          <w:color w:val="auto"/>
        </w:rPr>
      </w:pPr>
      <w:r>
        <w:rPr>
          <w:rFonts w:ascii="Arial" w:cs="Arial" w:eastAsia="Arial" w:hAnsi="Arial"/>
          <w:sz w:val="18"/>
          <w:szCs w:val="18"/>
          <w:color w:val="auto"/>
        </w:rPr>
        <w:t>This Lock-Up Letter Agreement and any claim, controversy or dispute arising under or related to this Lock-Up Letter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800850" cy="1389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80085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June 13,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Offering of Ordinary Shares via Prospectus Supplement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638"/>
        <w:spacing w:after="0" w:line="258" w:lineRule="auto"/>
        <w:rPr>
          <w:sz w:val="20"/>
          <w:szCs w:val="20"/>
          <w:color w:val="auto"/>
        </w:rPr>
      </w:pPr>
      <w:r>
        <w:rPr>
          <w:rFonts w:ascii="Arial" w:cs="Arial" w:eastAsia="Arial" w:hAnsi="Arial"/>
          <w:sz w:val="18"/>
          <w:szCs w:val="18"/>
          <w:color w:val="auto"/>
        </w:rPr>
        <w:t>We have acted as Israeli counsel for Kornit Digital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an underwritten public offering by the Company, contemplating (i) the offer, issuance and sale by the Company of an aggregate of 4,340,000 ordinary shares, par value NIS 0.01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the Company (the “</w:t>
      </w:r>
      <w:r>
        <w:rPr>
          <w:rFonts w:ascii="Arial" w:cs="Arial" w:eastAsia="Arial" w:hAnsi="Arial"/>
          <w:sz w:val="18"/>
          <w:szCs w:val="18"/>
          <w:b w:val="1"/>
          <w:bCs w:val="1"/>
          <w:color w:val="auto"/>
        </w:rPr>
        <w:t>Offering Shares</w:t>
      </w:r>
      <w:r>
        <w:rPr>
          <w:rFonts w:ascii="Arial" w:cs="Arial" w:eastAsia="Arial" w:hAnsi="Arial"/>
          <w:sz w:val="18"/>
          <w:szCs w:val="18"/>
          <w:color w:val="auto"/>
        </w:rPr>
        <w:t>”) and (ii) the potential issuance and sale by the Company of up to an additional 651,000 Ordinary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and, collectively with the Offering Shares, the “</w:t>
      </w:r>
      <w:r>
        <w:rPr>
          <w:rFonts w:ascii="Arial" w:cs="Arial" w:eastAsia="Arial" w:hAnsi="Arial"/>
          <w:sz w:val="18"/>
          <w:szCs w:val="18"/>
          <w:b w:val="1"/>
          <w:bCs w:val="1"/>
          <w:color w:val="auto"/>
        </w:rPr>
        <w:t>Shares</w:t>
      </w:r>
      <w:r>
        <w:rPr>
          <w:rFonts w:ascii="Arial" w:cs="Arial" w:eastAsia="Arial" w:hAnsi="Arial"/>
          <w:sz w:val="18"/>
          <w:szCs w:val="18"/>
          <w:color w:val="auto"/>
        </w:rPr>
        <w:t>”), that are subject to an option to purchase additional shares granted by the Company to the underwriters of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4" w:lineRule="exact"/>
        <w:rPr>
          <w:sz w:val="20"/>
          <w:szCs w:val="20"/>
          <w:color w:val="auto"/>
        </w:rPr>
      </w:pPr>
    </w:p>
    <w:p>
      <w:pPr>
        <w:ind w:right="40" w:firstLine="638"/>
        <w:spacing w:after="0" w:line="277" w:lineRule="auto"/>
        <w:rPr>
          <w:sz w:val="20"/>
          <w:szCs w:val="20"/>
          <w:color w:val="auto"/>
        </w:rPr>
      </w:pPr>
      <w:r>
        <w:rPr>
          <w:rFonts w:ascii="Arial" w:cs="Arial" w:eastAsia="Arial" w:hAnsi="Arial"/>
          <w:sz w:val="17"/>
          <w:szCs w:val="17"/>
          <w:color w:val="auto"/>
        </w:rPr>
        <w:t>The Offering is being effected pursuant to the registration statement on Form F-3 (File No. 333-232070)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on June 11, 2019, including the prospectus contained therein, as supplemented by the preliminary prospectus supplement dated June 12, 2019 (the “</w:t>
      </w:r>
      <w:r>
        <w:rPr>
          <w:rFonts w:ascii="Arial" w:cs="Arial" w:eastAsia="Arial" w:hAnsi="Arial"/>
          <w:sz w:val="17"/>
          <w:szCs w:val="17"/>
          <w:b w:val="1"/>
          <w:bCs w:val="1"/>
          <w:color w:val="auto"/>
        </w:rPr>
        <w:t>Preliminary Prospectus</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w:t>
      </w:r>
      <w:r>
        <w:rPr>
          <w:rFonts w:ascii="Arial" w:cs="Arial" w:eastAsia="Arial" w:hAnsi="Arial"/>
          <w:sz w:val="17"/>
          <w:szCs w:val="17"/>
          <w:color w:val="auto"/>
        </w:rPr>
        <w:t>”) and the final prospectus supplement dated June 13, 2019 (the “</w:t>
      </w:r>
      <w:r>
        <w:rPr>
          <w:rFonts w:ascii="Arial" w:cs="Arial" w:eastAsia="Arial" w:hAnsi="Arial"/>
          <w:sz w:val="17"/>
          <w:szCs w:val="17"/>
          <w:b w:val="1"/>
          <w:bCs w:val="1"/>
          <w:color w:val="auto"/>
        </w:rPr>
        <w:t>Final Prospectus Supplement</w:t>
      </w:r>
      <w:r>
        <w:rPr>
          <w:rFonts w:ascii="Arial" w:cs="Arial" w:eastAsia="Arial" w:hAnsi="Arial"/>
          <w:sz w:val="17"/>
          <w:szCs w:val="17"/>
          <w:color w:val="auto"/>
        </w:rPr>
        <w:t>” and, together with the Preliminary Prospectus</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 the “</w:t>
      </w:r>
      <w:r>
        <w:rPr>
          <w:rFonts w:ascii="Arial" w:cs="Arial" w:eastAsia="Arial" w:hAnsi="Arial"/>
          <w:sz w:val="17"/>
          <w:szCs w:val="17"/>
          <w:b w:val="1"/>
          <w:bCs w:val="1"/>
          <w:color w:val="auto"/>
        </w:rPr>
        <w:t>Prospectus Supplements</w:t>
      </w:r>
      <w:r>
        <w:rPr>
          <w:rFonts w:ascii="Arial" w:cs="Arial" w:eastAsia="Arial" w:hAnsi="Arial"/>
          <w:sz w:val="17"/>
          <w:szCs w:val="17"/>
          <w:color w:val="auto"/>
        </w:rPr>
        <w:t>”), in each case as filed by the Company with the SEC.</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opinion letter is rendered pursuant to Items 601(b)(5) and (b)(23) of Regulation S-K promulgated under the Securities Act.</w:t>
      </w:r>
    </w:p>
    <w:p>
      <w:pPr>
        <w:spacing w:after="0" w:line="225" w:lineRule="exact"/>
        <w:rPr>
          <w:sz w:val="20"/>
          <w:szCs w:val="20"/>
          <w:color w:val="auto"/>
        </w:rPr>
      </w:pPr>
    </w:p>
    <w:p>
      <w:pPr>
        <w:ind w:right="160" w:firstLine="638"/>
        <w:spacing w:after="0" w:line="270" w:lineRule="auto"/>
        <w:rPr>
          <w:sz w:val="20"/>
          <w:szCs w:val="20"/>
          <w:color w:val="auto"/>
        </w:rPr>
      </w:pPr>
      <w:r>
        <w:rPr>
          <w:rFonts w:ascii="Arial" w:cs="Arial" w:eastAsia="Arial" w:hAnsi="Arial"/>
          <w:sz w:val="17"/>
          <w:szCs w:val="17"/>
          <w:color w:val="auto"/>
        </w:rPr>
        <w:t xml:space="preserve">In connection herewith, we have examined the originals, or photocopies or copies, certified or otherwise identified to our satisfaction, of: (i) the Registration Statement; (ii) the Prospectus Supplements; (iii) the underwriting agreement, dated as of June 13, 2019, by and among the Company and Citigroup Global Markets Inc., Goldman Sachs &amp; Co. LLC Barclays Capital Inc, as representatives of the underwriters named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thereto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(iv) the articles of association of the Company, as amended and as currently in effect (the “</w:t>
      </w:r>
      <w:r>
        <w:rPr>
          <w:rFonts w:ascii="Arial" w:cs="Arial" w:eastAsia="Arial" w:hAnsi="Arial"/>
          <w:sz w:val="17"/>
          <w:szCs w:val="17"/>
          <w:b w:val="1"/>
          <w:bCs w:val="1"/>
          <w:color w:val="auto"/>
        </w:rPr>
        <w:t>Articles</w:t>
      </w:r>
      <w:r>
        <w:rPr>
          <w:rFonts w:ascii="Arial" w:cs="Arial" w:eastAsia="Arial" w:hAnsi="Arial"/>
          <w:sz w:val="17"/>
          <w:szCs w:val="17"/>
          <w:color w:val="auto"/>
        </w:rPr>
        <w:t>”); (v) resolutions of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and a pricing committee thereof, that relate to the Registration Statement, the Prospectus Supplements and the actions to be taken in connection with the Offering; and (vi)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82" w:lineRule="exact"/>
        <w:rPr>
          <w:sz w:val="20"/>
          <w:szCs w:val="20"/>
          <w:color w:val="auto"/>
        </w:rPr>
      </w:pPr>
    </w:p>
    <w:p>
      <w:pPr>
        <w:ind w:right="180" w:firstLine="638"/>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jc w:val="both"/>
        <w:ind w:firstLine="638"/>
        <w:spacing w:after="0" w:line="264"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upon payment to the Company of the consideration per Share in such amount and form as is set forth in the Underwriting Agreement, and when issued and sold in the Offering as described in the Registration Statement, such Shares will be validly issued, fully paid and non-assessable.</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consent to the filing of this opinion as an exhibit to the Registration Statement (as an exhibit to a Report of Foreign Private Issuer on Form 6-K that is incorporated by reference in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18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date of the Final Prospectus Supplement that may alter, affect or modify the opinions expressed herein.</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Meitar Liquornik Geva Leshem Tal</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99.1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White &amp; Case Draft: June 11,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Announces Launch of Public Offering of Ordinary Shares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ROSH HA’AYIN, Israel, June 11, 2019 (GLOBE NEWSWIRE) – Kornit Digital Ltd. (NASDAQ: KRNT) (“Kornit”), a company that develops, designs and markets innovative digital printing solutions for the global printed textile industry, today announced the launch of an underwritten public offering of 4,340,000 ordinary shares. Kornit intends to grant the underwriters a 30-day option to purchase up to an additional 651,000 ordinary shares.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intends to use the proceeds from the offering for future acquisitions, including complementary businesses, technologies or assets, and for general corporate purposes, including working capital and capital expenditures. We have no agreements or understandings with respect to any acquisition or investment at this time.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Citigroup, Goldman Sachs &amp; Co. LLC and Barclays are acting as bookrunners and as representatives of the underwriters for this offering. Needham, Stifel, William Blair and Craig Hallum are acting as co-managers in the offering.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Kornit has filed a preliminary prospectus supplement to its shelf registration statement on Form F-3 with the U.S. Securities and Exchange Commission (the “SEC”) for the proposed offering of its ordinary shares. The offering will be made only by means of a prospectus supplement and the accompanying prospectus. When available, a copy of the preliminary prospectus supplement relating to the offering and accompanying prospectus may be obtained from Citigroup c/o Broadridge Financial Solutions, 1155 Long Island Avenue, Edgewood, NY 11717 or by telephone at 800-831-9146; Goldman Sachs &amp; Co. LLC, Attention: Prospectus Department, 200 West Street, New York, NY 10282, or by telephone at 866-471-2526, or by email at prospectus-ny@ny.email.gs.com; or Barclays, c/o Broadridge Financial Solutions, 1155 Long Island Avenue, Edgewood, NY 11717, or by telephone at 888-603-5847, or by emailing barclaysprospectus@broadridge.com.</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SEC.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over 77 countries and territories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23" w:lineRule="exact"/>
        <w:rPr>
          <w:sz w:val="20"/>
          <w:szCs w:val="20"/>
          <w:color w:val="auto"/>
        </w:rPr>
      </w:pPr>
    </w:p>
    <w:p>
      <w:pPr>
        <w:ind w:right="9200" w:firstLine="8"/>
        <w:spacing w:after="0" w:line="323" w:lineRule="auto"/>
        <w:tabs>
          <w:tab w:leader="none" w:pos="4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99.2</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Kornit Announces Pricing of Public Offering of Ordinary Shares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ROSH HA’AYIN, Israel, June 13, 2019 (GLOBE NEWSWIRE) – Kornit Digital Ltd. (NASDAQ: KRNT), a company that develops, designs and markets innovative digital printing solutions for the global printed textile industry, today announced the pricing of an underwritten public offering of 4,340,000 ordinary shares at a price to the public of $27.50 per share. Kornit has also granted the underwriters a 30-day option to purchase up to an additional 651,000 ordinary shares at the public offering price. The offering is expected to close on June 18, 2019, subject to customary closing conditions.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intends to use the proceeds from the offering for future potential acquisitions, including complementary businesses, technologies or assets, and for general corporate purposes, including working capital and capital expenditures. Kornit has no agreements or understandings with respect to any acquisition or investment at this time.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Citigroup, Goldman Sachs &amp; Co. LLC and Barclays are acting as bookrunners and as representatives of the underwriters for this offering. Needham, Stifel, William Blair and Craig Hallum are acting as co-managers in the offering.</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Kornit has filed an automatically effective shelf registration statement (including a base prospectus) on Form F-3 with the U.S. Securities and Exchange Commission (the “SEC”). Before you invest, you should read the registration statement, the prospectus, the accompanying prospectus supplement and other documents Kornit has made available with the SEC for information about Kornit and the offering. You may obtain these documents free of charge by visiting EDGAR on the SEC website at www.sec.gov. When available, a copy of the final prospectus supplement relating to the offering and accompanying prospectus may be obtained from Citigroup c/o Broadridge Financial Solutions, 1155 Long Island Avenue, Edgewood, NY 11717 or by telephone at 800-831-9146; Goldman Sachs &amp; Co. LLC, Attention: Prospectus Department, 200 West Street, New York, NY 10282, or by telephone at 866-471-2526, or by email at prospectus-ny@ny.email.gs.com; or Barclays, c/o Broadridge Financial Solutions, 1155 Long Island Avenue, Edgewood, NY 11717, or by telephone at 888-603-5847, or by emailing barclaysprospectus@broadridge.com.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over 77 countries and territories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682-8311 Michael.Callahan@icrinc.com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
    <w:nsid w:val="79838CB2"/>
    <w:multiLevelType w:val="hybridMultilevel"/>
    <w:lvl w:ilvl="0">
      <w:lvlJc w:val="left"/>
      <w:lvlText w:val="(%1)"/>
      <w:numFmt w:val="lowerRoman"/>
      <w:start w:val="2"/>
    </w:lvl>
  </w:abstractNum>
  <w:abstractNum w:abstractNumId="2">
    <w:nsid w:val="4353D0CD"/>
    <w:multiLevelType w:val="hybridMultilevel"/>
    <w:lvl w:ilvl="0">
      <w:lvlJc w:val="left"/>
      <w:lvlText w:val="(%1)"/>
      <w:numFmt w:val="lowerRoman"/>
      <w:start w:val="4"/>
    </w:lvl>
  </w:abstractNum>
  <w:abstractNum w:abstractNumId="3">
    <w:nsid w:val="B03E0C6"/>
    <w:multiLevelType w:val="hybridMultilevel"/>
    <w:lvl w:ilvl="0">
      <w:lvlJc w:val="left"/>
      <w:lvlText w:val="(%1)"/>
      <w:numFmt w:val="lowerLetter"/>
      <w:start w:val="2"/>
    </w:lvl>
  </w:abstractNum>
  <w:abstractNum w:abstractNumId="4">
    <w:nsid w:val="189A769B"/>
    <w:multiLevelType w:val="hybridMultilevel"/>
    <w:lvl w:ilvl="0">
      <w:lvlJc w:val="left"/>
      <w:lvlText w:val="(%1)"/>
      <w:numFmt w:val="lowerLetter"/>
      <w:start w:val="7"/>
    </w:lvl>
  </w:abstractNum>
  <w:abstractNum w:abstractNumId="5">
    <w:nsid w:val="54E49EB4"/>
    <w:multiLevelType w:val="hybridMultilevel"/>
    <w:lvl w:ilvl="0">
      <w:lvlJc w:val="left"/>
      <w:lvlText w:val="(%1)"/>
      <w:numFmt w:val="lowerLetter"/>
      <w:start w:val="13"/>
    </w:lvl>
  </w:abstractNum>
  <w:abstractNum w:abstractNumId="6">
    <w:nsid w:val="71F32454"/>
    <w:multiLevelType w:val="hybridMultilevel"/>
    <w:lvl w:ilvl="0">
      <w:lvlJc w:val="left"/>
      <w:lvlText w:val="(%1)"/>
      <w:numFmt w:val="lowerLetter"/>
      <w:start w:val="15"/>
    </w:lvl>
  </w:abstractNum>
  <w:abstractNum w:abstractNumId="7">
    <w:nsid w:val="2CA88611"/>
    <w:multiLevelType w:val="hybridMultilevel"/>
    <w:lvl w:ilvl="0">
      <w:lvlJc w:val="left"/>
      <w:lvlText w:val="(%1)"/>
      <w:numFmt w:val="lowerLetter"/>
      <w:start w:val="19"/>
    </w:lvl>
  </w:abstractNum>
  <w:abstractNum w:abstractNumId="8">
    <w:nsid w:val="836C40E"/>
    <w:multiLevelType w:val="hybridMultilevel"/>
    <w:lvl w:ilvl="0">
      <w:lvlJc w:val="left"/>
      <w:lvlText w:val="(%1)"/>
      <w:numFmt w:val="lowerLetter"/>
      <w:start w:val="23"/>
    </w:lvl>
  </w:abstractNum>
  <w:abstractNum w:abstractNumId="9">
    <w:nsid w:val="2901D82"/>
    <w:multiLevelType w:val="hybridMultilevel"/>
    <w:lvl w:ilvl="0">
      <w:lvlJc w:val="left"/>
      <w:lvlText w:val="(%1)"/>
      <w:numFmt w:val="lowerLetter"/>
      <w:start w:val="27"/>
    </w:lvl>
  </w:abstractNum>
  <w:abstractNum w:abstractNumId="10">
    <w:nsid w:val="3A95F874"/>
    <w:multiLevelType w:val="hybridMultilevel"/>
    <w:lvl w:ilvl="0">
      <w:lvlJc w:val="left"/>
      <w:lvlText w:val="(%1)"/>
      <w:numFmt w:val="lowerLetter"/>
      <w:start w:val="30"/>
    </w:lvl>
  </w:abstractNum>
  <w:abstractNum w:abstractNumId="11">
    <w:nsid w:val="8138641"/>
    <w:multiLevelType w:val="hybridMultilevel"/>
    <w:lvl w:ilvl="0">
      <w:lvlJc w:val="left"/>
      <w:lvlText w:val="(%1)"/>
      <w:numFmt w:val="lowerLetter"/>
      <w:start w:val="35"/>
    </w:lvl>
  </w:abstractNum>
  <w:abstractNum w:abstractNumId="12">
    <w:nsid w:val="1E7FF521"/>
    <w:multiLevelType w:val="hybridMultilevel"/>
    <w:lvl w:ilvl="0">
      <w:lvlJc w:val="left"/>
      <w:lvlText w:val="(%1)"/>
      <w:numFmt w:val="lowerLetter"/>
      <w:start w:val="39"/>
    </w:lvl>
  </w:abstractNum>
  <w:abstractNum w:abstractNumId="13">
    <w:nsid w:val="7C3DBD3D"/>
    <w:multiLevelType w:val="hybridMultilevel"/>
    <w:lvl w:ilvl="0">
      <w:lvlJc w:val="left"/>
      <w:lvlText w:val="(%1)"/>
      <w:numFmt w:val="lowerLetter"/>
      <w:start w:val="42"/>
    </w:lvl>
  </w:abstractNum>
  <w:abstractNum w:abstractNumId="14">
    <w:nsid w:val="737B8DDC"/>
    <w:multiLevelType w:val="hybridMultilevel"/>
    <w:lvl w:ilvl="0">
      <w:lvlJc w:val="left"/>
      <w:lvlText w:val="(%1)"/>
      <w:numFmt w:val="lowerLetter"/>
      <w:start w:val="46"/>
    </w:lvl>
  </w:abstractNum>
  <w:abstractNum w:abstractNumId="15">
    <w:nsid w:val="6CEAF087"/>
    <w:multiLevelType w:val="hybridMultilevel"/>
    <w:lvl w:ilvl="0">
      <w:lvlJc w:val="left"/>
      <w:lvlText w:val="%1"/>
      <w:numFmt w:val="lowerRoman"/>
      <w:start w:val="1"/>
    </w:lvl>
    <w:lvl w:ilvl="1">
      <w:lvlJc w:val="left"/>
      <w:lvlText w:val="(%2)"/>
      <w:numFmt w:val="lowerLetter"/>
      <w:start w:val="53"/>
    </w:lvl>
  </w:abstractNum>
  <w:abstractNum w:abstractNumId="16">
    <w:nsid w:val="22221A70"/>
    <w:multiLevelType w:val="hybridMultilevel"/>
    <w:lvl w:ilvl="0">
      <w:lvlJc w:val="left"/>
      <w:lvlText w:val="(%1)"/>
      <w:numFmt w:val="lowerRoman"/>
      <w:start w:val="2"/>
    </w:lvl>
    <w:lvl w:ilvl="1">
      <w:lvlJc w:val="left"/>
      <w:lvlText w:val="(%2)"/>
      <w:numFmt w:val="lowerLetter"/>
      <w:start w:val="54"/>
    </w:lvl>
  </w:abstractNum>
  <w:abstractNum w:abstractNumId="17">
    <w:nsid w:val="4516DDE9"/>
    <w:multiLevelType w:val="hybridMultilevel"/>
    <w:lvl w:ilvl="0">
      <w:lvlJc w:val="left"/>
      <w:lvlText w:val="(%1)"/>
      <w:numFmt w:val="lowerLetter"/>
      <w:start w:val="56"/>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3"/>
    </w:lvl>
  </w:abstractNum>
  <w:abstractNum w:abstractNumId="20">
    <w:nsid w:val="419AC241"/>
    <w:multiLevelType w:val="hybridMultilevel"/>
    <w:lvl w:ilvl="0">
      <w:lvlJc w:val="left"/>
      <w:lvlText w:val="%1."/>
      <w:numFmt w:val="decimal"/>
      <w:start w:val="5"/>
    </w:lvl>
    <w:lvl w:ilvl="1">
      <w:lvlJc w:val="left"/>
      <w:lvlText w:val="(%2)"/>
      <w:numFmt w:val="lowerRoman"/>
      <w:start w:val="1"/>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1)"/>
      <w:numFmt w:val="lowerRoman"/>
      <w:start w:val="7"/>
    </w:lvl>
  </w:abstractNum>
  <w:abstractNum w:abstractNumId="23">
    <w:nsid w:val="5072367"/>
    <w:multiLevelType w:val="hybridMultilevel"/>
    <w:lvl w:ilvl="0">
      <w:lvlJc w:val="left"/>
      <w:lvlText w:val="%1"/>
      <w:numFmt w:val="lowerLetter"/>
      <w:start w:val="1"/>
    </w:lvl>
    <w:lvl w:ilvl="1">
      <w:lvlJc w:val="left"/>
      <w:lvlText w:val="(%2)"/>
      <w:numFmt w:val="lowerRoman"/>
      <w:start w:val="10"/>
    </w:lvl>
  </w:abstractNum>
  <w:abstractNum w:abstractNumId="24">
    <w:nsid w:val="3804823E"/>
    <w:multiLevelType w:val="hybridMultilevel"/>
    <w:lvl w:ilvl="0">
      <w:lvlJc w:val="left"/>
      <w:lvlText w:val="(%1)"/>
      <w:numFmt w:val="lowerLetter"/>
      <w:start w:val="2"/>
    </w:lvl>
    <w:lvl w:ilvl="1">
      <w:lvlJc w:val="left"/>
      <w:lvlText w:val="%2"/>
      <w:numFmt w:val="lowerRoman"/>
      <w:start w:val="1"/>
    </w:lvl>
  </w:abstractNum>
  <w:abstractNum w:abstractNumId="25">
    <w:nsid w:val="77465F01"/>
    <w:multiLevelType w:val="hybridMultilevel"/>
    <w:lvl w:ilvl="0">
      <w:lvlJc w:val="left"/>
      <w:lvlText w:val="%1"/>
      <w:numFmt w:val="decimal"/>
      <w:start w:val="1"/>
    </w:lvl>
    <w:lvl w:ilvl="1">
      <w:lvlJc w:val="left"/>
      <w:lvlText w:val="(%2)"/>
      <w:numFmt w:val="lowerLetter"/>
      <w:start w:val="3"/>
    </w:lvl>
  </w:abstractNum>
  <w:abstractNum w:abstractNumId="26">
    <w:nsid w:val="7724C67E"/>
    <w:multiLevelType w:val="hybridMultilevel"/>
    <w:lvl w:ilvl="0">
      <w:lvlJc w:val="left"/>
      <w:lvlText w:val="%1."/>
      <w:numFmt w:val="decimal"/>
      <w:start w:val="6"/>
    </w:lvl>
    <w:lvl w:ilvl="1">
      <w:lvlJc w:val="left"/>
      <w:lvlText w:val="%2"/>
      <w:numFmt w:val="lowerLetter"/>
      <w:start w:val="1"/>
    </w:lvl>
  </w:abstractNum>
  <w:abstractNum w:abstractNumId="27">
    <w:nsid w:val="5C482A97"/>
    <w:multiLevelType w:val="hybridMultilevel"/>
    <w:lvl w:ilvl="0">
      <w:lvlJc w:val="left"/>
      <w:lvlText w:val="%1."/>
      <w:numFmt w:val="decimal"/>
      <w:start w:val="7"/>
    </w:lvl>
    <w:lvl w:ilvl="1">
      <w:lvlJc w:val="left"/>
      <w:lvlText w:val="(%2)"/>
      <w:numFmt w:val="lowerLetter"/>
      <w:start w:val="1"/>
    </w:lvl>
  </w:abstractNum>
  <w:abstractNum w:abstractNumId="28">
    <w:nsid w:val="2463B9EA"/>
    <w:multiLevelType w:val="hybridMultilevel"/>
    <w:lvl w:ilvl="0">
      <w:lvlJc w:val="left"/>
      <w:lvlText w:val="(%1)"/>
      <w:numFmt w:val="lowerLetter"/>
      <w:start w:val="5"/>
    </w:lvl>
  </w:abstractNum>
  <w:abstractNum w:abstractNumId="29">
    <w:nsid w:val="5E884ADC"/>
    <w:multiLevelType w:val="hybridMultilevel"/>
    <w:lvl w:ilvl="0">
      <w:lvlJc w:val="left"/>
      <w:lvlText w:val="(%1)"/>
      <w:numFmt w:val="lowerLetter"/>
      <w:start w:val="10"/>
    </w:lvl>
    <w:lvl w:ilvl="1">
      <w:lvlJc w:val="left"/>
      <w:lvlText w:val="(%2)"/>
      <w:numFmt w:val="lowerRoman"/>
      <w:start w:val="1"/>
    </w:lvl>
  </w:abstractNum>
  <w:abstractNum w:abstractNumId="30">
    <w:nsid w:val="51EAD36B"/>
    <w:multiLevelType w:val="hybridMultilevel"/>
    <w:lvl w:ilvl="0">
      <w:lvlJc w:val="left"/>
      <w:lvlText w:val="(%1)"/>
      <w:numFmt w:val="lowerLetter"/>
      <w:start w:val="12"/>
    </w:lvl>
  </w:abstractNum>
  <w:abstractNum w:abstractNumId="31">
    <w:nsid w:val="2D517796"/>
    <w:multiLevelType w:val="hybridMultilevel"/>
    <w:lvl w:ilvl="0">
      <w:lvlJc w:val="left"/>
      <w:lvlText w:val="%1."/>
      <w:numFmt w:val="decimal"/>
      <w:start w:val="8"/>
    </w:lvl>
    <w:lvl w:ilvl="1">
      <w:lvlJc w:val="left"/>
      <w:lvlText w:val="(%2)"/>
      <w:numFmt w:val="lowerLetter"/>
      <w:start w:val="1"/>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lowerLetter"/>
      <w:start w:val="4"/>
    </w:lvl>
  </w:abstractNum>
  <w:abstractNum w:abstractNumId="34">
    <w:nsid w:val="3855585C"/>
    <w:multiLevelType w:val="hybridMultilevel"/>
    <w:lvl w:ilvl="0">
      <w:lvlJc w:val="left"/>
      <w:lvlText w:val="%1."/>
      <w:numFmt w:val="decimal"/>
      <w:start w:val="9"/>
    </w:lvl>
    <w:lvl w:ilvl="1">
      <w:lvlJc w:val="left"/>
      <w:lvlText w:val="(%2)"/>
      <w:numFmt w:val="lowerLetter"/>
      <w:start w:val="1"/>
    </w:lvl>
  </w:abstractNum>
  <w:abstractNum w:abstractNumId="35">
    <w:nsid w:val="70A64E2A"/>
    <w:multiLevelType w:val="hybridMultilevel"/>
    <w:lvl w:ilvl="0">
      <w:lvlJc w:val="left"/>
      <w:lvlText w:val="%1"/>
      <w:numFmt w:val="lowerLetter"/>
      <w:start w:val="1"/>
    </w:lvl>
    <w:lvl w:ilvl="1">
      <w:lvlJc w:val="left"/>
      <w:lvlText w:val="%2."/>
      <w:numFmt w:val="decimal"/>
      <w:start w:val="10"/>
    </w:lvl>
  </w:abstractNum>
  <w:abstractNum w:abstractNumId="36">
    <w:nsid w:val="6A2342EC"/>
    <w:multiLevelType w:val="hybridMultilevel"/>
    <w:lvl w:ilvl="0">
      <w:lvlJc w:val="left"/>
      <w:lvlText w:val="(%1)"/>
      <w:numFmt w:val="lowerLetter"/>
      <w:start w:val="2"/>
    </w:lvl>
    <w:lvl w:ilvl="1">
      <w:lvlJc w:val="left"/>
      <w:lvlText w:val="%2."/>
      <w:numFmt w:val="decimal"/>
      <w:start w:val="12"/>
    </w:lvl>
  </w:abstractNum>
  <w:abstractNum w:abstractNumId="37">
    <w:nsid w:val="2A487CB0"/>
    <w:multiLevelType w:val="hybridMultilevel"/>
    <w:lvl w:ilvl="0">
      <w:lvlJc w:val="left"/>
      <w:lvlText w:val="%1."/>
      <w:numFmt w:val="decimal"/>
      <w:start w:val="14"/>
    </w:lvl>
    <w:lvl w:ilvl="1">
      <w:lvlJc w:val="left"/>
      <w:lvlText w:val="(%2)"/>
      <w:numFmt w:val="lowerLetter"/>
      <w:start w:val="1"/>
    </w:lvl>
  </w:abstractNum>
  <w:abstractNum w:abstractNumId="38">
    <w:nsid w:val="1D4ED43B"/>
    <w:multiLevelType w:val="hybridMultilevel"/>
    <w:lvl w:ilvl="0">
      <w:lvlJc w:val="left"/>
      <w:lvlText w:val="%1"/>
      <w:numFmt w:val="decimal"/>
      <w:start w:val="200"/>
    </w:lvl>
    <w:lvl w:ilvl="1">
      <w:lvlJc w:val="left"/>
      <w:lvlText w:val="(%2)"/>
      <w:numFmt w:val="lowerLetter"/>
      <w:start w:val="2"/>
    </w:lvl>
  </w:abstractNum>
  <w:abstractNum w:abstractNumId="39">
    <w:nsid w:val="725A06FB"/>
    <w:multiLevelType w:val="hybridMultilevel"/>
    <w:lvl w:ilvl="0">
      <w:lvlJc w:val="left"/>
      <w:lvlText w:val="%1."/>
      <w:numFmt w:val="decimal"/>
      <w:start w:val="15"/>
    </w:lvl>
    <w:lvl w:ilvl="1">
      <w:lvlJc w:val="left"/>
      <w:lvlText w:val="(%2)"/>
      <w:numFmt w:val="lowerLetter"/>
      <w:start w:val="1"/>
    </w:lvl>
  </w:abstractNum>
  <w:abstractNum w:abstractNumId="40">
    <w:nsid w:val="2CD89A32"/>
    <w:multiLevelType w:val="hybridMultilevel"/>
    <w:lvl w:ilvl="0">
      <w:lvlJc w:val="left"/>
      <w:lvlText w:val="§"/>
      <w:numFmt w:val="bullet"/>
      <w:start w:val="1"/>
    </w:lvl>
    <w:lvl w:ilvl="1">
      <w:lvlJc w:val="left"/>
      <w:lvlText w:val="(%2)"/>
      <w:numFmt w:val="lowerLetter"/>
      <w:start w:val="2"/>
    </w:lvl>
  </w:abstractNum>
  <w:abstractNum w:abstractNumId="41">
    <w:nsid w:val="57E4CCAF"/>
    <w:multiLevelType w:val="hybridMultilevel"/>
    <w:lvl w:ilvl="0">
      <w:lvlJc w:val="left"/>
      <w:lvlText w:val="%1."/>
      <w:numFmt w:val="decimal"/>
      <w:start w:val="18"/>
    </w:lvl>
  </w:abstractNum>
  <w:abstractNum w:abstractNumId="42">
    <w:nsid w:val="7A6D8D3C"/>
    <w:multiLevelType w:val="hybridMultilevel"/>
    <w:lvl w:ilvl="0">
      <w:lvlJc w:val="left"/>
      <w:lvlText w:val="%1."/>
      <w:numFmt w:val="decimal"/>
      <w:start w:val="2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9"/>
    </w:lvl>
  </w:abstractNum>
  <w:abstractNum w:abstractNumId="46">
    <w:nsid w:val="38437FDB"/>
    <w:multiLevelType w:val="hybridMultilevel"/>
    <w:lvl w:ilvl="0">
      <w:lvlJc w:val="left"/>
      <w:lvlText w:val="(%1)"/>
      <w:numFmt w:val="decimal"/>
      <w:start w:val="203"/>
    </w:lvl>
  </w:abstractNum>
  <w:abstractNum w:abstractNumId="47">
    <w:nsid w:val="7644A45C"/>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jpe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13" Type="http://schemas.openxmlformats.org/officeDocument/2006/relationships/hyperlink" Target="http://www.sec.gov/Archives/edgar/data/1625791/000121390019010522/0001213900-19-010522-index.htm" TargetMode="External"/><Relationship Id="rId14" Type="http://schemas.openxmlformats.org/officeDocument/2006/relationships/hyperlink" Target="http://www.sec.gov/Archives/edgar/data/1625791/000121390019005079/0001213900-19-005079-index.htm" TargetMode="External"/><Relationship Id="rId15" Type="http://schemas.openxmlformats.org/officeDocument/2006/relationships/hyperlink" Target="http://www.sec.gov/Archives/edgar/data/1625791/000121390018003205/0001213900-18-003205-index.htm" TargetMode="External"/><Relationship Id="rId16" Type="http://schemas.openxmlformats.org/officeDocument/2006/relationships/hyperlink" Target="http://www.sec.gov/Archives/edgar/data/1625791/000121390017003012/0001213900-17-003012-index.htm" TargetMode="External"/><Relationship Id="rId17" Type="http://schemas.openxmlformats.org/officeDocument/2006/relationships/hyperlink" Target="http://www.sec.gov/Archives/edgar/data/1625791/000121390016017339/0001213900-16-017339-index.htm" TargetMode="External"/><Relationship Id="rId18" Type="http://schemas.openxmlformats.org/officeDocument/2006/relationships/hyperlink" Target="http://www.sec.gov/Archives/edgar/data/1625791/000161577415000908/0001615774-15-000908-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2019-12-01T17:11:30Z</dcterms:created>
  <dcterms:modified xsi:type="dcterms:W3CDTF">2019-12-01T17:11:30Z</dcterms:modified>
</cp:coreProperties>
</file>