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FORM 6-K</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August 2021</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KORNIT DIGITAL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74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CONTENTS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and Financial Condition - Second Quarter 2021</w:t>
      </w:r>
    </w:p>
    <w:p>
      <w:pPr>
        <w:spacing w:after="0" w:line="198" w:lineRule="exact"/>
        <w:rPr>
          <w:sz w:val="20"/>
          <w:szCs w:val="20"/>
          <w:color w:val="auto"/>
        </w:rPr>
      </w:pPr>
    </w:p>
    <w:p>
      <w:pPr>
        <w:jc w:val="both"/>
        <w:ind w:firstLine="565"/>
        <w:spacing w:after="0" w:line="280" w:lineRule="auto"/>
        <w:rPr>
          <w:sz w:val="20"/>
          <w:szCs w:val="20"/>
          <w:color w:val="auto"/>
        </w:rPr>
      </w:pPr>
      <w:r>
        <w:rPr>
          <w:rFonts w:ascii="Arial" w:cs="Arial" w:eastAsia="Arial" w:hAnsi="Arial"/>
          <w:sz w:val="16"/>
          <w:szCs w:val="16"/>
          <w:color w:val="auto"/>
        </w:rPr>
        <w:t>On August 10, 2021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xml:space="preserve">”) issued a press release entitled “Kornit Digital Reports Second Quarter 2021 Results,” in which Kornit reported its financial results for the second quarter of 2021, ended June 30, 2021. A copy of that press release is furnished as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hereto.</w:t>
      </w:r>
    </w:p>
    <w:p>
      <w:pPr>
        <w:spacing w:after="0" w:line="148" w:lineRule="exact"/>
        <w:rPr>
          <w:sz w:val="20"/>
          <w:szCs w:val="20"/>
          <w:color w:val="auto"/>
        </w:rPr>
      </w:pPr>
    </w:p>
    <w:p>
      <w:pPr>
        <w:jc w:val="both"/>
        <w:ind w:firstLine="565"/>
        <w:spacing w:after="0" w:line="262" w:lineRule="auto"/>
        <w:rPr>
          <w:sz w:val="20"/>
          <w:szCs w:val="20"/>
          <w:color w:val="auto"/>
        </w:rPr>
      </w:pPr>
      <w:r>
        <w:rPr>
          <w:rFonts w:ascii="Arial" w:cs="Arial" w:eastAsia="Arial" w:hAnsi="Arial"/>
          <w:sz w:val="16"/>
          <w:szCs w:val="16"/>
          <w:color w:val="auto"/>
        </w:rPr>
        <w:t xml:space="preserve">In conjunction with the conference call being held on August 10, 2021 to discuss Kornit’s results for the second quarter of 2021, ended June 30, 2021, Kornit also made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jc w:val="both"/>
        <w:ind w:firstLine="565"/>
        <w:spacing w:after="0" w:line="287" w:lineRule="auto"/>
        <w:rPr>
          <w:rFonts w:ascii="Arial" w:cs="Arial" w:eastAsia="Arial" w:hAnsi="Arial"/>
          <w:sz w:val="15"/>
          <w:szCs w:val="15"/>
          <w:color w:val="auto"/>
        </w:rPr>
      </w:pPr>
      <w:r>
        <w:rPr>
          <w:rFonts w:ascii="Arial" w:cs="Arial" w:eastAsia="Arial" w:hAnsi="Arial"/>
          <w:sz w:val="15"/>
          <w:szCs w:val="15"/>
          <w:color w:val="auto"/>
        </w:rPr>
        <w:t xml:space="preserve">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w:t>
      </w:r>
      <w:hyperlink r:id="rId13">
        <w:r>
          <w:rPr>
            <w:rFonts w:ascii="Arial" w:cs="Arial" w:eastAsia="Arial" w:hAnsi="Arial"/>
            <w:sz w:val="15"/>
            <w:szCs w:val="15"/>
            <w:u w:val="single" w:color="auto"/>
            <w:color w:val="0000EE"/>
          </w:rPr>
          <w:t>Form F-3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(File No. 333-248784) and Form S-8 (File No.’s </w:t>
      </w:r>
      <w:hyperlink r:id="rId14">
        <w:r>
          <w:rPr>
            <w:rFonts w:ascii="Arial" w:cs="Arial" w:eastAsia="Arial" w:hAnsi="Arial"/>
            <w:sz w:val="15"/>
            <w:szCs w:val="15"/>
            <w:u w:val="single" w:color="auto"/>
            <w:color w:val="0000EE"/>
          </w:rPr>
          <w:t>333-203970</w:t>
        </w:r>
      </w:hyperlink>
      <w:r>
        <w:rPr>
          <w:rFonts w:ascii="Arial" w:cs="Arial" w:eastAsia="Arial" w:hAnsi="Arial"/>
          <w:sz w:val="15"/>
          <w:szCs w:val="15"/>
          <w:color w:val="auto"/>
        </w:rPr>
        <w:t xml:space="preserve">, </w:t>
      </w:r>
      <w:hyperlink r:id="rId15">
        <w:r>
          <w:rPr>
            <w:rFonts w:ascii="Arial" w:cs="Arial" w:eastAsia="Arial" w:hAnsi="Arial"/>
            <w:sz w:val="15"/>
            <w:szCs w:val="15"/>
            <w:u w:val="single" w:color="auto"/>
            <w:color w:val="0000EE"/>
          </w:rPr>
          <w:t>333-214015</w:t>
        </w:r>
      </w:hyperlink>
      <w:r>
        <w:rPr>
          <w:rFonts w:ascii="Arial" w:cs="Arial" w:eastAsia="Arial" w:hAnsi="Arial"/>
          <w:sz w:val="15"/>
          <w:szCs w:val="15"/>
          <w:color w:val="auto"/>
        </w:rPr>
        <w:t xml:space="preserve">, </w:t>
      </w:r>
      <w:hyperlink r:id="rId16">
        <w:r>
          <w:rPr>
            <w:rFonts w:ascii="Arial" w:cs="Arial" w:eastAsia="Arial" w:hAnsi="Arial"/>
            <w:sz w:val="15"/>
            <w:szCs w:val="15"/>
            <w:u w:val="single" w:color="auto"/>
            <w:color w:val="0000EE"/>
          </w:rPr>
          <w:t>333-217039</w:t>
        </w:r>
      </w:hyperlink>
      <w:r>
        <w:rPr>
          <w:rFonts w:ascii="Arial" w:cs="Arial" w:eastAsia="Arial" w:hAnsi="Arial"/>
          <w:sz w:val="15"/>
          <w:szCs w:val="15"/>
          <w:color w:val="auto"/>
        </w:rPr>
        <w:t xml:space="preserve">, </w:t>
      </w:r>
      <w:hyperlink r:id="rId17">
        <w:r>
          <w:rPr>
            <w:rFonts w:ascii="Arial" w:cs="Arial" w:eastAsia="Arial" w:hAnsi="Arial"/>
            <w:sz w:val="15"/>
            <w:szCs w:val="15"/>
            <w:u w:val="single" w:color="auto"/>
            <w:color w:val="0000EE"/>
          </w:rPr>
          <w:t>333-223794</w:t>
        </w:r>
      </w:hyperlink>
      <w:r>
        <w:rPr>
          <w:rFonts w:ascii="Arial" w:cs="Arial" w:eastAsia="Arial" w:hAnsi="Arial"/>
          <w:sz w:val="15"/>
          <w:szCs w:val="15"/>
          <w:color w:val="auto"/>
        </w:rPr>
        <w:t xml:space="preserve">, </w:t>
      </w:r>
      <w:hyperlink r:id="rId18">
        <w:r>
          <w:rPr>
            <w:rFonts w:ascii="Arial" w:cs="Arial" w:eastAsia="Arial" w:hAnsi="Arial"/>
            <w:sz w:val="15"/>
            <w:szCs w:val="15"/>
            <w:u w:val="single" w:color="auto"/>
            <w:color w:val="0000EE"/>
          </w:rPr>
          <w:t>333-230567</w:t>
        </w:r>
      </w:hyperlink>
      <w:r>
        <w:rPr>
          <w:rFonts w:ascii="Arial" w:cs="Arial" w:eastAsia="Arial" w:hAnsi="Arial"/>
          <w:sz w:val="15"/>
          <w:szCs w:val="15"/>
          <w:color w:val="auto"/>
        </w:rPr>
        <w:t xml:space="preserve">, </w:t>
      </w:r>
      <w:hyperlink r:id="rId19">
        <w:r>
          <w:rPr>
            <w:rFonts w:ascii="Arial" w:cs="Arial" w:eastAsia="Arial" w:hAnsi="Arial"/>
            <w:sz w:val="15"/>
            <w:szCs w:val="15"/>
            <w:u w:val="single" w:color="auto"/>
            <w:color w:val="0000EE"/>
          </w:rPr>
          <w:t>333-237346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0">
        <w:r>
          <w:rPr>
            <w:rFonts w:ascii="Arial" w:cs="Arial" w:eastAsia="Arial" w:hAnsi="Arial"/>
            <w:sz w:val="15"/>
            <w:szCs w:val="15"/>
            <w:u w:val="single" w:color="auto"/>
            <w:color w:val="0000EE"/>
          </w:rPr>
          <w:t>333-254749</w:t>
        </w:r>
      </w:hyperlink>
      <w:r>
        <w:rPr>
          <w:rFonts w:ascii="Arial" w:cs="Arial" w:eastAsia="Arial" w:hAnsi="Arial"/>
          <w:sz w:val="15"/>
          <w:szCs w:val="15"/>
          <w:color w:val="auto"/>
        </w:rPr>
        <w:t>).</w:t>
      </w:r>
    </w:p>
    <w:p>
      <w:pPr>
        <w:spacing w:after="0" w:line="331"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Arial" w:cs="Arial" w:eastAsia="Arial" w:hAnsi="Arial"/>
                <w:sz w:val="16"/>
                <w:szCs w:val="16"/>
                <w:color w:val="auto"/>
              </w:rPr>
              <w:t>Date: August 10, 2021</w:t>
            </w:r>
          </w:p>
        </w:tc>
        <w:tc>
          <w:tcPr>
            <w:tcW w:w="7160" w:type="dxa"/>
            <w:vAlign w:val="bottom"/>
            <w:gridSpan w:val="2"/>
          </w:tcPr>
          <w:p>
            <w:pPr>
              <w:ind w:left="2660"/>
              <w:spacing w:after="0"/>
              <w:rPr>
                <w:sz w:val="20"/>
                <w:szCs w:val="20"/>
                <w:color w:val="auto"/>
              </w:rPr>
            </w:pPr>
            <w:r>
              <w:rPr>
                <w:rFonts w:ascii="Arial" w:cs="Arial" w:eastAsia="Arial" w:hAnsi="Arial"/>
                <w:sz w:val="16"/>
                <w:szCs w:val="16"/>
                <w:color w:val="auto"/>
              </w:rPr>
              <w:t>KORNIT DIGITAL LTD.</w:t>
            </w:r>
          </w:p>
        </w:tc>
      </w:tr>
      <w:tr>
        <w:trPr>
          <w:trHeight w:val="398"/>
        </w:trPr>
        <w:tc>
          <w:tcPr>
            <w:tcW w:w="4100" w:type="dxa"/>
            <w:vAlign w:val="bottom"/>
          </w:tcPr>
          <w:p>
            <w:pPr>
              <w:spacing w:after="0"/>
              <w:rPr>
                <w:sz w:val="24"/>
                <w:szCs w:val="24"/>
                <w:color w:val="auto"/>
              </w:rPr>
            </w:pPr>
          </w:p>
        </w:tc>
        <w:tc>
          <w:tcPr>
            <w:tcW w:w="3220" w:type="dxa"/>
            <w:vAlign w:val="bottom"/>
          </w:tcPr>
          <w:p>
            <w:pPr>
              <w:ind w:left="266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4100" w:type="dxa"/>
            <w:vAlign w:val="bottom"/>
          </w:tcPr>
          <w:p>
            <w:pPr>
              <w:spacing w:after="0"/>
              <w:rPr>
                <w:sz w:val="15"/>
                <w:szCs w:val="15"/>
                <w:color w:val="auto"/>
              </w:rPr>
            </w:pPr>
          </w:p>
        </w:tc>
        <w:tc>
          <w:tcPr>
            <w:tcW w:w="3220" w:type="dxa"/>
            <w:vAlign w:val="bottom"/>
          </w:tcPr>
          <w:p>
            <w:pPr>
              <w:ind w:left="266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Rozner</w:t>
            </w:r>
          </w:p>
        </w:tc>
      </w:tr>
      <w:tr>
        <w:trPr>
          <w:trHeight w:val="204"/>
        </w:trPr>
        <w:tc>
          <w:tcPr>
            <w:tcW w:w="4100" w:type="dxa"/>
            <w:vAlign w:val="bottom"/>
          </w:tcPr>
          <w:p>
            <w:pPr>
              <w:spacing w:after="0"/>
              <w:rPr>
                <w:sz w:val="17"/>
                <w:szCs w:val="17"/>
                <w:color w:val="auto"/>
              </w:rPr>
            </w:pPr>
          </w:p>
        </w:tc>
        <w:tc>
          <w:tcPr>
            <w:tcW w:w="3220" w:type="dxa"/>
            <w:vAlign w:val="bottom"/>
          </w:tcPr>
          <w:p>
            <w:pPr>
              <w:ind w:left="266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4"/>
              </w:rPr>
              <w:t>Exhibit Index</w:t>
            </w:r>
          </w:p>
        </w:tc>
      </w:tr>
      <w:tr>
        <w:trPr>
          <w:trHeight w:val="398"/>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auto"/>
            </w:tcBorders>
            <w:gridSpan w:val="3"/>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Press release, dated August 10, 2021, titled “Kornit Digital Reports Second Quarter 2021 Results”</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600" w:type="dxa"/>
            <w:vAlign w:val="bottom"/>
            <w:tcBorders>
              <w:top w:val="single" w:sz="8" w:color="0000EE"/>
            </w:tcBorders>
          </w:tcPr>
          <w:p>
            <w:pPr>
              <w:spacing w:after="0"/>
              <w:rPr>
                <w:sz w:val="16"/>
                <w:szCs w:val="16"/>
                <w:color w:val="auto"/>
              </w:rPr>
            </w:pPr>
          </w:p>
        </w:tc>
        <w:tc>
          <w:tcPr>
            <w:tcW w:w="1660" w:type="dxa"/>
            <w:vAlign w:val="bottom"/>
            <w:tcBorders>
              <w:top w:val="single" w:sz="8" w:color="0000EE"/>
            </w:tcBorders>
          </w:tcPr>
          <w:p>
            <w:pPr>
              <w:spacing w:after="0"/>
              <w:rPr>
                <w:sz w:val="16"/>
                <w:szCs w:val="16"/>
                <w:color w:val="auto"/>
              </w:rPr>
            </w:pPr>
          </w:p>
        </w:tc>
        <w:tc>
          <w:tcPr>
            <w:tcW w:w="386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0240" w:type="dxa"/>
            <w:vAlign w:val="bottom"/>
            <w:gridSpan w:val="4"/>
            <w:shd w:val="clear" w:color="auto" w:fill="CCEEFF"/>
          </w:tcPr>
          <w:p>
            <w:pPr>
              <w:ind w:left="120"/>
              <w:spacing w:after="0" w:line="155" w:lineRule="exact"/>
              <w:rPr>
                <w:rFonts w:ascii="Arial" w:cs="Arial" w:eastAsia="Arial" w:hAnsi="Arial"/>
                <w:sz w:val="16"/>
                <w:szCs w:val="16"/>
                <w:color w:val="0000EE"/>
              </w:rPr>
            </w:pPr>
            <w:hyperlink w:anchor="page13">
              <w:r>
                <w:rPr>
                  <w:rFonts w:ascii="Arial" w:cs="Arial" w:eastAsia="Arial" w:hAnsi="Arial"/>
                  <w:sz w:val="16"/>
                  <w:szCs w:val="16"/>
                  <w:color w:val="0000EE"/>
                </w:rPr>
                <w:t>Slide presentation for conference call of Kornit held on August 10, 2021</w:t>
              </w:r>
            </w:hyperlink>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00" w:type="dxa"/>
            <w:vAlign w:val="bottom"/>
            <w:tcBorders>
              <w:top w:val="single" w:sz="8" w:color="0000EE"/>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60" w:type="dxa"/>
            <w:vAlign w:val="bottom"/>
            <w:tcBorders>
              <w:top w:val="single" w:sz="8" w:color="CCEEFF"/>
              <w:bottom w:val="single" w:sz="8" w:color="auto"/>
            </w:tcBorders>
          </w:tcPr>
          <w:p>
            <w:pPr>
              <w:spacing w:after="0"/>
              <w:rPr>
                <w:sz w:val="24"/>
                <w:szCs w:val="24"/>
                <w:color w:val="auto"/>
              </w:rPr>
            </w:pPr>
          </w:p>
        </w:tc>
        <w:tc>
          <w:tcPr>
            <w:tcW w:w="38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Global Head of Investor Relations</w:t>
      </w:r>
    </w:p>
    <w:p>
      <w:pPr>
        <w:spacing w:after="0" w:line="7" w:lineRule="exact"/>
        <w:rPr>
          <w:sz w:val="20"/>
          <w:szCs w:val="20"/>
          <w:color w:val="auto"/>
        </w:rPr>
      </w:pPr>
    </w:p>
    <w:p>
      <w:pPr>
        <w:ind w:left="4" w:right="9360" w:hanging="4"/>
        <w:spacing w:after="0" w:line="330" w:lineRule="auto"/>
        <w:tabs>
          <w:tab w:leader="none" w:pos="389" w:val="left"/>
        </w:tabs>
        <w:numPr>
          <w:ilvl w:val="0"/>
          <w:numId w:val="1"/>
        </w:numPr>
        <w:rPr>
          <w:rFonts w:ascii="Arial" w:cs="Arial" w:eastAsia="Arial" w:hAnsi="Arial"/>
          <w:sz w:val="14"/>
          <w:szCs w:val="14"/>
          <w:color w:val="auto"/>
        </w:rPr>
      </w:pPr>
      <w:r>
        <w:rPr>
          <w:rFonts w:ascii="Arial" w:cs="Arial" w:eastAsia="Arial" w:hAnsi="Arial"/>
          <w:sz w:val="14"/>
          <w:szCs w:val="14"/>
          <w:color w:val="auto"/>
        </w:rPr>
        <w:t>608-5882 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69975" cy="64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Second Quarter 2021 Results</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Revenue Increases 118% Year-Over-Year</w:t>
      </w:r>
    </w:p>
    <w:p>
      <w:pPr>
        <w:spacing w:after="0" w:line="186"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Second quarter revenue increased 118% year-over-year to $81.7 million, net of $6.6 million attributed to the non-cash impact of warrants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Second quarter GAAP operating profit of $6.1 million; Non-GAAP operating profit of $10.2 million, net of $6.6 million attributed to the non-cash impact of warrants</w:t>
      </w:r>
    </w:p>
    <w:p>
      <w:pPr>
        <w:spacing w:after="0" w:line="209"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geographic regions posted significant year-over-year and sequential growth; Americas and EMEA regions revenue more than doubled year-over-year</w:t>
      </w:r>
    </w:p>
    <w:p>
      <w:pPr>
        <w:spacing w:after="0" w:line="198"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Successfully completed beta testing and began shipments of Atlas Max; Very strong order backlog and positive customer feedback on increased productivity, unique XDi capabilities, and unparalleled print quality and durability</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Visibility, pipeline and confidence for the remainder of year and into next year have never been stronger</w:t>
      </w:r>
    </w:p>
    <w:p>
      <w:pPr>
        <w:spacing w:after="0" w:line="198"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Announced acquisition of Voxel8 accelerates execution of Kornit’s 4.0 strategy to digitize on-demand textile production; Significantly expands Company’s reach into existing and new lucrative markets</w:t>
      </w:r>
    </w:p>
    <w:p>
      <w:pPr>
        <w:spacing w:after="0" w:line="148" w:lineRule="exact"/>
        <w:rPr>
          <w:sz w:val="20"/>
          <w:szCs w:val="20"/>
          <w:color w:val="auto"/>
        </w:rPr>
      </w:pPr>
    </w:p>
    <w:p>
      <w:pPr>
        <w:jc w:val="both"/>
        <w:ind w:left="4"/>
        <w:spacing w:after="0" w:line="280" w:lineRule="auto"/>
        <w:rPr>
          <w:sz w:val="20"/>
          <w:szCs w:val="20"/>
          <w:color w:val="auto"/>
        </w:rPr>
      </w:pPr>
      <w:r>
        <w:rPr>
          <w:rFonts w:ascii="Arial" w:cs="Arial" w:eastAsia="Arial" w:hAnsi="Arial"/>
          <w:sz w:val="16"/>
          <w:szCs w:val="16"/>
          <w:b w:val="1"/>
          <w:bCs w:val="1"/>
          <w:color w:val="auto"/>
        </w:rPr>
        <w:t xml:space="preserve">Rosh-Ha’Ayin, Israel – August 10, 2021 – </w:t>
      </w:r>
      <w:r>
        <w:rPr>
          <w:rFonts w:ascii="Arial" w:cs="Arial" w:eastAsia="Arial" w:hAnsi="Arial"/>
          <w:sz w:val="16"/>
          <w:szCs w:val="16"/>
          <w:color w:val="auto"/>
        </w:rPr>
        <w:t>Kornit Digital Ltd. (NASDAQ: KRNT), a worldwide market leader in digital textile production technologies, reported results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second quarter ended June 30, 2021.</w:t>
      </w:r>
    </w:p>
    <w:p>
      <w:pPr>
        <w:spacing w:after="0" w:line="148" w:lineRule="exact"/>
        <w:rPr>
          <w:sz w:val="20"/>
          <w:szCs w:val="20"/>
          <w:color w:val="auto"/>
        </w:rPr>
      </w:pPr>
    </w:p>
    <w:p>
      <w:pPr>
        <w:jc w:val="both"/>
        <w:ind w:left="4"/>
        <w:spacing w:after="0" w:line="280" w:lineRule="auto"/>
        <w:rPr>
          <w:sz w:val="20"/>
          <w:szCs w:val="20"/>
          <w:color w:val="auto"/>
        </w:rPr>
      </w:pPr>
      <w:r>
        <w:rPr>
          <w:rFonts w:ascii="Arial" w:cs="Arial" w:eastAsia="Arial" w:hAnsi="Arial"/>
          <w:sz w:val="15"/>
          <w:szCs w:val="15"/>
          <w:color w:val="auto"/>
        </w:rPr>
        <w:t>“Our second quarter results capped off what was a remarkable first half of the year for Kornit,” said Ronen Samuel, Kornit Digital’s Chief Executive Officer. “The Company executed across the board, delivering on massive global expansion projects with top strategic customers and driving growth from new customers, both in the DTG and DTF product lines. We began shipping our Atlas Max mass production systems after very successful beta testing, and are seeing great momentum for KornitX, as evidenced by our recently announced partnership with Canva, the largest on-line design software and content provider in the world.”</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p>
      <w:pPr>
        <w:jc w:val="both"/>
        <w:ind w:left="4" w:right="20"/>
        <w:spacing w:after="0" w:line="280" w:lineRule="auto"/>
        <w:rPr>
          <w:sz w:val="20"/>
          <w:szCs w:val="20"/>
          <w:color w:val="auto"/>
        </w:rPr>
      </w:pPr>
      <w:r>
        <w:rPr>
          <w:rFonts w:ascii="Arial" w:cs="Arial" w:eastAsia="Arial" w:hAnsi="Arial"/>
          <w:sz w:val="15"/>
          <w:szCs w:val="15"/>
          <w:color w:val="auto"/>
        </w:rPr>
        <w:t>Mr. Samuel continued, “We are also pleased to announce our acquisition of Voxel8, which will help us accelerate the execution of our 4.0 strategy to digitize on-demand sustainable textile production. Through Voxel8’s advanced and proven 3D technology, which has been tested by some of the world’s leading fashion and footwear brands including Hush Puppies, which is part of Wolverine Worldwide, we will disrupt the business of fashion, empowering completely new creative decorative concepts and never-before-seen functional textile applications, while exploring new lucrative opportunities in the functional apparel and footwear markets.”</w:t>
      </w:r>
    </w:p>
    <w:p>
      <w:pPr>
        <w:spacing w:after="0" w:line="151"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Mr. Samuel concluded, “Our pipeline and visibility have never been stronger as the industry accelerates its digital transformation with Kornit leading the way. We are more confident than ever in our outlook for the remainder of this year and into next year, and believe we are well on our way to becoming the operating system for on demand sustainable fashion and a $1 billion revenue company in 2026.”</w:t>
      </w:r>
    </w:p>
    <w:p>
      <w:pPr>
        <w:spacing w:after="0" w:line="162" w:lineRule="exact"/>
        <w:rPr>
          <w:sz w:val="20"/>
          <w:szCs w:val="20"/>
          <w:color w:val="auto"/>
        </w:rPr>
      </w:pPr>
    </w:p>
    <w:p>
      <w:pPr>
        <w:ind w:left="4" w:right="180"/>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second quarter of 2021 and 2020, respectively: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380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Second Quarter Warrants Impact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3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35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40"/>
              <w:spacing w:after="0" w:line="175" w:lineRule="exact"/>
              <w:rPr>
                <w:sz w:val="20"/>
                <w:szCs w:val="20"/>
                <w:color w:val="auto"/>
              </w:rPr>
            </w:pPr>
            <w:r>
              <w:rPr>
                <w:rFonts w:ascii="Arial" w:cs="Arial" w:eastAsia="Arial" w:hAnsi="Arial"/>
                <w:sz w:val="16"/>
                <w:szCs w:val="16"/>
                <w:b w:val="1"/>
                <w:bCs w:val="1"/>
                <w:color w:val="auto"/>
                <w:w w:val="92"/>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540"/>
              <w:spacing w:after="0" w:line="175" w:lineRule="exact"/>
              <w:rPr>
                <w:sz w:val="20"/>
                <w:szCs w:val="20"/>
                <w:color w:val="auto"/>
              </w:rPr>
            </w:pPr>
            <w:r>
              <w:rPr>
                <w:rFonts w:ascii="Arial" w:cs="Arial" w:eastAsia="Arial" w:hAnsi="Arial"/>
                <w:sz w:val="16"/>
                <w:szCs w:val="16"/>
                <w:b w:val="1"/>
                <w:bCs w:val="1"/>
                <w:color w:val="auto"/>
                <w:w w:val="88"/>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3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Warrants</w:t>
            </w:r>
          </w:p>
        </w:tc>
        <w:tc>
          <w:tcPr>
            <w:tcW w:w="14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Warrants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Warrants</w:t>
            </w:r>
          </w:p>
        </w:tc>
        <w:tc>
          <w:tcPr>
            <w:tcW w:w="14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Impact</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Impact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Impact</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Impact</w:t>
            </w:r>
          </w:p>
        </w:tc>
      </w:tr>
      <w:tr>
        <w:trPr>
          <w:trHeight w:val="191"/>
        </w:trPr>
        <w:tc>
          <w:tcPr>
            <w:tcW w:w="3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81.7M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6.6M</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37.4M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0.8M</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Non-GAAP Gross Margin</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48.2%</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386bps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44.1%</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123bps</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652bps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235bps</w:t>
            </w:r>
          </w:p>
        </w:tc>
      </w:tr>
      <w:tr>
        <w:trPr>
          <w:trHeight w:val="191"/>
        </w:trPr>
        <w:tc>
          <w:tcPr>
            <w:tcW w:w="3500" w:type="dxa"/>
            <w:vAlign w:val="bottom"/>
          </w:tcPr>
          <w:p>
            <w:pPr>
              <w:spacing w:after="0"/>
              <w:rPr>
                <w:sz w:val="20"/>
                <w:szCs w:val="20"/>
                <w:color w:val="auto"/>
              </w:rPr>
            </w:pPr>
            <w:r>
              <w:rPr>
                <w:rFonts w:ascii="Arial" w:cs="Arial" w:eastAsia="Arial" w:hAnsi="Arial"/>
                <w:sz w:val="16"/>
                <w:szCs w:val="16"/>
                <w:color w:val="auto"/>
              </w:rPr>
              <w:t>Non-GAAP Net Margin</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649bps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228bps</w:t>
            </w:r>
          </w:p>
        </w:tc>
      </w:tr>
      <w:tr>
        <w:trPr>
          <w:trHeight w:val="19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0.02</w:t>
            </w:r>
          </w:p>
        </w:tc>
      </w:tr>
    </w:tbl>
    <w:p>
      <w:pPr>
        <w:spacing w:after="0" w:line="179"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“We are very pleased with our exceptionally strong second quarter results,” said Alon Rozner, Kornit Digital’s Chief Financial Officer. “All revenue components including mass production systems, consumables and services increased, due in part to continued momentum with our global strategic accounts, while all regions posted year-over-year and sequential growth. Our gross margin expansion was again driven by a favorable product mix shift, as well as continued profitability from our services business, while overall profitability benefited from our scale and operating leverage. We are very proud of our strong second quarter performance as it further validates our strategy and is a result of all the hard work and dedication of the entire Kornit team.”</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Second Quarter 2021 Results of Operations</w:t>
      </w:r>
    </w:p>
    <w:p>
      <w:pPr>
        <w:spacing w:after="0" w:line="202" w:lineRule="exact"/>
        <w:rPr>
          <w:sz w:val="20"/>
          <w:szCs w:val="20"/>
          <w:color w:val="auto"/>
        </w:rPr>
      </w:pPr>
    </w:p>
    <w:p>
      <w:pPr>
        <w:ind w:left="284" w:right="20" w:hanging="284"/>
        <w:spacing w:after="0" w:line="257"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for the second quarter of 2021 was $81.7 million, net of $6.6 million attributed to the non-cash impact of warrants, compared to $37.4 million, net of $0.8 million attributed to the non-cash impact of warrants in the prior year period.</w:t>
      </w:r>
    </w:p>
    <w:p>
      <w:pPr>
        <w:spacing w:after="0" w:line="1" w:lineRule="exact"/>
        <w:rPr>
          <w:rFonts w:ascii="Arial" w:cs="Arial" w:eastAsia="Arial" w:hAnsi="Arial"/>
          <w:sz w:val="16"/>
          <w:szCs w:val="16"/>
          <w:color w:val="auto"/>
        </w:rPr>
      </w:pPr>
    </w:p>
    <w:p>
      <w:pPr>
        <w:ind w:left="284" w:right="20" w:hanging="284"/>
        <w:spacing w:after="0" w:line="249"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net income for the second quarter of 2021 was $5.6 million, or $0.12 per diluted share, compared to net loss of $4.6 million, or $0.11 per basic share, for the second quarter of 2020.</w:t>
      </w:r>
    </w:p>
    <w:p>
      <w:pPr>
        <w:jc w:val="both"/>
        <w:ind w:left="284" w:right="20" w:hanging="284"/>
        <w:spacing w:after="0" w:line="254"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income for the second quarter of 2021 was $10.5 million, or $0.22 per diluted share, net of $0.13 per diluted share attributed to the non-cash impact of warrants, compared to non-GAAP net loss of $1.3 million, or $0.03 per basic share, net of $0.02 per diluted share attributed to the non-cash impact of warrants, for the second quarter of 2020.</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Third Quarter 2021 Guidance</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expects revenue for the third quarter to be in the range of $88 million to $92 million and non-GAAP operating income to be in the range of 12 % to 14 % of revenue. Consistent with past practice, this guidance excludes the impact of the fair value of issued warrants in the quarter.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Earnings Conference Call Information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question-and-answer session with the investment community. A live webcast of the call can be accessed at ir.kornit.com. To access the call, participants may dial toll-free at 1-877-407-0792 or +1-201-689-8263. The toll-free Israeli number is 1 809 406 247. The confirmation code is 13721628.</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13721628. The telephonic replay will be available beginning at 11:30 a.m. ET on Tuesday, August 10, 2021, until 11:59 p.m. ET on Tuesday, August 24, 2021. The call will also be available for replay via the webcast link on Kornit’s Investor Relations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and the degree of recovery from, the global COVID-19 pandemic, which could potentially impact once again,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2020, filed with the U.S. Securities and Exchange Commission, or SEC, on March 25, 2021. Any forward-looking statements in this press release are made as of the date hereof, whether as a result of new information, future events or otherwise, except as required by law.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and states worldwide.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r>
      <w:tr>
        <w:trPr>
          <w:trHeight w:val="212"/>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9"/>
        </w:trPr>
        <w:tc>
          <w:tcPr>
            <w:tcW w:w="6060" w:type="dxa"/>
            <w:vAlign w:val="bottom"/>
          </w:tcPr>
          <w:p>
            <w:pPr>
              <w:spacing w:after="0" w:line="179" w:lineRule="exact"/>
              <w:rPr>
                <w:sz w:val="20"/>
                <w:szCs w:val="20"/>
                <w:color w:val="auto"/>
              </w:rPr>
            </w:pPr>
            <w:r>
              <w:rPr>
                <w:rFonts w:ascii="Arial" w:cs="Arial" w:eastAsia="Arial" w:hAnsi="Arial"/>
                <w:sz w:val="16"/>
                <w:szCs w:val="16"/>
                <w:b w:val="1"/>
                <w:bCs w:val="1"/>
                <w:color w:val="auto"/>
              </w:rPr>
              <w:t>ASSETS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6"/>
                <w:szCs w:val="16"/>
                <w:color w:val="auto"/>
              </w:rPr>
              <w:t>CURRENT ASSETS:</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92,568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125,777</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Short-term bank deposit</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234,936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224,804</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29,280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13,718</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Trade receivables, net</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62,651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51,566</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Inventory</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52,553</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52,487</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Other accounts receivable and prepaid expenses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10,714</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9,178</w:t>
            </w:r>
          </w:p>
        </w:tc>
        <w:tc>
          <w:tcPr>
            <w:tcW w:w="100" w:type="dxa"/>
            <w:vAlign w:val="bottom"/>
          </w:tcPr>
          <w:p>
            <w:pPr>
              <w:spacing w:after="0"/>
              <w:rPr>
                <w:sz w:val="18"/>
                <w:szCs w:val="18"/>
                <w:color w:val="auto"/>
              </w:rPr>
            </w:pPr>
          </w:p>
        </w:tc>
      </w:tr>
      <w:tr>
        <w:trPr>
          <w:trHeight w:val="21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6060" w:type="dxa"/>
            <w:vAlign w:val="bottom"/>
          </w:tcPr>
          <w:p>
            <w:pPr>
              <w:spacing w:after="0" w:line="175" w:lineRule="exact"/>
              <w:rPr>
                <w:sz w:val="20"/>
                <w:szCs w:val="20"/>
                <w:color w:val="auto"/>
              </w:rPr>
            </w:pPr>
            <w:r>
              <w:rPr>
                <w:rFonts w:ascii="Arial" w:cs="Arial" w:eastAsia="Arial" w:hAnsi="Arial"/>
                <w:sz w:val="16"/>
                <w:szCs w:val="16"/>
                <w:color w:val="auto"/>
              </w:rPr>
              <w:t>LONG-TERM ASSETS: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85,039</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71,636</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Deposits and prepaid expenses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Severance pay fund</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335</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Deferred taxes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4,909</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5,096</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34,818</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29,255</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20,383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21,053</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6,399</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7,221</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Goodwill</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16,463</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16,466</w:t>
            </w:r>
          </w:p>
        </w:tc>
        <w:tc>
          <w:tcPr>
            <w:tcW w:w="100" w:type="dxa"/>
            <w:vAlign w:val="bottom"/>
          </w:tcPr>
          <w:p>
            <w:pPr>
              <w:spacing w:after="0"/>
              <w:rPr>
                <w:sz w:val="18"/>
                <w:szCs w:val="18"/>
                <w:color w:val="auto"/>
              </w:rPr>
            </w:pP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168,872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151,459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651,574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628,989</w:t>
            </w:r>
          </w:p>
        </w:tc>
        <w:tc>
          <w:tcPr>
            <w:tcW w:w="100" w:type="dxa"/>
            <w:vAlign w:val="bottom"/>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7"/>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CURRENT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32,016</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Employees and payroll accruals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15,980</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15,022</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revenues and advances from customers</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15,618</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27,019</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3,853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accrued expenses</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17,289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current liabilities</w:t>
            </w:r>
          </w:p>
        </w:tc>
        <w:tc>
          <w:tcPr>
            <w:tcW w:w="26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84,097</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89,627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LONG-TERM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Accrued severance pay</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1,261</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17,603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18,688</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1,243</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long-term liabilities</w:t>
            </w:r>
          </w:p>
        </w:tc>
        <w:tc>
          <w:tcPr>
            <w:tcW w:w="26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20,107</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20,345</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SHAREHOLDERS’ EQUITY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547,370</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519,017</w:t>
            </w:r>
          </w:p>
        </w:tc>
        <w:tc>
          <w:tcPr>
            <w:tcW w:w="100" w:type="dxa"/>
            <w:vAlign w:val="bottom"/>
          </w:tcPr>
          <w:p>
            <w:pPr>
              <w:spacing w:after="0"/>
              <w:rPr>
                <w:sz w:val="18"/>
                <w:szCs w:val="18"/>
                <w:color w:val="auto"/>
              </w:rPr>
            </w:pPr>
          </w:p>
        </w:tc>
      </w:tr>
      <w:tr>
        <w:trPr>
          <w:trHeight w:val="191"/>
        </w:trPr>
        <w:tc>
          <w:tcPr>
            <w:tcW w:w="60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606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2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651,574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628,989</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Six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87"/>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2"/>
              </w:rPr>
              <w:t>(Unaudited)</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130,122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54,246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72,176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31,859</w:t>
            </w: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17,667</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147,789</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63,648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81,666</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62,429</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27,086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34,254</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14,930</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16,368</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6,708</w:t>
            </w: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78,797</w:t>
            </w:r>
          </w:p>
        </w:tc>
        <w:tc>
          <w:tcPr>
            <w:tcW w:w="24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39,822</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43,084</w:t>
            </w:r>
          </w:p>
        </w:tc>
        <w:tc>
          <w:tcPr>
            <w:tcW w:w="2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21,638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68,992</w:t>
            </w: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38,582</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Research and development, net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19,243</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13,524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9,799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7,041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24,879</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16,788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13,830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8,291</w:t>
            </w: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15,689</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59,811</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32,510</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9,181</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(18,350)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6,072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net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2,416</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Income (loss) before taxes on income (tax benefit)</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11,597</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(15,553)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6,423</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(4,736)</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Taxes on income (Tax benefit)</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896</w:t>
            </w:r>
          </w:p>
        </w:tc>
        <w:tc>
          <w:tcPr>
            <w:tcW w:w="3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821</w:t>
            </w: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10,701</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(14,626</w:t>
            </w: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0.23</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w w:val="94"/>
              </w:rPr>
              <w:t>Weighted average number of shares used in computing basic earnings (losses) per share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46,119,416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40,817,593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46,196,720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40,872,497</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(0.36</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w w:val="92"/>
              </w:rPr>
              <w:t>Weighted average number of shares used in computing diluted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47,709,429</w:t>
            </w: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40,817,593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47,849,783</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40,872,497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RECONCILATION OF GAAP TO NON-GAAP CONSOLIDATED STATEMENTS OF OPERATIONS</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xml:space="preserve">(U.S. </w:t>
      </w:r>
      <w:r>
        <w:rPr>
          <w:rFonts w:ascii="Arial" w:cs="Arial" w:eastAsia="Arial" w:hAnsi="Arial"/>
          <w:sz w:val="16"/>
          <w:szCs w:val="16"/>
          <w:b w:val="1"/>
          <w:bCs w:val="1"/>
          <w:color w:val="auto"/>
        </w:rPr>
        <w:t>dollars in thousands, except share and per share data)</w:t>
      </w:r>
    </w:p>
    <w:p>
      <w:pPr>
        <w:sectPr>
          <w:pgSz w:w="11900" w:h="16838" w:orient="portrait"/>
          <w:cols w:equalWidth="0" w:num="1">
            <w:col w:w="11264"/>
          </w:cols>
          <w:pgMar w:left="316" w:top="816" w:right="319" w:bottom="5" w:gutter="0" w:footer="0" w:header="0"/>
        </w:sectPr>
      </w:pPr>
    </w:p>
    <w:p>
      <w:pPr>
        <w:spacing w:after="0" w:line="182" w:lineRule="exact"/>
        <w:rPr>
          <w:sz w:val="20"/>
          <w:szCs w:val="20"/>
          <w:color w:val="auto"/>
        </w:rPr>
      </w:pPr>
    </w:p>
    <w:p>
      <w:pPr>
        <w:ind w:left="6584"/>
        <w:spacing w:after="0"/>
        <w:rPr>
          <w:sz w:val="20"/>
          <w:szCs w:val="20"/>
          <w:color w:val="auto"/>
        </w:rPr>
      </w:pPr>
      <w:r>
        <w:rPr>
          <w:rFonts w:ascii="Arial" w:cs="Arial" w:eastAsia="Arial" w:hAnsi="Arial"/>
          <w:sz w:val="16"/>
          <w:szCs w:val="16"/>
          <w:b w:val="1"/>
          <w:bCs w:val="1"/>
          <w:color w:val="auto"/>
        </w:rPr>
        <w:t>Six Months Ended</w:t>
      </w:r>
    </w:p>
    <w:p>
      <w:pPr>
        <w:spacing w:after="0" w:line="24" w:lineRule="exact"/>
        <w:rPr>
          <w:sz w:val="20"/>
          <w:szCs w:val="20"/>
          <w:color w:val="auto"/>
        </w:rPr>
      </w:pPr>
    </w:p>
    <w:p>
      <w:pPr>
        <w:ind w:left="6944"/>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4445</wp:posOffset>
            </wp:positionV>
            <wp:extent cx="159321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6" w:lineRule="exact"/>
        <w:rPr>
          <w:sz w:val="20"/>
          <w:szCs w:val="20"/>
          <w:color w:val="auto"/>
        </w:rPr>
      </w:pPr>
    </w:p>
    <w:p>
      <w:pPr>
        <w:ind w:left="6384"/>
        <w:spacing w:after="0"/>
        <w:tabs>
          <w:tab w:leader="none" w:pos="7744"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29845</wp:posOffset>
            </wp:positionV>
            <wp:extent cx="159321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824"/>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15240</wp:posOffset>
            </wp:positionV>
            <wp:extent cx="159321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4445</wp:posOffset>
            </wp:positionV>
            <wp:extent cx="15481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6"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36830</wp:posOffset>
            </wp:positionV>
            <wp:extent cx="15481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15481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84" w:space="720"/>
            <w:col w:w="2160"/>
          </w:cols>
          <w:pgMar w:left="316" w:top="816" w:right="319" w:bottom="5" w:gutter="0" w:footer="0" w:header="0"/>
          <w:type w:val="continuous"/>
        </w:sectPr>
      </w:pPr>
    </w:p>
    <w:p>
      <w:pPr>
        <w:spacing w:after="0" w:line="39"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78,797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39,822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43,084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21,638</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(619)</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(499</w:t>
            </w:r>
            <w:r>
              <w:rPr>
                <w:rFonts w:ascii="Arial" w:cs="Arial" w:eastAsia="Arial" w:hAnsi="Arial"/>
                <w:sz w:val="16"/>
                <w:szCs w:val="16"/>
                <w:b w:val="1"/>
                <w:bCs w:val="1"/>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on cost of product (2)</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on cost of service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COVID-19 one time impact (3)</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cost of 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77,309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42,313</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20,924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68,992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23,826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38,582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15,798</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Gross profit adjustments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1,488</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771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70,480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25,173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39,353</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16,512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expenses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59,811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42,176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32,510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21,126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(5,781)</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(3,241)</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COVID-19 one time impact (3)</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53,792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38,215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29,150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19,055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Financial income, net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2,416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Foreign exchange gain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(415)</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387</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Financial income,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Taxes on income (Tax benefit)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165</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 (a)</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(586)</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Taxes on income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475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vMerge w:val="continue"/>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457</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59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10,701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(14,626)</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5,602</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(4,572)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6,899</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608</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304</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COVID-19 one time impact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Foreign exchange gain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(415)</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387</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Deferred taxes on income (Tax benefit) (a)</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586</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338</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18,214</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14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10,484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(0.36</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(0.03</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47,709,429</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40,817,593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47,849,783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40,872,497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47,941,113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40,817,593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48,189,266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40,872,497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42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619</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499</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1"/>
        </w:trPr>
        <w:tc>
          <w:tcPr>
            <w:tcW w:w="598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1,071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569</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2,333</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07"/>
        </w:trPr>
        <w:tc>
          <w:tcPr>
            <w:tcW w:w="5980" w:type="dxa"/>
            <w:vAlign w:val="bottom"/>
          </w:tcPr>
          <w:p>
            <w:pPr>
              <w:ind w:left="42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2,377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Intangible assets amortization</w:t>
      </w: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5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420"/>
              <w:spacing w:after="0"/>
              <w:rPr>
                <w:sz w:val="20"/>
                <w:szCs w:val="20"/>
                <w:color w:val="auto"/>
              </w:rPr>
            </w:pPr>
            <w:r>
              <w:rPr>
                <w:rFonts w:ascii="Arial" w:cs="Arial" w:eastAsia="Arial" w:hAnsi="Arial"/>
                <w:sz w:val="16"/>
                <w:szCs w:val="16"/>
                <w:color w:val="auto"/>
              </w:rPr>
              <w:t>Cost of service revenues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320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160</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223"/>
        </w:trPr>
        <w:tc>
          <w:tcPr>
            <w:tcW w:w="5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w:t>
            </w:r>
          </w:p>
        </w:tc>
      </w:tr>
      <w:tr>
        <w:trPr>
          <w:trHeight w:val="188"/>
        </w:trPr>
        <w:tc>
          <w:tcPr>
            <w:tcW w:w="598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819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COVID-19 one time impact</w:t>
      </w:r>
    </w:p>
    <w:p>
      <w:pPr>
        <w:spacing w:after="0" w:line="19"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980" w:type="dxa"/>
            <w:vAlign w:val="bottom"/>
          </w:tcPr>
          <w:p>
            <w:pPr>
              <w:ind w:left="42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453</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209</w:t>
            </w:r>
          </w:p>
        </w:tc>
      </w:tr>
      <w:tr>
        <w:trPr>
          <w:trHeight w:val="191"/>
        </w:trPr>
        <w:tc>
          <w:tcPr>
            <w:tcW w:w="5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service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1"/>
        </w:trPr>
        <w:tc>
          <w:tcPr>
            <w:tcW w:w="598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(57)</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r>
      <w:tr>
        <w:trPr>
          <w:trHeight w:val="191"/>
        </w:trPr>
        <w:tc>
          <w:tcPr>
            <w:tcW w:w="5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r>
      <w:tr>
        <w:trPr>
          <w:trHeight w:val="207"/>
        </w:trPr>
        <w:tc>
          <w:tcPr>
            <w:tcW w:w="5980" w:type="dxa"/>
            <w:vAlign w:val="bottom"/>
          </w:tcPr>
          <w:p>
            <w:pPr>
              <w:ind w:left="420"/>
              <w:spacing w:after="0"/>
              <w:rPr>
                <w:sz w:val="20"/>
                <w:szCs w:val="20"/>
                <w:color w:val="auto"/>
              </w:rPr>
            </w:pPr>
            <w:r>
              <w:rPr>
                <w:rFonts w:ascii="Arial" w:cs="Arial" w:eastAsia="Arial" w:hAnsi="Arial"/>
                <w:sz w:val="16"/>
                <w:szCs w:val="16"/>
                <w:color w:val="auto"/>
              </w:rPr>
              <w:t>General and administrative</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2"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5"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(U.S. </w:t>
      </w:r>
      <w:r>
        <w:rPr>
          <w:rFonts w:ascii="Arial" w:cs="Arial" w:eastAsia="Arial" w:hAnsi="Arial"/>
          <w:sz w:val="16"/>
          <w:szCs w:val="16"/>
          <w:b w:val="1"/>
          <w:bCs w:val="1"/>
          <w:color w:val="auto"/>
        </w:rPr>
        <w:t>dollars in thousands)</w:t>
      </w:r>
    </w:p>
    <w:p>
      <w:pPr>
        <w:sectPr>
          <w:pgSz w:w="11900" w:h="16838" w:orient="portrait"/>
          <w:cols w:equalWidth="0" w:num="1">
            <w:col w:w="11260"/>
          </w:cols>
          <w:pgMar w:left="320" w:top="816" w:right="319" w:bottom="1440" w:gutter="0" w:footer="0" w:header="0"/>
        </w:sectPr>
      </w:pPr>
    </w:p>
    <w:p>
      <w:pPr>
        <w:spacing w:after="0" w:line="182"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Six Months Ended</w:t>
      </w:r>
    </w:p>
    <w:p>
      <w:pPr>
        <w:spacing w:after="0" w:line="24"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66941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669415" cy="15240"/>
                    </a:xfrm>
                    <a:prstGeom prst="rect">
                      <a:avLst/>
                    </a:prstGeom>
                    <a:noFill/>
                  </pic:spPr>
                </pic:pic>
              </a:graphicData>
            </a:graphic>
          </wp:anchor>
        </w:drawing>
      </w:r>
    </w:p>
    <w:p>
      <w:pPr>
        <w:spacing w:after="0" w:line="18" w:lineRule="exact"/>
        <w:rPr>
          <w:sz w:val="20"/>
          <w:szCs w:val="20"/>
          <w:color w:val="auto"/>
        </w:rPr>
      </w:pPr>
    </w:p>
    <w:p>
      <w:pPr>
        <w:ind w:left="6380"/>
        <w:spacing w:after="0"/>
        <w:tabs>
          <w:tab w:leader="none" w:pos="7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29845</wp:posOffset>
            </wp:positionV>
            <wp:extent cx="159321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159321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8"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36830</wp:posOffset>
            </wp:positionV>
            <wp:extent cx="15481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15481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8380" w:space="720"/>
            <w:col w:w="2160"/>
          </w:cols>
          <w:pgMar w:left="320" w:top="816" w:right="31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Cash flows from operating activities:</w:t>
            </w:r>
          </w:p>
        </w:tc>
        <w:tc>
          <w:tcPr>
            <w:tcW w:w="3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10,701</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(14,626)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(4,572)</w:t>
            </w: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w w:val="96"/>
              </w:rPr>
              <w:t>Adjustments to reconcile net income to net cash provided by operating activities: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3,035</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Fair value of warrants deducted from revenues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9,711</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6,572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6,899</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w w:val="92"/>
              </w:rPr>
              <w:t>Amortization of premium and accretion of discount on marketable securities, net</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(1,298)</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(481)</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Realized gain on sale of marketable securities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rPr>
              <w:t>Change in operating assets and liabilities: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Trade receivables, net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(11,085)</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(6,769)</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Other accounts receivables and prepaid expenses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(1,513)</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(3,063)</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(526)</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(5,205)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4,298</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Operating leases right-of-use assets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(104)</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245</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Deposits and long-term assets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(131)</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(121)</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Trade payables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(2,417)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(9,891</w:t>
            </w: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Operating lease liabilities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(415)</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385</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Employees and payroll accruals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2,104</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Deferred revenues and advances from customers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(11,401)</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(8,029)</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Other payables and accrued expenses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5,676</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91"/>
        </w:trPr>
        <w:tc>
          <w:tcPr>
            <w:tcW w:w="5500" w:type="dxa"/>
            <w:vAlign w:val="bottom"/>
            <w:gridSpan w:val="3"/>
          </w:tcPr>
          <w:p>
            <w:pPr>
              <w:ind w:left="280"/>
              <w:spacing w:after="0"/>
              <w:rPr>
                <w:sz w:val="20"/>
                <w:szCs w:val="20"/>
                <w:color w:val="auto"/>
              </w:rPr>
            </w:pPr>
            <w:r>
              <w:rPr>
                <w:rFonts w:ascii="Arial" w:cs="Arial" w:eastAsia="Arial" w:hAnsi="Arial"/>
                <w:sz w:val="16"/>
                <w:szCs w:val="16"/>
                <w:color w:val="auto"/>
              </w:rPr>
              <w:t>Accrued severance pay, net</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49</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800</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rPr>
              <w:t>Loss from sale and disposal of property and Equipment</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00" w:type="dxa"/>
            <w:vAlign w:val="bottom"/>
            <w:gridSpan w:val="3"/>
            <w:shd w:val="clear" w:color="auto" w:fill="CCEEFF"/>
          </w:tcPr>
          <w:p>
            <w:pPr>
              <w:spacing w:after="0" w:line="179" w:lineRule="exact"/>
              <w:rPr>
                <w:sz w:val="20"/>
                <w:szCs w:val="20"/>
                <w:color w:val="auto"/>
              </w:rPr>
            </w:pPr>
            <w:r>
              <w:rPr>
                <w:rFonts w:ascii="Arial" w:cs="Arial" w:eastAsia="Arial" w:hAnsi="Arial"/>
                <w:sz w:val="16"/>
                <w:szCs w:val="16"/>
                <w:color w:val="auto"/>
                <w:w w:val="94"/>
              </w:rPr>
              <w:t>Foreign currency translation income (loss) on inter company balances with foreign</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subsidiaries</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10,330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(22,332)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(9,209)</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0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(5,555)</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(8,511)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(2,988</w:t>
            </w:r>
            <w:r>
              <w:rPr>
                <w:rFonts w:ascii="Arial" w:cs="Arial" w:eastAsia="Arial" w:hAnsi="Arial"/>
                <w:sz w:val="16"/>
                <w:szCs w:val="16"/>
                <w:b w:val="1"/>
                <w:bCs w:val="1"/>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(4,936)</w:t>
            </w: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w w:val="96"/>
              </w:rPr>
              <w:t>Acquisition of intangible assets and capitalization of software development costs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property, plant and equipment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rPr>
              <w:t>Investment in short-term bank deposits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(10,132)</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15,196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8,723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2,050</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20,802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17,445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5,343</w:t>
            </w:r>
          </w:p>
        </w:tc>
        <w:tc>
          <w:tcPr>
            <w:tcW w:w="0" w:type="dxa"/>
            <w:vAlign w:val="bottom"/>
          </w:tcPr>
          <w:p>
            <w:pPr>
              <w:spacing w:after="0"/>
              <w:rPr>
                <w:sz w:val="1"/>
                <w:szCs w:val="1"/>
                <w:color w:val="auto"/>
              </w:rPr>
            </w:pPr>
          </w:p>
        </w:tc>
      </w:tr>
      <w:tr>
        <w:trPr>
          <w:trHeight w:val="207"/>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(30,510)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(18,542)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(15,220)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(9,801)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(44,147)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26,273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(7,435)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(8,088</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0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1,754</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07"/>
        </w:trPr>
        <w:tc>
          <w:tcPr>
            <w:tcW w:w="5500" w:type="dxa"/>
            <w:vAlign w:val="bottom"/>
            <w:gridSpan w:val="3"/>
          </w:tcPr>
          <w:p>
            <w:pPr>
              <w:spacing w:after="0"/>
              <w:rPr>
                <w:sz w:val="20"/>
                <w:szCs w:val="20"/>
                <w:color w:val="auto"/>
              </w:rPr>
            </w:pPr>
            <w:r>
              <w:rPr>
                <w:rFonts w:ascii="Arial" w:cs="Arial" w:eastAsia="Arial" w:hAnsi="Arial"/>
                <w:sz w:val="16"/>
                <w:szCs w:val="16"/>
                <w:color w:val="auto"/>
              </w:rPr>
              <w:t>Payments related to shares withheld for taxes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(1,146)</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(458)</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gridSpan w:val="3"/>
          </w:tcPr>
          <w:p>
            <w:pPr>
              <w:spacing w:after="0"/>
              <w:rPr>
                <w:sz w:val="20"/>
                <w:szCs w:val="20"/>
                <w:color w:val="auto"/>
              </w:rPr>
            </w:pPr>
            <w:r>
              <w:rPr>
                <w:rFonts w:ascii="Arial" w:cs="Arial" w:eastAsia="Arial" w:hAnsi="Arial"/>
                <w:sz w:val="16"/>
                <w:szCs w:val="16"/>
                <w:color w:val="auto"/>
              </w:rPr>
              <w:t>Net cash provided by (used in) financing activities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608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621</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gridSpan w:val="3"/>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4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(33,209)</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gridSpan w:val="3"/>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125,777</w:t>
            </w: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40,743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94,171</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63,477</w:t>
            </w:r>
          </w:p>
        </w:tc>
        <w:tc>
          <w:tcPr>
            <w:tcW w:w="0" w:type="dxa"/>
            <w:vAlign w:val="bottom"/>
          </w:tcPr>
          <w:p>
            <w:pPr>
              <w:spacing w:after="0"/>
              <w:rPr>
                <w:sz w:val="1"/>
                <w:szCs w:val="1"/>
                <w:color w:val="auto"/>
              </w:rPr>
            </w:pPr>
          </w:p>
        </w:tc>
      </w:tr>
      <w:tr>
        <w:trPr>
          <w:trHeight w:val="24"/>
        </w:trPr>
        <w:tc>
          <w:tcPr>
            <w:tcW w:w="550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period</w:t>
            </w:r>
          </w:p>
        </w:tc>
        <w:tc>
          <w:tcPr>
            <w:tcW w:w="4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gridSpan w:val="3"/>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92,568</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47,448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92,568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47,448</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and equipment on credit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2,678</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463</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Property and equipment transferred to be used as inventory</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tcPr>
          <w:p>
            <w:pPr>
              <w:spacing w:after="0"/>
              <w:rPr>
                <w:sz w:val="20"/>
                <w:szCs w:val="20"/>
                <w:color w:val="auto"/>
              </w:rPr>
            </w:pPr>
            <w:r>
              <w:rPr>
                <w:rFonts w:ascii="Arial" w:cs="Arial" w:eastAsia="Arial" w:hAnsi="Arial"/>
                <w:sz w:val="16"/>
                <w:szCs w:val="16"/>
                <w:color w:val="auto"/>
              </w:rPr>
              <w:t>Receipt on account of shares</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1,296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577"/>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type w:val="continuous"/>
        </w:sectPr>
      </w:pPr>
    </w:p>
    <w:bookmarkStart w:id="12" w:name="page13"/>
    <w:bookmarkEnd w:id="12"/>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27940</wp:posOffset>
            </wp:positionV>
            <wp:extent cx="7203440" cy="5850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6242685</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92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3440" cy="5592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jpe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2021-08-10T06:07:27Z</dcterms:created>
  <dcterms:modified xsi:type="dcterms:W3CDTF">2021-08-10T06:07:27Z</dcterms:modified>
</cp:coreProperties>
</file>