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FORM 6-K</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OR 15d-16 OF</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THE SECURITIES EXCHANGE ACT OF 1934</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For the month of </w:t>
      </w:r>
      <w:r>
        <w:rPr>
          <w:rFonts w:ascii="Arial" w:cs="Arial" w:eastAsia="Arial" w:hAnsi="Arial"/>
          <w:sz w:val="16"/>
          <w:szCs w:val="16"/>
          <w:b w:val="1"/>
          <w:bCs w:val="1"/>
          <w:color w:val="auto"/>
        </w:rPr>
        <w:t>November 2022</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001-36903</w:t>
      </w:r>
    </w:p>
    <w:p>
      <w:pPr>
        <w:spacing w:after="0" w:line="190"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KORNIT DIGITAL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12 Ha’Amal Street</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w:t>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80" w:lineRule="exact"/>
        <w:rPr>
          <w:sz w:val="24"/>
          <w:szCs w:val="24"/>
          <w:color w:val="auto"/>
        </w:rPr>
      </w:pPr>
    </w:p>
    <w:p>
      <w:pPr>
        <w:ind w:left="4660"/>
        <w:spacing w:after="0" w:line="184" w:lineRule="exact"/>
        <w:tabs>
          <w:tab w:leader="none" w:pos="5700" w:val="left"/>
        </w:tabs>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Form 40-F </w:t>
      </w:r>
      <w:r>
        <w:rPr>
          <w:rFonts w:ascii="MS PGothic" w:cs="MS PGothic" w:eastAsia="MS PGothic" w:hAnsi="MS PGothic"/>
          <w:sz w:val="14"/>
          <w:szCs w:val="14"/>
          <w:color w:val="auto"/>
        </w:rPr>
        <w:t>☐</w:t>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101(b)(1):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101(b)(7):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569595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7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CONTENTS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 and Financial Condition- Third Quarter of 2022</w:t>
      </w:r>
    </w:p>
    <w:p>
      <w:pPr>
        <w:spacing w:after="0" w:line="194" w:lineRule="exact"/>
        <w:rPr>
          <w:sz w:val="20"/>
          <w:szCs w:val="20"/>
          <w:color w:val="auto"/>
        </w:rPr>
      </w:pPr>
    </w:p>
    <w:p>
      <w:pPr>
        <w:jc w:val="both"/>
        <w:ind w:right="20" w:firstLine="565"/>
        <w:spacing w:after="0" w:line="315" w:lineRule="auto"/>
        <w:rPr>
          <w:sz w:val="20"/>
          <w:szCs w:val="20"/>
          <w:color w:val="auto"/>
        </w:rPr>
      </w:pPr>
      <w:r>
        <w:rPr>
          <w:rFonts w:ascii="Arial" w:cs="Arial" w:eastAsia="Arial" w:hAnsi="Arial"/>
          <w:sz w:val="15"/>
          <w:szCs w:val="15"/>
          <w:color w:val="auto"/>
        </w:rPr>
        <w:t>On November 9, 2022, Kornit Digital Ltd. (“</w:t>
      </w:r>
      <w:r>
        <w:rPr>
          <w:rFonts w:ascii="Arial" w:cs="Arial" w:eastAsia="Arial" w:hAnsi="Arial"/>
          <w:sz w:val="15"/>
          <w:szCs w:val="15"/>
          <w:b w:val="1"/>
          <w:bCs w:val="1"/>
          <w:color w:val="auto"/>
        </w:rPr>
        <w:t>Kornit</w:t>
      </w:r>
      <w:r>
        <w:rPr>
          <w:rFonts w:ascii="Arial" w:cs="Arial" w:eastAsia="Arial" w:hAnsi="Arial"/>
          <w:sz w:val="15"/>
          <w:szCs w:val="15"/>
          <w:color w:val="auto"/>
        </w:rPr>
        <w:t>”) issued a press release entitled “Kornit Digital Reports Second Quarter 2022 Results,” in which Kornit reported its results of operations for the quarter and nine months ended September 30, 2022. A copy of that press release is furnished as Exhibit 99.1 hereto.</w:t>
      </w:r>
    </w:p>
    <w:p>
      <w:pPr>
        <w:spacing w:after="0" w:line="125" w:lineRule="exact"/>
        <w:rPr>
          <w:sz w:val="20"/>
          <w:szCs w:val="20"/>
          <w:color w:val="auto"/>
        </w:rPr>
      </w:pPr>
    </w:p>
    <w:p>
      <w:pPr>
        <w:jc w:val="both"/>
        <w:ind w:firstLine="565"/>
        <w:spacing w:after="0" w:line="262" w:lineRule="auto"/>
        <w:rPr>
          <w:sz w:val="20"/>
          <w:szCs w:val="20"/>
          <w:color w:val="auto"/>
        </w:rPr>
      </w:pPr>
      <w:r>
        <w:rPr>
          <w:rFonts w:ascii="Arial" w:cs="Arial" w:eastAsia="Arial" w:hAnsi="Arial"/>
          <w:sz w:val="16"/>
          <w:szCs w:val="16"/>
          <w:color w:val="auto"/>
        </w:rPr>
        <w:t xml:space="preserve">Kornit is holding a conference call on November 9, 2022 to discuss its quarterly results for the quarter ended September30, 2022 and will make available to its investors a slide presentation to provide additional information regarding its business and its financial results. That slide presentation is attached as </w:t>
      </w:r>
      <w:r>
        <w:rPr>
          <w:rFonts w:ascii="Arial" w:cs="Arial" w:eastAsia="Arial" w:hAnsi="Arial"/>
          <w:sz w:val="16"/>
          <w:szCs w:val="16"/>
          <w:u w:val="single" w:color="auto"/>
          <w:color w:val="auto"/>
        </w:rPr>
        <w:t>Exhibit 99.2</w:t>
      </w:r>
      <w:r>
        <w:rPr>
          <w:rFonts w:ascii="Arial" w:cs="Arial" w:eastAsia="Arial" w:hAnsi="Arial"/>
          <w:sz w:val="16"/>
          <w:szCs w:val="16"/>
          <w:color w:val="auto"/>
        </w:rPr>
        <w:t xml:space="preserve"> to this Report of Foreign Private Issuer on Form 6-K (this “</w:t>
      </w:r>
      <w:r>
        <w:rPr>
          <w:rFonts w:ascii="Arial" w:cs="Arial" w:eastAsia="Arial" w:hAnsi="Arial"/>
          <w:sz w:val="16"/>
          <w:szCs w:val="16"/>
          <w:b w:val="1"/>
          <w:bCs w:val="1"/>
          <w:color w:val="auto"/>
        </w:rPr>
        <w:t>Form 6-K</w:t>
      </w:r>
      <w:r>
        <w:rPr>
          <w:rFonts w:ascii="Arial" w:cs="Arial" w:eastAsia="Arial" w:hAnsi="Arial"/>
          <w:sz w:val="16"/>
          <w:szCs w:val="16"/>
          <w:color w:val="auto"/>
        </w:rPr>
        <w:t>”) and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Incorporation by Reference</w:t>
      </w:r>
    </w:p>
    <w:p>
      <w:pPr>
        <w:spacing w:after="0" w:line="198" w:lineRule="exact"/>
        <w:rPr>
          <w:sz w:val="20"/>
          <w:szCs w:val="20"/>
          <w:color w:val="auto"/>
        </w:rPr>
      </w:pPr>
    </w:p>
    <w:p>
      <w:pPr>
        <w:jc w:val="both"/>
        <w:ind w:firstLine="565"/>
        <w:spacing w:after="0" w:line="258" w:lineRule="auto"/>
        <w:rPr>
          <w:rFonts w:ascii="Arial" w:cs="Arial" w:eastAsia="Arial" w:hAnsi="Arial"/>
          <w:sz w:val="16"/>
          <w:szCs w:val="16"/>
          <w:color w:val="0000EE"/>
        </w:rPr>
      </w:pPr>
      <w:r>
        <w:rPr>
          <w:rFonts w:ascii="Arial" w:cs="Arial" w:eastAsia="Arial" w:hAnsi="Arial"/>
          <w:sz w:val="16"/>
          <w:szCs w:val="16"/>
          <w:color w:val="auto"/>
        </w:rPr>
        <w:t xml:space="preserve">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w:t>
      </w:r>
      <w:hyperlink r:id="rId13">
        <w:r>
          <w:rPr>
            <w:rFonts w:ascii="Arial" w:cs="Arial" w:eastAsia="Arial" w:hAnsi="Arial"/>
            <w:sz w:val="16"/>
            <w:szCs w:val="16"/>
            <w:color w:val="auto"/>
          </w:rPr>
          <w:t xml:space="preserve">Registration Statements on Form F-3 (File No. </w:t>
        </w:r>
        <w:r>
          <w:rPr>
            <w:rFonts w:ascii="Arial" w:cs="Arial" w:eastAsia="Arial" w:hAnsi="Arial"/>
            <w:sz w:val="16"/>
            <w:szCs w:val="16"/>
            <w:u w:val="single" w:color="auto"/>
            <w:color w:val="0000EE"/>
          </w:rPr>
          <w:t>333-248784</w:t>
        </w:r>
        <w:r>
          <w:rPr>
            <w:rFonts w:ascii="Arial" w:cs="Arial" w:eastAsia="Arial" w:hAnsi="Arial"/>
            <w:sz w:val="16"/>
            <w:szCs w:val="16"/>
            <w:color w:val="auto"/>
          </w:rPr>
          <w:t xml:space="preserve">) and Form S-8 (File No.’s </w:t>
        </w:r>
        <w:r>
          <w:rPr>
            <w:rFonts w:ascii="Arial" w:cs="Arial" w:eastAsia="Arial" w:hAnsi="Arial"/>
            <w:sz w:val="16"/>
            <w:szCs w:val="16"/>
            <w:u w:val="single" w:color="auto"/>
            <w:color w:val="0000EE"/>
          </w:rPr>
          <w:t>333-203970</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333-214015</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333-217039</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333-223794</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333-230567</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333-237346</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w:t>
        </w:r>
      </w:hyperlink>
      <w:hyperlink r:id="rId13">
        <w:r>
          <w:rPr>
            <w:rFonts w:ascii="Arial" w:cs="Arial" w:eastAsia="Arial" w:hAnsi="Arial"/>
            <w:sz w:val="16"/>
            <w:szCs w:val="16"/>
            <w:u w:val="single" w:color="auto"/>
            <w:color w:val="0000EE"/>
          </w:rPr>
          <w:t>254749</w:t>
        </w:r>
        <w:r>
          <w:rPr>
            <w:rFonts w:ascii="Arial" w:cs="Arial" w:eastAsia="Arial" w:hAnsi="Arial"/>
            <w:sz w:val="16"/>
            <w:szCs w:val="16"/>
            <w:color w:val="000000"/>
          </w:rPr>
          <w:t>, and</w:t>
        </w:r>
        <w:r>
          <w:rPr>
            <w:rFonts w:ascii="Arial" w:cs="Arial" w:eastAsia="Arial" w:hAnsi="Arial"/>
            <w:sz w:val="16"/>
            <w:szCs w:val="16"/>
            <w:color w:val="0000EE"/>
          </w:rPr>
          <w:t xml:space="preserve"> </w:t>
        </w:r>
      </w:hyperlink>
      <w:hyperlink r:id="rId14">
        <w:r>
          <w:rPr>
            <w:rFonts w:ascii="Arial" w:cs="Arial" w:eastAsia="Arial" w:hAnsi="Arial"/>
            <w:sz w:val="16"/>
            <w:szCs w:val="16"/>
            <w:u w:val="single" w:color="auto"/>
            <w:color w:val="0000EE"/>
          </w:rPr>
          <w:t>333-263975</w:t>
        </w:r>
      </w:hyperlink>
      <w:hyperlink r:id="rId13">
        <w:r>
          <w:rPr>
            <w:rFonts w:ascii="Arial" w:cs="Arial" w:eastAsia="Arial" w:hAnsi="Arial"/>
            <w:sz w:val="16"/>
            <w:szCs w:val="16"/>
            <w:color w:val="000000"/>
          </w:rPr>
          <w:t>).</w:t>
        </w:r>
      </w:hyperlink>
    </w:p>
    <w:p>
      <w:pPr>
        <w:spacing w:after="0" w:line="356" w:lineRule="exact"/>
        <w:rPr>
          <w:rFonts w:ascii="Arial" w:cs="Arial" w:eastAsia="Arial" w:hAnsi="Arial"/>
          <w:sz w:val="16"/>
          <w:szCs w:val="16"/>
          <w:color w:val="0000EE"/>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right="20" w:firstLine="565"/>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7680" w:type="dxa"/>
            <w:vAlign w:val="bottom"/>
            <w:gridSpan w:val="3"/>
          </w:tcPr>
          <w:p>
            <w:pPr>
              <w:ind w:left="3180"/>
              <w:spacing w:after="0"/>
              <w:rPr>
                <w:sz w:val="20"/>
                <w:szCs w:val="20"/>
                <w:color w:val="auto"/>
              </w:rPr>
            </w:pPr>
            <w:r>
              <w:rPr>
                <w:rFonts w:ascii="Arial" w:cs="Arial" w:eastAsia="Arial" w:hAnsi="Arial"/>
                <w:sz w:val="16"/>
                <w:szCs w:val="16"/>
                <w:color w:val="auto"/>
              </w:rPr>
              <w:t>KORNIT DIGITAL LTD.</w:t>
            </w:r>
          </w:p>
        </w:tc>
        <w:tc>
          <w:tcPr>
            <w:tcW w:w="0" w:type="dxa"/>
            <w:vAlign w:val="bottom"/>
          </w:tcPr>
          <w:p>
            <w:pPr>
              <w:spacing w:after="0"/>
              <w:rPr>
                <w:sz w:val="1"/>
                <w:szCs w:val="1"/>
                <w:color w:val="auto"/>
              </w:rPr>
            </w:pPr>
          </w:p>
        </w:tc>
      </w:tr>
      <w:tr>
        <w:trPr>
          <w:trHeight w:val="382"/>
        </w:trPr>
        <w:tc>
          <w:tcPr>
            <w:tcW w:w="3580" w:type="dxa"/>
            <w:vAlign w:val="bottom"/>
          </w:tcPr>
          <w:p>
            <w:pPr>
              <w:spacing w:after="0"/>
              <w:rPr>
                <w:sz w:val="20"/>
                <w:szCs w:val="20"/>
                <w:color w:val="auto"/>
              </w:rPr>
            </w:pPr>
            <w:r>
              <w:rPr>
                <w:rFonts w:ascii="Arial" w:cs="Arial" w:eastAsia="Arial" w:hAnsi="Arial"/>
                <w:sz w:val="16"/>
                <w:szCs w:val="16"/>
                <w:color w:val="auto"/>
              </w:rPr>
              <w:t>Date: November 9, 2022</w:t>
            </w:r>
          </w:p>
        </w:tc>
        <w:tc>
          <w:tcPr>
            <w:tcW w:w="3680" w:type="dxa"/>
            <w:vAlign w:val="bottom"/>
          </w:tcPr>
          <w:p>
            <w:pPr>
              <w:ind w:left="3180"/>
              <w:spacing w:after="0"/>
              <w:rPr>
                <w:sz w:val="20"/>
                <w:szCs w:val="20"/>
                <w:color w:val="auto"/>
              </w:rPr>
            </w:pPr>
            <w:r>
              <w:rPr>
                <w:rFonts w:ascii="Arial" w:cs="Arial" w:eastAsia="Arial" w:hAnsi="Arial"/>
                <w:sz w:val="16"/>
                <w:szCs w:val="16"/>
                <w:color w:val="auto"/>
              </w:rPr>
              <w:t>By:</w:t>
            </w:r>
          </w:p>
        </w:tc>
        <w:tc>
          <w:tcPr>
            <w:tcW w:w="4000" w:type="dxa"/>
            <w:vAlign w:val="bottom"/>
            <w:gridSpan w:val="2"/>
          </w:tcPr>
          <w:p>
            <w:pPr>
              <w:ind w:left="60"/>
              <w:spacing w:after="0"/>
              <w:rPr>
                <w:sz w:val="20"/>
                <w:szCs w:val="20"/>
                <w:color w:val="auto"/>
              </w:rPr>
            </w:pPr>
            <w:r>
              <w:rPr>
                <w:rFonts w:ascii="Arial" w:cs="Arial" w:eastAsia="Arial" w:hAnsi="Arial"/>
                <w:sz w:val="16"/>
                <w:szCs w:val="16"/>
                <w:color w:val="auto"/>
              </w:rPr>
              <w:t>/s/ Alon Rozner</w:t>
            </w:r>
          </w:p>
        </w:tc>
        <w:tc>
          <w:tcPr>
            <w:tcW w:w="0" w:type="dxa"/>
            <w:vAlign w:val="bottom"/>
          </w:tcPr>
          <w:p>
            <w:pPr>
              <w:spacing w:after="0"/>
              <w:rPr>
                <w:sz w:val="1"/>
                <w:szCs w:val="1"/>
                <w:color w:val="auto"/>
              </w:rPr>
            </w:pPr>
          </w:p>
        </w:tc>
      </w:tr>
      <w:tr>
        <w:trPr>
          <w:trHeight w:val="28"/>
        </w:trPr>
        <w:tc>
          <w:tcPr>
            <w:tcW w:w="3580" w:type="dxa"/>
            <w:vAlign w:val="bottom"/>
          </w:tcPr>
          <w:p>
            <w:pPr>
              <w:spacing w:after="0"/>
              <w:rPr>
                <w:sz w:val="2"/>
                <w:szCs w:val="2"/>
                <w:color w:val="auto"/>
              </w:rPr>
            </w:pPr>
          </w:p>
        </w:tc>
        <w:tc>
          <w:tcPr>
            <w:tcW w:w="3680" w:type="dxa"/>
            <w:vAlign w:val="bottom"/>
            <w:vMerge w:val="restart"/>
          </w:tcPr>
          <w:p>
            <w:pPr>
              <w:ind w:left="3180"/>
              <w:spacing w:after="0"/>
              <w:rPr>
                <w:sz w:val="20"/>
                <w:szCs w:val="20"/>
                <w:color w:val="auto"/>
              </w:rPr>
            </w:pPr>
            <w:r>
              <w:rPr>
                <w:rFonts w:ascii="Arial" w:cs="Arial" w:eastAsia="Arial" w:hAnsi="Arial"/>
                <w:sz w:val="16"/>
                <w:szCs w:val="16"/>
                <w:color w:val="auto"/>
              </w:rPr>
              <w:t>Name:</w:t>
            </w:r>
          </w:p>
        </w:tc>
        <w:tc>
          <w:tcPr>
            <w:tcW w:w="6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580" w:type="dxa"/>
            <w:vAlign w:val="bottom"/>
          </w:tcPr>
          <w:p>
            <w:pPr>
              <w:spacing w:after="0"/>
              <w:rPr>
                <w:sz w:val="15"/>
                <w:szCs w:val="15"/>
                <w:color w:val="auto"/>
              </w:rPr>
            </w:pPr>
          </w:p>
        </w:tc>
        <w:tc>
          <w:tcPr>
            <w:tcW w:w="3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940" w:type="dxa"/>
            <w:vAlign w:val="bottom"/>
          </w:tcPr>
          <w:p>
            <w:pPr>
              <w:ind w:left="40"/>
              <w:spacing w:after="0" w:line="179" w:lineRule="exact"/>
              <w:rPr>
                <w:sz w:val="20"/>
                <w:szCs w:val="20"/>
                <w:color w:val="auto"/>
              </w:rPr>
            </w:pPr>
            <w:r>
              <w:rPr>
                <w:rFonts w:ascii="Arial" w:cs="Arial" w:eastAsia="Arial" w:hAnsi="Arial"/>
                <w:sz w:val="16"/>
                <w:szCs w:val="16"/>
                <w:color w:val="auto"/>
              </w:rPr>
              <w:t>Alon Rozner</w:t>
            </w:r>
          </w:p>
        </w:tc>
        <w:tc>
          <w:tcPr>
            <w:tcW w:w="0" w:type="dxa"/>
            <w:vAlign w:val="bottom"/>
          </w:tcPr>
          <w:p>
            <w:pPr>
              <w:spacing w:after="0"/>
              <w:rPr>
                <w:sz w:val="1"/>
                <w:szCs w:val="1"/>
                <w:color w:val="auto"/>
              </w:rPr>
            </w:pPr>
          </w:p>
        </w:tc>
      </w:tr>
      <w:tr>
        <w:trPr>
          <w:trHeight w:val="204"/>
        </w:trPr>
        <w:tc>
          <w:tcPr>
            <w:tcW w:w="3580" w:type="dxa"/>
            <w:vAlign w:val="bottom"/>
          </w:tcPr>
          <w:p>
            <w:pPr>
              <w:spacing w:after="0"/>
              <w:rPr>
                <w:sz w:val="17"/>
                <w:szCs w:val="17"/>
                <w:color w:val="auto"/>
              </w:rPr>
            </w:pPr>
          </w:p>
        </w:tc>
        <w:tc>
          <w:tcPr>
            <w:tcW w:w="3680" w:type="dxa"/>
            <w:vAlign w:val="bottom"/>
          </w:tcPr>
          <w:p>
            <w:pPr>
              <w:ind w:left="3180"/>
              <w:spacing w:after="0"/>
              <w:rPr>
                <w:sz w:val="20"/>
                <w:szCs w:val="20"/>
                <w:color w:val="auto"/>
              </w:rPr>
            </w:pPr>
            <w:r>
              <w:rPr>
                <w:rFonts w:ascii="Arial" w:cs="Arial" w:eastAsia="Arial" w:hAnsi="Arial"/>
                <w:sz w:val="16"/>
                <w:szCs w:val="16"/>
                <w:color w:val="auto"/>
              </w:rPr>
              <w:t>Title:</w:t>
            </w:r>
          </w:p>
        </w:tc>
        <w:tc>
          <w:tcPr>
            <w:tcW w:w="4000" w:type="dxa"/>
            <w:vAlign w:val="bottom"/>
            <w:gridSpan w:val="2"/>
          </w:tcPr>
          <w:p>
            <w:pPr>
              <w:ind w:left="6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577"/>
        </w:trPr>
        <w:tc>
          <w:tcPr>
            <w:tcW w:w="35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ind w:left="2000"/>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gridSpan w:val="3"/>
          </w:tcPr>
          <w:p>
            <w:pPr>
              <w:jc w:val="center"/>
              <w:ind w:right="1140"/>
              <w:spacing w:after="0"/>
              <w:rPr>
                <w:sz w:val="20"/>
                <w:szCs w:val="20"/>
                <w:color w:val="auto"/>
              </w:rPr>
            </w:pPr>
            <w:r>
              <w:rPr>
                <w:rFonts w:ascii="Arial" w:cs="Arial" w:eastAsia="Arial" w:hAnsi="Arial"/>
                <w:sz w:val="16"/>
                <w:szCs w:val="16"/>
                <w:b w:val="1"/>
                <w:bCs w:val="1"/>
                <w:color w:val="auto"/>
                <w:w w:val="94"/>
              </w:rPr>
              <w:t>Exhibit Index</w:t>
            </w:r>
          </w:p>
        </w:tc>
      </w:tr>
      <w:tr>
        <w:trPr>
          <w:trHeight w:val="382"/>
        </w:trPr>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0120" w:type="dxa"/>
            <w:vAlign w:val="bottom"/>
            <w:gridSpan w:val="3"/>
          </w:tcPr>
          <w:p>
            <w:pPr>
              <w:ind w:left="4660"/>
              <w:spacing w:after="0"/>
              <w:rPr>
                <w:sz w:val="20"/>
                <w:szCs w:val="20"/>
                <w:color w:val="auto"/>
              </w:rPr>
            </w:pPr>
            <w:r>
              <w:rPr>
                <w:rFonts w:ascii="Arial" w:cs="Arial" w:eastAsia="Arial" w:hAnsi="Arial"/>
                <w:sz w:val="16"/>
                <w:szCs w:val="16"/>
                <w:b w:val="1"/>
                <w:bCs w:val="1"/>
                <w:color w:val="auto"/>
              </w:rPr>
              <w:t>Description</w:t>
            </w:r>
          </w:p>
        </w:tc>
      </w:tr>
      <w:tr>
        <w:trPr>
          <w:trHeight w:val="28"/>
        </w:trPr>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99.1</w:t>
            </w:r>
          </w:p>
        </w:tc>
        <w:tc>
          <w:tcPr>
            <w:tcW w:w="120" w:type="dxa"/>
            <w:vAlign w:val="bottom"/>
            <w:shd w:val="clear" w:color="auto" w:fill="CCEEFF"/>
          </w:tcPr>
          <w:p>
            <w:pPr>
              <w:spacing w:after="0"/>
              <w:rPr>
                <w:sz w:val="14"/>
                <w:szCs w:val="14"/>
                <w:color w:val="auto"/>
              </w:rPr>
            </w:pPr>
          </w:p>
        </w:tc>
        <w:tc>
          <w:tcPr>
            <w:tcW w:w="1012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color w:val="0000EE"/>
              </w:rPr>
              <w:t>Press release, dated November 9, 2022, titled “Kornit Digital Reports Third Quarter 2022 Results”</w:t>
            </w:r>
          </w:p>
        </w:tc>
      </w:tr>
      <w:tr>
        <w:trPr>
          <w:trHeight w:val="191"/>
        </w:trPr>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280" w:type="dxa"/>
            <w:vAlign w:val="bottom"/>
            <w:tcBorders>
              <w:top w:val="single" w:sz="8" w:color="0000EE"/>
            </w:tcBorders>
          </w:tcPr>
          <w:p>
            <w:pPr>
              <w:spacing w:after="0"/>
              <w:rPr>
                <w:sz w:val="16"/>
                <w:szCs w:val="16"/>
                <w:color w:val="auto"/>
              </w:rPr>
            </w:pPr>
          </w:p>
        </w:tc>
        <w:tc>
          <w:tcPr>
            <w:tcW w:w="266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99.2</w:t>
            </w:r>
          </w:p>
        </w:tc>
        <w:tc>
          <w:tcPr>
            <w:tcW w:w="120" w:type="dxa"/>
            <w:vAlign w:val="bottom"/>
            <w:shd w:val="clear" w:color="auto" w:fill="CCEEFF"/>
          </w:tcPr>
          <w:p>
            <w:pPr>
              <w:spacing w:after="0"/>
              <w:rPr>
                <w:sz w:val="14"/>
                <w:szCs w:val="14"/>
                <w:color w:val="auto"/>
              </w:rPr>
            </w:pPr>
          </w:p>
        </w:tc>
        <w:tc>
          <w:tcPr>
            <w:tcW w:w="10120" w:type="dxa"/>
            <w:vAlign w:val="bottom"/>
            <w:gridSpan w:val="3"/>
            <w:shd w:val="clear" w:color="auto" w:fill="CCEEFF"/>
          </w:tcPr>
          <w:p>
            <w:pPr>
              <w:jc w:val="center"/>
              <w:ind w:right="1180"/>
              <w:spacing w:after="0" w:line="155" w:lineRule="exact"/>
              <w:rPr>
                <w:sz w:val="20"/>
                <w:szCs w:val="20"/>
                <w:color w:val="auto"/>
              </w:rPr>
            </w:pPr>
            <w:r>
              <w:rPr>
                <w:rFonts w:ascii="Arial" w:cs="Arial" w:eastAsia="Arial" w:hAnsi="Arial"/>
                <w:sz w:val="16"/>
                <w:szCs w:val="16"/>
                <w:color w:val="0000EE"/>
                <w:w w:val="91"/>
              </w:rPr>
              <w:t>Slide presentation for conference call of Kornit held on November 9, 2022 discussing quarterly financial results for the third quarter of 2022</w:t>
            </w:r>
          </w:p>
        </w:tc>
      </w:tr>
      <w:tr>
        <w:trPr>
          <w:trHeight w:val="577"/>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280" w:type="dxa"/>
            <w:vAlign w:val="bottom"/>
            <w:tcBorders>
              <w:top w:val="single" w:sz="8" w:color="0000EE"/>
              <w:bottom w:val="single" w:sz="8" w:color="auto"/>
            </w:tcBorders>
          </w:tcPr>
          <w:p>
            <w:pPr>
              <w:jc w:val="center"/>
              <w:ind w:left="2600"/>
              <w:spacing w:after="0"/>
              <w:rPr>
                <w:sz w:val="20"/>
                <w:szCs w:val="20"/>
                <w:color w:val="auto"/>
              </w:rPr>
            </w:pPr>
            <w:r>
              <w:rPr>
                <w:rFonts w:ascii="Arial" w:cs="Arial" w:eastAsia="Arial" w:hAnsi="Arial"/>
                <w:sz w:val="16"/>
                <w:szCs w:val="16"/>
                <w:color w:val="auto"/>
                <w:w w:val="89"/>
              </w:rPr>
              <w:t>3</w:t>
            </w:r>
          </w:p>
        </w:tc>
        <w:tc>
          <w:tcPr>
            <w:tcW w:w="2660" w:type="dxa"/>
            <w:vAlign w:val="bottom"/>
            <w:tcBorders>
              <w:top w:val="single" w:sz="8" w:color="0000EE"/>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Investor Contact:</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Andrew G. Backman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Global Head of Investor Relations</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andrew.backman@kornit.com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069975" cy="637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9975" cy="637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Kornit Digital Reports Third Quarter 2022 Results</w:t>
      </w:r>
    </w:p>
    <w:p>
      <w:pPr>
        <w:spacing w:after="0" w:line="202" w:lineRule="exact"/>
        <w:rPr>
          <w:sz w:val="20"/>
          <w:szCs w:val="20"/>
          <w:color w:val="auto"/>
        </w:rPr>
      </w:pPr>
    </w:p>
    <w:p>
      <w:pPr>
        <w:ind w:left="244" w:hanging="244"/>
        <w:spacing w:after="0"/>
        <w:tabs>
          <w:tab w:leader="none" w:pos="244"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Third quarter revenues of $66.8 million, net of non-cash warrants impact of $5.6 million</w:t>
      </w:r>
    </w:p>
    <w:p>
      <w:pPr>
        <w:spacing w:after="0" w:line="19" w:lineRule="exact"/>
        <w:rPr>
          <w:rFonts w:ascii="Arial" w:cs="Arial" w:eastAsia="Arial" w:hAnsi="Arial"/>
          <w:sz w:val="16"/>
          <w:szCs w:val="16"/>
          <w:color w:val="auto"/>
        </w:rPr>
      </w:pPr>
    </w:p>
    <w:p>
      <w:pPr>
        <w:ind w:left="244" w:hanging="244"/>
        <w:spacing w:after="0"/>
        <w:tabs>
          <w:tab w:leader="none" w:pos="244" w:val="left"/>
        </w:tabs>
        <w:numPr>
          <w:ilvl w:val="0"/>
          <w:numId w:val="1"/>
        </w:numPr>
        <w:rPr>
          <w:rFonts w:ascii="Arial" w:cs="Arial" w:eastAsia="Arial" w:hAnsi="Arial"/>
          <w:sz w:val="15"/>
          <w:szCs w:val="15"/>
          <w:color w:val="auto"/>
        </w:rPr>
      </w:pPr>
      <w:r>
        <w:rPr>
          <w:rFonts w:ascii="Arial" w:cs="Arial" w:eastAsia="Arial" w:hAnsi="Arial"/>
          <w:sz w:val="15"/>
          <w:szCs w:val="15"/>
          <w:color w:val="auto"/>
        </w:rPr>
        <w:t>Third quarter GAAP operating loss of $21.4 million; non-GAAP operating loss of $13.0 million, net of $5.6 million attributed to the non-cash impact of warrants</w:t>
      </w:r>
    </w:p>
    <w:p>
      <w:pPr>
        <w:spacing w:after="0" w:line="18" w:lineRule="exact"/>
        <w:rPr>
          <w:rFonts w:ascii="Arial" w:cs="Arial" w:eastAsia="Arial" w:hAnsi="Arial"/>
          <w:sz w:val="15"/>
          <w:szCs w:val="15"/>
          <w:color w:val="auto"/>
        </w:rPr>
      </w:pPr>
    </w:p>
    <w:p>
      <w:pPr>
        <w:ind w:left="244" w:hanging="244"/>
        <w:spacing w:after="0"/>
        <w:tabs>
          <w:tab w:leader="none" w:pos="244"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Consumables and Services revenues up on solid demand from key accounts, as well as robust contribution from Atlas MAX upgrades</w:t>
      </w:r>
    </w:p>
    <w:p>
      <w:pPr>
        <w:spacing w:after="0" w:line="7" w:lineRule="exact"/>
        <w:rPr>
          <w:rFonts w:ascii="Arial" w:cs="Arial" w:eastAsia="Arial" w:hAnsi="Arial"/>
          <w:sz w:val="16"/>
          <w:szCs w:val="16"/>
          <w:color w:val="auto"/>
        </w:rPr>
      </w:pPr>
    </w:p>
    <w:p>
      <w:pPr>
        <w:ind w:left="244" w:hanging="244"/>
        <w:spacing w:after="0"/>
        <w:tabs>
          <w:tab w:leader="none" w:pos="244" w:val="left"/>
        </w:tabs>
        <w:numPr>
          <w:ilvl w:val="0"/>
          <w:numId w:val="1"/>
        </w:numPr>
        <w:rPr>
          <w:rFonts w:ascii="Arial" w:cs="Arial" w:eastAsia="Arial" w:hAnsi="Arial"/>
          <w:sz w:val="16"/>
          <w:szCs w:val="16"/>
          <w:color w:val="auto"/>
        </w:rPr>
      </w:pPr>
      <w:r>
        <w:rPr>
          <w:rFonts w:ascii="Arial" w:cs="Arial" w:eastAsia="Arial" w:hAnsi="Arial"/>
          <w:sz w:val="16"/>
          <w:szCs w:val="16"/>
          <w:color w:val="auto"/>
        </w:rPr>
        <w:t>Macro-related and other pressures continue; Long-term opportunities remain firmly intact</w:t>
      </w:r>
    </w:p>
    <w:p>
      <w:pPr>
        <w:spacing w:after="0" w:line="7" w:lineRule="exact"/>
        <w:rPr>
          <w:rFonts w:ascii="Arial" w:cs="Arial" w:eastAsia="Arial" w:hAnsi="Arial"/>
          <w:sz w:val="16"/>
          <w:szCs w:val="16"/>
          <w:color w:val="auto"/>
        </w:rPr>
      </w:pPr>
    </w:p>
    <w:p>
      <w:pPr>
        <w:ind w:left="244" w:hanging="244"/>
        <w:spacing w:after="0"/>
        <w:tabs>
          <w:tab w:leader="none" w:pos="244"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Continue to take appropriate steps to return to sustainable, profitable growth</w:t>
      </w:r>
    </w:p>
    <w:p>
      <w:pPr>
        <w:spacing w:after="0" w:line="277" w:lineRule="exact"/>
        <w:rPr>
          <w:sz w:val="20"/>
          <w:szCs w:val="20"/>
          <w:color w:val="auto"/>
        </w:rPr>
      </w:pPr>
    </w:p>
    <w:p>
      <w:pPr>
        <w:jc w:val="both"/>
        <w:ind w:left="4" w:right="20"/>
        <w:spacing w:after="0" w:line="289" w:lineRule="auto"/>
        <w:rPr>
          <w:sz w:val="20"/>
          <w:szCs w:val="20"/>
          <w:color w:val="auto"/>
        </w:rPr>
      </w:pPr>
      <w:r>
        <w:rPr>
          <w:rFonts w:ascii="Arial" w:cs="Arial" w:eastAsia="Arial" w:hAnsi="Arial"/>
          <w:sz w:val="16"/>
          <w:szCs w:val="16"/>
          <w:b w:val="1"/>
          <w:bCs w:val="1"/>
          <w:color w:val="auto"/>
        </w:rPr>
        <w:t xml:space="preserve">Rosh-Ha’Ayin, Israel – November 9, 2022 – </w:t>
      </w:r>
      <w:r>
        <w:rPr>
          <w:rFonts w:ascii="Arial" w:cs="Arial" w:eastAsia="Arial" w:hAnsi="Arial"/>
          <w:sz w:val="16"/>
          <w:szCs w:val="16"/>
          <w:color w:val="auto"/>
        </w:rPr>
        <w:t>Kornit Digital Ltd. (“Kornit” or “the Company”) (Nasdaq: KRNT), a worldwide market leader in sustainable, on-demand, digital</w:t>
      </w:r>
      <w:r>
        <w:rPr>
          <w:rFonts w:ascii="Arial" w:cs="Arial" w:eastAsia="Arial" w:hAnsi="Arial"/>
          <w:sz w:val="16"/>
          <w:szCs w:val="16"/>
          <w:b w:val="1"/>
          <w:bCs w:val="1"/>
          <w:color w:val="auto"/>
        </w:rPr>
        <w:t xml:space="preserve"> </w:t>
      </w:r>
      <w:r>
        <w:rPr>
          <w:rFonts w:ascii="Arial" w:cs="Arial" w:eastAsia="Arial" w:hAnsi="Arial"/>
          <w:sz w:val="16"/>
          <w:szCs w:val="16"/>
          <w:color w:val="auto"/>
        </w:rPr>
        <w:t>fashion</w:t>
      </w:r>
      <w:r>
        <w:rPr>
          <w:rFonts w:ascii="Arial" w:cs="Arial" w:eastAsia="Arial" w:hAnsi="Arial"/>
          <w:sz w:val="26"/>
          <w:szCs w:val="26"/>
          <w:color w:val="auto"/>
          <w:vertAlign w:val="superscript"/>
        </w:rPr>
        <w:t>X</w:t>
      </w:r>
      <w:r>
        <w:rPr>
          <w:rFonts w:ascii="Arial" w:cs="Arial" w:eastAsia="Arial" w:hAnsi="Arial"/>
          <w:sz w:val="16"/>
          <w:szCs w:val="16"/>
          <w:color w:val="auto"/>
        </w:rPr>
        <w:t xml:space="preserve"> and textile production technologies, reported today results for the third quarter ended September 30, 2022.</w:t>
      </w:r>
    </w:p>
    <w:p>
      <w:pPr>
        <w:spacing w:after="0" w:line="32" w:lineRule="exact"/>
        <w:rPr>
          <w:sz w:val="20"/>
          <w:szCs w:val="20"/>
          <w:color w:val="auto"/>
        </w:rPr>
      </w:pPr>
    </w:p>
    <w:p>
      <w:pPr>
        <w:jc w:val="both"/>
        <w:ind w:left="4" w:right="20"/>
        <w:spacing w:after="0" w:line="258" w:lineRule="auto"/>
        <w:rPr>
          <w:sz w:val="20"/>
          <w:szCs w:val="20"/>
          <w:color w:val="auto"/>
        </w:rPr>
      </w:pPr>
      <w:r>
        <w:rPr>
          <w:rFonts w:ascii="Arial" w:cs="Arial" w:eastAsia="Arial" w:hAnsi="Arial"/>
          <w:sz w:val="16"/>
          <w:szCs w:val="16"/>
          <w:color w:val="auto"/>
        </w:rPr>
        <w:t>“Consumables and Services revenues grew nicely from the second quarter, and year-over-year, due to solid demand from our key strategic accounts as they gear up for their peak season, as well as the execution of a major fleet upgrade to Atlas MAX with a large strategic customer,” said Ronen Samuel, Kornit Digital’s Chief Executive Officer. “And while we continue to see good receptivity and interest for our Atlas MAX family of products, macro-related headwinds and other pressures continue to impact customers’ systems purchasing decisions and their projected pace of growth.”</w:t>
      </w:r>
    </w:p>
    <w:p>
      <w:pPr>
        <w:spacing w:after="0" w:line="165" w:lineRule="exact"/>
        <w:rPr>
          <w:sz w:val="20"/>
          <w:szCs w:val="20"/>
          <w:color w:val="auto"/>
        </w:rPr>
      </w:pPr>
    </w:p>
    <w:p>
      <w:pPr>
        <w:ind w:left="4" w:right="20"/>
        <w:spacing w:after="0" w:line="262" w:lineRule="auto"/>
        <w:rPr>
          <w:sz w:val="20"/>
          <w:szCs w:val="20"/>
          <w:color w:val="auto"/>
        </w:rPr>
      </w:pPr>
      <w:r>
        <w:rPr>
          <w:rFonts w:ascii="Arial" w:cs="Arial" w:eastAsia="Arial" w:hAnsi="Arial"/>
          <w:sz w:val="16"/>
          <w:szCs w:val="16"/>
          <w:color w:val="auto"/>
        </w:rPr>
        <w:t>Mr. Samuel concluded, “We are a resilient company, with the right strategy, product and service offerings, a pristine balance sheet, and a global team that is energized, dedicated, and focused to move the Company forward. We have and will continue to take the necessary steps to return to sustainable, profitable growth.”</w:t>
      </w:r>
    </w:p>
    <w:p>
      <w:pPr>
        <w:spacing w:after="0" w:line="162" w:lineRule="exact"/>
        <w:rPr>
          <w:sz w:val="20"/>
          <w:szCs w:val="20"/>
          <w:color w:val="auto"/>
        </w:rPr>
      </w:pPr>
    </w:p>
    <w:p>
      <w:pPr>
        <w:ind w:left="4" w:right="20"/>
        <w:spacing w:after="0" w:line="275" w:lineRule="auto"/>
        <w:rPr>
          <w:sz w:val="20"/>
          <w:szCs w:val="20"/>
          <w:color w:val="auto"/>
        </w:rPr>
      </w:pPr>
      <w:r>
        <w:rPr>
          <w:rFonts w:ascii="Arial" w:cs="Arial" w:eastAsia="Arial" w:hAnsi="Arial"/>
          <w:sz w:val="16"/>
          <w:szCs w:val="16"/>
          <w:color w:val="auto"/>
        </w:rPr>
        <w:t>The following table compares the adverse, non-cash impact that the Company’s outstanding warrants had on the Company’s results of operations during the third quarters of 2022 and 2021, respectively:</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3740" w:type="dxa"/>
            <w:vAlign w:val="bottom"/>
          </w:tcPr>
          <w:p>
            <w:pPr>
              <w:spacing w:after="0"/>
              <w:rPr>
                <w:sz w:val="18"/>
                <w:szCs w:val="18"/>
                <w:color w:val="auto"/>
              </w:rPr>
            </w:pPr>
          </w:p>
        </w:tc>
        <w:tc>
          <w:tcPr>
            <w:tcW w:w="348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rPr>
              <w:t>Third Quarter Warrants Impact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8"/>
        </w:trPr>
        <w:tc>
          <w:tcPr>
            <w:tcW w:w="37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2"/>
        </w:trPr>
        <w:tc>
          <w:tcPr>
            <w:tcW w:w="3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6"/>
                <w:szCs w:val="16"/>
                <w:b w:val="1"/>
                <w:bCs w:val="1"/>
                <w:color w:val="auto"/>
              </w:rPr>
              <w:t>September 30,</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3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2022</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2021</w:t>
            </w: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75"/>
        </w:trPr>
        <w:tc>
          <w:tcPr>
            <w:tcW w:w="37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40"/>
              <w:spacing w:after="0" w:line="175" w:lineRule="exact"/>
              <w:rPr>
                <w:sz w:val="20"/>
                <w:szCs w:val="20"/>
                <w:color w:val="auto"/>
              </w:rPr>
            </w:pPr>
            <w:r>
              <w:rPr>
                <w:rFonts w:ascii="Arial" w:cs="Arial" w:eastAsia="Arial" w:hAnsi="Arial"/>
                <w:sz w:val="16"/>
                <w:szCs w:val="16"/>
                <w:b w:val="1"/>
                <w:bCs w:val="1"/>
                <w:color w:val="auto"/>
                <w:w w:val="92"/>
              </w:rPr>
              <w:t>Net of</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40"/>
              <w:spacing w:after="0" w:line="175" w:lineRule="exact"/>
              <w:rPr>
                <w:sz w:val="20"/>
                <w:szCs w:val="20"/>
                <w:color w:val="auto"/>
              </w:rPr>
            </w:pPr>
            <w:r>
              <w:rPr>
                <w:rFonts w:ascii="Arial" w:cs="Arial" w:eastAsia="Arial" w:hAnsi="Arial"/>
                <w:sz w:val="16"/>
                <w:szCs w:val="16"/>
                <w:b w:val="1"/>
                <w:bCs w:val="1"/>
                <w:color w:val="auto"/>
                <w:w w:val="92"/>
              </w:rPr>
              <w:t>Net of</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1"/>
        </w:trPr>
        <w:tc>
          <w:tcPr>
            <w:tcW w:w="37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Warrants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Warrants</w:t>
            </w:r>
          </w:p>
        </w:tc>
        <w:tc>
          <w:tcPr>
            <w:tcW w:w="1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Warrants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Warrants</w:t>
            </w:r>
          </w:p>
        </w:tc>
      </w:tr>
      <w:tr>
        <w:trPr>
          <w:trHeight w:val="212"/>
        </w:trPr>
        <w:tc>
          <w:tcPr>
            <w:tcW w:w="3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Impact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Impact</w:t>
            </w: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Impact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Impact</w:t>
            </w:r>
          </w:p>
        </w:tc>
      </w:tr>
      <w:tr>
        <w:trPr>
          <w:trHeight w:val="191"/>
        </w:trPr>
        <w:tc>
          <w:tcPr>
            <w:tcW w:w="37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66.8M</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5.6M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86.7M</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7.9M</w:t>
            </w:r>
          </w:p>
        </w:tc>
      </w:tr>
      <w:tr>
        <w:trPr>
          <w:trHeight w:val="191"/>
        </w:trPr>
        <w:tc>
          <w:tcPr>
            <w:tcW w:w="3740" w:type="dxa"/>
            <w:vAlign w:val="bottom"/>
          </w:tcPr>
          <w:p>
            <w:pPr>
              <w:spacing w:after="0"/>
              <w:rPr>
                <w:sz w:val="20"/>
                <w:szCs w:val="20"/>
                <w:color w:val="auto"/>
              </w:rPr>
            </w:pPr>
            <w:r>
              <w:rPr>
                <w:rFonts w:ascii="Arial" w:cs="Arial" w:eastAsia="Arial" w:hAnsi="Arial"/>
                <w:sz w:val="16"/>
                <w:szCs w:val="16"/>
                <w:color w:val="auto"/>
              </w:rPr>
              <w:t>Non-GAAP Gross Margin</w:t>
            </w:r>
          </w:p>
        </w:tc>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35.5%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47.8%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4.3%</w:t>
            </w:r>
          </w:p>
        </w:tc>
      </w:tr>
      <w:tr>
        <w:trPr>
          <w:trHeight w:val="191"/>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Non-GAAP Operating Margin</w:t>
            </w:r>
          </w:p>
        </w:tc>
        <w:tc>
          <w:tcPr>
            <w:tcW w:w="2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(19.4)%</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r>
      <w:tr>
        <w:trPr>
          <w:trHeight w:val="191"/>
        </w:trPr>
        <w:tc>
          <w:tcPr>
            <w:tcW w:w="3740" w:type="dxa"/>
            <w:vAlign w:val="bottom"/>
          </w:tcPr>
          <w:p>
            <w:pPr>
              <w:spacing w:after="0"/>
              <w:rPr>
                <w:sz w:val="20"/>
                <w:szCs w:val="20"/>
                <w:color w:val="auto"/>
              </w:rPr>
            </w:pPr>
            <w:r>
              <w:rPr>
                <w:rFonts w:ascii="Arial" w:cs="Arial" w:eastAsia="Arial" w:hAnsi="Arial"/>
                <w:sz w:val="16"/>
                <w:szCs w:val="16"/>
                <w:color w:val="auto"/>
              </w:rPr>
              <w:t>Non-GAAP Net Margin</w:t>
            </w:r>
          </w:p>
        </w:tc>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(16.0)%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9.0%</w:t>
            </w:r>
          </w:p>
        </w:tc>
        <w:tc>
          <w:tcPr>
            <w:tcW w:w="1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13.3%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7.2%</w:t>
            </w:r>
          </w:p>
        </w:tc>
      </w:tr>
      <w:tr>
        <w:trPr>
          <w:trHeight w:val="191"/>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Earnings (Loss) Per Share</w:t>
            </w:r>
          </w:p>
        </w:tc>
        <w:tc>
          <w:tcPr>
            <w:tcW w:w="2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0.24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0.16</w:t>
            </w:r>
          </w:p>
        </w:tc>
      </w:tr>
    </w:tbl>
    <w:p>
      <w:pPr>
        <w:spacing w:after="0" w:line="370" w:lineRule="exact"/>
        <w:rPr>
          <w:sz w:val="20"/>
          <w:szCs w:val="20"/>
          <w:color w:val="auto"/>
        </w:rPr>
      </w:pPr>
    </w:p>
    <w:p>
      <w:pPr>
        <w:jc w:val="both"/>
        <w:ind w:left="4"/>
        <w:spacing w:after="0" w:line="262" w:lineRule="auto"/>
        <w:rPr>
          <w:sz w:val="20"/>
          <w:szCs w:val="20"/>
          <w:color w:val="auto"/>
        </w:rPr>
      </w:pPr>
      <w:r>
        <w:rPr>
          <w:rFonts w:ascii="Arial" w:cs="Arial" w:eastAsia="Arial" w:hAnsi="Arial"/>
          <w:sz w:val="16"/>
          <w:szCs w:val="16"/>
          <w:color w:val="auto"/>
        </w:rPr>
        <w:t>“Our infrastructure was built to be profitable at a materially higher revenue run rate,” said Alon Rozner, Kornit Digital’s Chief Financial Officer. “As macro-related and other pressures continue to impact our business in the near-term, we are building upon the decisive expense reductions and other initiatives performed earlier this year to adjust the business to the near-term market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353695</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5" w:name="page6"/>
    <w:bookmarkEnd w:id="5"/>
    <w:p>
      <w:pPr>
        <w:ind w:left="4"/>
        <w:spacing w:after="0"/>
        <w:rPr>
          <w:sz w:val="20"/>
          <w:szCs w:val="20"/>
          <w:color w:val="auto"/>
        </w:rPr>
      </w:pPr>
      <w:r>
        <w:rPr>
          <w:rFonts w:ascii="Arial" w:cs="Arial" w:eastAsia="Arial" w:hAnsi="Arial"/>
          <w:sz w:val="16"/>
          <w:szCs w:val="16"/>
          <w:b w:val="1"/>
          <w:bCs w:val="1"/>
          <w:color w:val="auto"/>
        </w:rPr>
        <w:t>Third Quarter 2022 Results of Operations</w:t>
      </w:r>
    </w:p>
    <w:p>
      <w:pPr>
        <w:spacing w:after="0" w:line="202" w:lineRule="exact"/>
        <w:rPr>
          <w:sz w:val="20"/>
          <w:szCs w:val="20"/>
          <w:color w:val="auto"/>
        </w:rPr>
      </w:pPr>
    </w:p>
    <w:p>
      <w:pPr>
        <w:ind w:left="284" w:right="20" w:hanging="284"/>
        <w:spacing w:after="0" w:line="275"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Total revenue for the third quarter of 2022 was $66.8 million, net of $5.6 million attributed to the non-cash impact of warrants, compared to $86.7 million, net of $7.9 million attributed to the non-cash impact of warrants in the prior year period.</w:t>
      </w:r>
    </w:p>
    <w:p>
      <w:pPr>
        <w:spacing w:after="0" w:line="151" w:lineRule="exact"/>
        <w:rPr>
          <w:rFonts w:ascii="Arial" w:cs="Arial" w:eastAsia="Arial" w:hAnsi="Arial"/>
          <w:sz w:val="16"/>
          <w:szCs w:val="16"/>
          <w:color w:val="auto"/>
        </w:rPr>
      </w:pPr>
    </w:p>
    <w:p>
      <w:pPr>
        <w:ind w:left="284" w:right="20" w:hanging="284"/>
        <w:spacing w:after="0" w:line="275"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GAAP net loss for the third quarter of 2022 was $19.0 million, or ($0.38) per basic share, compared to net income of $3.9 million, or $0.08 per diluted share, for the third quarter of 2021.</w:t>
      </w:r>
    </w:p>
    <w:p>
      <w:pPr>
        <w:spacing w:after="0" w:line="151" w:lineRule="exact"/>
        <w:rPr>
          <w:rFonts w:ascii="Arial" w:cs="Arial" w:eastAsia="Arial" w:hAnsi="Arial"/>
          <w:sz w:val="16"/>
          <w:szCs w:val="16"/>
          <w:color w:val="auto"/>
        </w:rPr>
      </w:pPr>
    </w:p>
    <w:p>
      <w:pPr>
        <w:jc w:val="both"/>
        <w:ind w:left="284" w:hanging="284"/>
        <w:spacing w:after="0" w:line="262"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Non-GAAP net loss for the third quarter of 2022 was $10.7 million, or ($0.21) per basic share, net of $0.11 per basic share attributed to the non-cash impact of warrants, compared to non-GAAP net income of $11.5 million, or $0.24 per diluted share, net of $0.16 per diluted share attributed to the non-cash impact of warrants, for the third quarter of 2021.</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Fourth Quarter 2022 Guidance</w:t>
      </w:r>
    </w:p>
    <w:p>
      <w:pPr>
        <w:spacing w:after="0" w:line="202" w:lineRule="exact"/>
        <w:rPr>
          <w:sz w:val="20"/>
          <w:szCs w:val="20"/>
          <w:color w:val="auto"/>
        </w:rPr>
      </w:pPr>
    </w:p>
    <w:p>
      <w:pPr>
        <w:jc w:val="both"/>
        <w:ind w:left="4"/>
        <w:spacing w:after="0" w:line="275" w:lineRule="auto"/>
        <w:rPr>
          <w:sz w:val="20"/>
          <w:szCs w:val="20"/>
          <w:color w:val="auto"/>
        </w:rPr>
      </w:pPr>
      <w:r>
        <w:rPr>
          <w:rFonts w:ascii="Arial" w:cs="Arial" w:eastAsia="Arial" w:hAnsi="Arial"/>
          <w:sz w:val="16"/>
          <w:szCs w:val="16"/>
          <w:color w:val="auto"/>
        </w:rPr>
        <w:t>For the fourth quarter of 2022, the Company expects revenue to be in the range of $66 million to $70 million; non-GAAP operating margins to be in the range of -6% to -10% of revenue. Consistent with past practice, this guidance excludes the impact of the fair value of issued warrants in the quarter.</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Third Quarter Earnings Conference Call Information</w:t>
      </w:r>
    </w:p>
    <w:p>
      <w:pPr>
        <w:spacing w:after="0" w:line="202"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6"/>
          <w:szCs w:val="16"/>
          <w:color w:val="auto"/>
        </w:rPr>
        <w:t>The Company will host a conference call today at 8:30 a.m. ET, or 3:30 p.m. Israel time, to discuss the results, followed by a question-and-answer session with the investor community.</w:t>
      </w:r>
    </w:p>
    <w:p>
      <w:pPr>
        <w:spacing w:after="0" w:line="148" w:lineRule="exact"/>
        <w:rPr>
          <w:sz w:val="20"/>
          <w:szCs w:val="20"/>
          <w:color w:val="auto"/>
        </w:rPr>
      </w:pPr>
    </w:p>
    <w:p>
      <w:pPr>
        <w:jc w:val="both"/>
        <w:ind w:left="4" w:right="20"/>
        <w:spacing w:after="0" w:line="280" w:lineRule="auto"/>
        <w:rPr>
          <w:sz w:val="20"/>
          <w:szCs w:val="20"/>
          <w:color w:val="auto"/>
        </w:rPr>
      </w:pPr>
      <w:r>
        <w:rPr>
          <w:rFonts w:ascii="Arial" w:cs="Arial" w:eastAsia="Arial" w:hAnsi="Arial"/>
          <w:sz w:val="16"/>
          <w:szCs w:val="16"/>
          <w:b w:val="1"/>
          <w:bCs w:val="1"/>
          <w:color w:val="auto"/>
        </w:rPr>
        <w:t xml:space="preserve">A live webcast of the call </w:t>
      </w:r>
      <w:r>
        <w:rPr>
          <w:rFonts w:ascii="Arial" w:cs="Arial" w:eastAsia="Arial" w:hAnsi="Arial"/>
          <w:sz w:val="16"/>
          <w:szCs w:val="16"/>
          <w:color w:val="auto"/>
        </w:rPr>
        <w:t>can be accessed at ir.kornit.com. To access the call, participants may dial toll-free at 1-877-300-8521 or 1-412-317-6026. The toll-free Israeli number</w:t>
      </w:r>
      <w:r>
        <w:rPr>
          <w:rFonts w:ascii="Arial" w:cs="Arial" w:eastAsia="Arial" w:hAnsi="Arial"/>
          <w:sz w:val="16"/>
          <w:szCs w:val="16"/>
          <w:b w:val="1"/>
          <w:bCs w:val="1"/>
          <w:color w:val="auto"/>
        </w:rPr>
        <w:t xml:space="preserve"> </w:t>
      </w:r>
      <w:r>
        <w:rPr>
          <w:rFonts w:ascii="Arial" w:cs="Arial" w:eastAsia="Arial" w:hAnsi="Arial"/>
          <w:sz w:val="16"/>
          <w:szCs w:val="16"/>
          <w:color w:val="auto"/>
        </w:rPr>
        <w:t>is 1-80-9213284. The conference confirmation code is 10171559.</w:t>
      </w:r>
    </w:p>
    <w:p>
      <w:pPr>
        <w:spacing w:after="0" w:line="144" w:lineRule="exact"/>
        <w:rPr>
          <w:sz w:val="20"/>
          <w:szCs w:val="20"/>
          <w:color w:val="auto"/>
        </w:rPr>
      </w:pPr>
    </w:p>
    <w:p>
      <w:pPr>
        <w:jc w:val="both"/>
        <w:ind w:left="4"/>
        <w:spacing w:after="0" w:line="265" w:lineRule="auto"/>
        <w:rPr>
          <w:sz w:val="20"/>
          <w:szCs w:val="20"/>
          <w:color w:val="auto"/>
        </w:rPr>
      </w:pPr>
      <w:r>
        <w:rPr>
          <w:rFonts w:ascii="Arial" w:cs="Arial" w:eastAsia="Arial" w:hAnsi="Arial"/>
          <w:sz w:val="16"/>
          <w:szCs w:val="16"/>
          <w:b w:val="1"/>
          <w:bCs w:val="1"/>
          <w:color w:val="auto"/>
        </w:rPr>
        <w:t xml:space="preserve">To listen to a replay </w:t>
      </w:r>
      <w:r>
        <w:rPr>
          <w:rFonts w:ascii="Arial" w:cs="Arial" w:eastAsia="Arial" w:hAnsi="Arial"/>
          <w:sz w:val="16"/>
          <w:szCs w:val="16"/>
          <w:color w:val="auto"/>
        </w:rPr>
        <w:t>of the conference call, dial toll-free 1-844-512-2921 or 1-412-317-6671 (international) and enter confirmation code 10171559. The telephonic replay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available approximately five hours after the completion of the live call until 11:59 pm ET on Wednesday, November 23, 2022. The call will also be available for replay via the webcast link on Kornit’s Investor Relations website.</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About Kornit Digital</w:t>
      </w:r>
    </w:p>
    <w:p>
      <w:pPr>
        <w:spacing w:after="0" w:line="206" w:lineRule="exact"/>
        <w:rPr>
          <w:sz w:val="20"/>
          <w:szCs w:val="20"/>
          <w:color w:val="auto"/>
        </w:rPr>
      </w:pPr>
    </w:p>
    <w:p>
      <w:pPr>
        <w:jc w:val="both"/>
        <w:ind w:left="4"/>
        <w:spacing w:after="0" w:line="228" w:lineRule="auto"/>
        <w:rPr>
          <w:sz w:val="20"/>
          <w:szCs w:val="20"/>
          <w:color w:val="auto"/>
        </w:rPr>
      </w:pPr>
      <w:r>
        <w:rPr>
          <w:rFonts w:ascii="Arial" w:cs="Arial" w:eastAsia="Arial" w:hAnsi="Arial"/>
          <w:sz w:val="16"/>
          <w:szCs w:val="16"/>
          <w:color w:val="auto"/>
        </w:rPr>
        <w:t>Kornit Digital (NASDAQ: KRNT) is a worldwide market leader in sustainable, on-demand, digital fashion</w:t>
      </w:r>
      <w:r>
        <w:rPr>
          <w:rFonts w:ascii="Arial" w:cs="Arial" w:eastAsia="Arial" w:hAnsi="Arial"/>
          <w:sz w:val="26"/>
          <w:szCs w:val="26"/>
          <w:color w:val="auto"/>
          <w:vertAlign w:val="superscript"/>
        </w:rPr>
        <w:t>x</w:t>
      </w:r>
      <w:r>
        <w:rPr>
          <w:rFonts w:ascii="Arial" w:cs="Arial" w:eastAsia="Arial" w:hAnsi="Arial"/>
          <w:sz w:val="16"/>
          <w:szCs w:val="16"/>
          <w:color w:val="auto"/>
        </w:rPr>
        <w:t xml:space="preserve">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Digital serves customers in more than one hundred countries and states worldwide. To learn more about how Kornit Digital is boldly transforming the world of fashion and textiles, visit www.kornit.com.</w:t>
      </w:r>
    </w:p>
    <w:p>
      <w:pPr>
        <w:spacing w:after="0" w:line="37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Forward Looking Statements</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duration and severity of current adverse macro-economic conditions, such as supply-chain delays, inflationary pressures, and rising interest rates, which have been impacting, and may continue to impact, in an adverse manner, the Company’s operations, financial position and cash flows, in part due to the adverse impact on the Company’s customers and suppliers; the Company’s degree of success in developing, introducing and selling new or improved products and product enhancements including specifically the Company’s Poly Pro and Presto products; the extent of the Company’s ability to consummate sales to large accounts with multi-system delivery plans; the degree of the Company’s ability to fill orders for Kornit’s systems; the extent of the Company’s ability to increase sales of Kornit’s systems, ink and consumables; the extent of the Company’s ability to leverage Kornit’s global infrastructure build-out; the development of the market for digital textile printing; the availability of alternative ink; competition; sales concentration; changes to the Company’s relationships with suppliers; the extent of the Company’s success in marketing; whether court approval is received to effect the Company’s proposed share repurchase program; and those additional factors referred to under “Risk Factors” in Item 3.D of the Company’s Annual Report on Form 20-F for the year ended December 31, 2021, filed with the SEC on March 30, 2022. Any forward-looking statements in this press release are made as of the date hereof, whether as a result of new information, future events or otherwise, except as required by law.</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Discussion Disclosure</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non-GAAP financial measures presented by the Company in this press release and in the accompanying conference call to discuss the Company’s quarterly results consist of GAAP financial measures adjusted to exclude the impact of share-based compensation expenses, amortization of acquired intangible assets, acquisition related expenses, foreign exchange differences associated with ASC 842 and the related tax effect of the foregoing. The purpose of such adjustments is to provide an indication of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However,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 Please see the reconciliation table included below in order to compare our non-GAAP financial measures with the most directly comparable financial measures presented in accordance with GAAP.</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September 30,</w:t>
            </w:r>
          </w:p>
        </w:tc>
        <w:tc>
          <w:tcPr>
            <w:tcW w:w="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2"/>
        </w:trPr>
        <w:tc>
          <w:tcPr>
            <w:tcW w:w="45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520" w:type="dxa"/>
            <w:vAlign w:val="bottom"/>
          </w:tcPr>
          <w:p>
            <w:pPr>
              <w:spacing w:after="0" w:line="179" w:lineRule="exact"/>
              <w:rPr>
                <w:sz w:val="20"/>
                <w:szCs w:val="20"/>
                <w:color w:val="auto"/>
              </w:rPr>
            </w:pPr>
            <w:r>
              <w:rPr>
                <w:rFonts w:ascii="Arial" w:cs="Arial" w:eastAsia="Arial" w:hAnsi="Arial"/>
                <w:sz w:val="16"/>
                <w:szCs w:val="16"/>
                <w:b w:val="1"/>
                <w:bCs w:val="1"/>
                <w:color w:val="auto"/>
              </w:rPr>
              <w:t>ASSETS</w:t>
            </w:r>
          </w:p>
        </w:tc>
        <w:tc>
          <w:tcPr>
            <w:tcW w:w="4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20" w:type="dxa"/>
            <w:vAlign w:val="bottom"/>
          </w:tcPr>
          <w:p>
            <w:pPr>
              <w:spacing w:after="0"/>
              <w:rPr>
                <w:sz w:val="20"/>
                <w:szCs w:val="20"/>
                <w:color w:val="auto"/>
              </w:rPr>
            </w:pPr>
            <w:r>
              <w:rPr>
                <w:rFonts w:ascii="Arial" w:cs="Arial" w:eastAsia="Arial" w:hAnsi="Arial"/>
                <w:sz w:val="16"/>
                <w:szCs w:val="16"/>
                <w:color w:val="auto"/>
              </w:rPr>
              <w:t>CURRENT ASSETS:</w:t>
            </w:r>
          </w:p>
        </w:tc>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66,693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611,551</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Arial" w:cs="Arial" w:eastAsia="Arial" w:hAnsi="Arial"/>
                <w:sz w:val="16"/>
                <w:szCs w:val="16"/>
                <w:color w:val="auto"/>
              </w:rPr>
              <w:t>Short-term bank deposit</w:t>
            </w:r>
          </w:p>
        </w:tc>
        <w:tc>
          <w:tcPr>
            <w:tcW w:w="4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360,122</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9,168</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Marketable securities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20,608</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Arial" w:cs="Arial" w:eastAsia="Arial" w:hAnsi="Arial"/>
                <w:sz w:val="16"/>
                <w:szCs w:val="16"/>
                <w:color w:val="auto"/>
              </w:rPr>
              <w:t>Trade receivables, net</w:t>
            </w:r>
          </w:p>
        </w:tc>
        <w:tc>
          <w:tcPr>
            <w:tcW w:w="4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63,687</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49,797</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92,223</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63,017</w:t>
            </w: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Arial" w:cs="Arial" w:eastAsia="Arial" w:hAnsi="Arial"/>
                <w:sz w:val="16"/>
                <w:szCs w:val="16"/>
                <w:color w:val="auto"/>
              </w:rPr>
              <w:t>Other accounts receivable and prepaid expenses</w:t>
            </w:r>
          </w:p>
        </w:tc>
        <w:tc>
          <w:tcPr>
            <w:tcW w:w="4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18,197</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13,694</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621,530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775,343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LONG-TERM ASSETS: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Arial" w:cs="Arial" w:eastAsia="Arial" w:hAnsi="Arial"/>
                <w:sz w:val="16"/>
                <w:szCs w:val="16"/>
                <w:color w:val="auto"/>
              </w:rPr>
              <w:t>Marketable securities</w:t>
            </w:r>
          </w:p>
        </w:tc>
        <w:tc>
          <w:tcPr>
            <w:tcW w:w="4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242,348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149,269</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Deposits and other long-term assets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3,875</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Arial" w:cs="Arial" w:eastAsia="Arial" w:hAnsi="Arial"/>
                <w:sz w:val="16"/>
                <w:szCs w:val="16"/>
                <w:color w:val="auto"/>
              </w:rPr>
              <w:t>Severance pay fund</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271</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taxes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16,081</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9,339</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52,364</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45,046</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28,057</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25,155</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10,494</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10,063</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4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29,163</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25,447</w:t>
            </w:r>
          </w:p>
        </w:tc>
        <w:tc>
          <w:tcPr>
            <w:tcW w:w="0" w:type="dxa"/>
            <w:vAlign w:val="bottom"/>
          </w:tcPr>
          <w:p>
            <w:pPr>
              <w:spacing w:after="0"/>
              <w:rPr>
                <w:sz w:val="1"/>
                <w:szCs w:val="1"/>
                <w:color w:val="auto"/>
              </w:rPr>
            </w:pPr>
          </w:p>
        </w:tc>
      </w:tr>
      <w:tr>
        <w:trPr>
          <w:trHeight w:val="179"/>
        </w:trPr>
        <w:tc>
          <w:tcPr>
            <w:tcW w:w="452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color w:val="auto"/>
              </w:rPr>
              <w:t>Total long-term assets</w:t>
            </w:r>
          </w:p>
        </w:tc>
        <w:tc>
          <w:tcPr>
            <w:tcW w:w="41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382,653</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265,532</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52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4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1,004,183</w:t>
            </w:r>
          </w:p>
        </w:tc>
        <w:tc>
          <w:tcPr>
            <w:tcW w:w="2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1,040,875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4520" w:type="dxa"/>
            <w:vAlign w:val="bottom"/>
            <w:tcBorders>
              <w:top w:val="single" w:sz="8" w:color="CCEEFF"/>
            </w:tcBorders>
            <w:shd w:val="clear" w:color="auto" w:fill="CCEEFF"/>
          </w:tcPr>
          <w:p>
            <w:pPr>
              <w:spacing w:after="0"/>
              <w:rPr>
                <w:sz w:val="16"/>
                <w:szCs w:val="16"/>
                <w:color w:val="auto"/>
              </w:rPr>
            </w:pPr>
          </w:p>
        </w:tc>
        <w:tc>
          <w:tcPr>
            <w:tcW w:w="4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Arial" w:cs="Arial" w:eastAsia="Arial" w:hAnsi="Arial"/>
                <w:sz w:val="16"/>
                <w:szCs w:val="16"/>
                <w:color w:val="auto"/>
              </w:rPr>
              <w:t>Trade payables</w:t>
            </w:r>
          </w:p>
        </w:tc>
        <w:tc>
          <w:tcPr>
            <w:tcW w:w="4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24,038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46,448</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Employees and payroll accruals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16,567</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22,482</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Arial" w:cs="Arial" w:eastAsia="Arial" w:hAnsi="Arial"/>
                <w:sz w:val="16"/>
                <w:szCs w:val="16"/>
                <w:color w:val="auto"/>
              </w:rPr>
              <w:t>Deferred revenues and advances from customers</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5,594</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5,401</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4,958</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5,058</w:t>
            </w: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Arial" w:cs="Arial" w:eastAsia="Arial" w:hAnsi="Arial"/>
                <w:sz w:val="16"/>
                <w:szCs w:val="16"/>
                <w:color w:val="auto"/>
              </w:rPr>
              <w:t>Other payables and accrued expenses</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33,669</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17,287</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84,826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96,676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Arial" w:cs="Arial" w:eastAsia="Arial" w:hAnsi="Arial"/>
                <w:sz w:val="16"/>
                <w:szCs w:val="16"/>
                <w:color w:val="auto"/>
              </w:rPr>
              <w:t>Accrued severance pay</w:t>
            </w:r>
          </w:p>
        </w:tc>
        <w:tc>
          <w:tcPr>
            <w:tcW w:w="4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1,177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1,543</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21,755</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21,900</w:t>
            </w: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Arial" w:cs="Arial" w:eastAsia="Arial" w:hAnsi="Arial"/>
                <w:sz w:val="16"/>
                <w:szCs w:val="16"/>
                <w:color w:val="auto"/>
              </w:rPr>
              <w:t>Other long-term liabilities</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886</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long-term liabilities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23,818</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24,646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895,539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919,553</w:t>
            </w:r>
          </w:p>
        </w:tc>
        <w:tc>
          <w:tcPr>
            <w:tcW w:w="0" w:type="dxa"/>
            <w:vAlign w:val="bottom"/>
          </w:tcPr>
          <w:p>
            <w:pPr>
              <w:spacing w:after="0"/>
              <w:rPr>
                <w:sz w:val="1"/>
                <w:szCs w:val="1"/>
                <w:color w:val="auto"/>
              </w:rPr>
            </w:pPr>
          </w:p>
        </w:tc>
      </w:tr>
      <w:tr>
        <w:trPr>
          <w:trHeight w:val="191"/>
        </w:trPr>
        <w:tc>
          <w:tcPr>
            <w:tcW w:w="4520" w:type="dxa"/>
            <w:vAlign w:val="bottom"/>
            <w:tcBorders>
              <w:top w:val="single" w:sz="8" w:color="CCEEFF"/>
            </w:tcBorders>
          </w:tcPr>
          <w:p>
            <w:pPr>
              <w:spacing w:after="0"/>
              <w:rPr>
                <w:sz w:val="16"/>
                <w:szCs w:val="16"/>
                <w:color w:val="auto"/>
              </w:rPr>
            </w:pPr>
          </w:p>
        </w:tc>
        <w:tc>
          <w:tcPr>
            <w:tcW w:w="4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1,004,183</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1,040,875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jc w:val="right"/>
              <w:ind w:right="2940"/>
              <w:spacing w:after="0"/>
              <w:rPr>
                <w:sz w:val="20"/>
                <w:szCs w:val="20"/>
                <w:color w:val="auto"/>
              </w:rPr>
            </w:pPr>
            <w:r>
              <w:rPr>
                <w:rFonts w:ascii="Arial" w:cs="Arial" w:eastAsia="Arial" w:hAnsi="Arial"/>
                <w:sz w:val="16"/>
                <w:szCs w:val="16"/>
                <w:color w:val="auto"/>
              </w:rPr>
              <w:t>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5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sectPr>
      </w:pPr>
    </w:p>
    <w:bookmarkStart w:id="8" w:name="page9"/>
    <w:bookmarkEnd w:id="8"/>
    <w:p>
      <w:pPr>
        <w:ind w:left="474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7"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(U.S. dollars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Nine Months Ended</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6"/>
                <w:szCs w:val="16"/>
                <w:b w:val="1"/>
                <w:bCs w:val="1"/>
                <w:color w:val="auto"/>
                <w:w w:val="89"/>
              </w:rPr>
              <w:t>September 30,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6"/>
                <w:szCs w:val="16"/>
                <w:b w:val="1"/>
                <w:bCs w:val="1"/>
                <w:color w:val="auto"/>
                <w:w w:val="89"/>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6"/>
                <w:szCs w:val="16"/>
                <w:b w:val="1"/>
                <w:bCs w:val="1"/>
                <w:color w:val="auto"/>
                <w:w w:val="92"/>
              </w:rPr>
              <w:t>(Unaudited)</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6"/>
                <w:szCs w:val="16"/>
                <w:b w:val="1"/>
                <w:bCs w:val="1"/>
                <w:color w:val="auto"/>
                <w:w w:val="92"/>
              </w:rPr>
              <w:t>(Unaudited)</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598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Products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52,627</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76,560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172,707</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206,682</w:t>
            </w:r>
          </w:p>
        </w:tc>
        <w:tc>
          <w:tcPr>
            <w:tcW w:w="0" w:type="dxa"/>
            <w:vAlign w:val="bottom"/>
          </w:tcPr>
          <w:p>
            <w:pPr>
              <w:spacing w:after="0"/>
              <w:rPr>
                <w:sz w:val="1"/>
                <w:szCs w:val="1"/>
                <w:color w:val="auto"/>
              </w:rPr>
            </w:pPr>
          </w:p>
        </w:tc>
      </w:tr>
      <w:tr>
        <w:trPr>
          <w:trHeight w:val="207"/>
        </w:trPr>
        <w:tc>
          <w:tcPr>
            <w:tcW w:w="5980" w:type="dxa"/>
            <w:vAlign w:val="bottom"/>
            <w:gridSpan w:val="2"/>
          </w:tcPr>
          <w:p>
            <w:pPr>
              <w:ind w:left="140"/>
              <w:spacing w:after="0"/>
              <w:rPr>
                <w:sz w:val="20"/>
                <w:szCs w:val="20"/>
                <w:color w:val="auto"/>
              </w:rPr>
            </w:pPr>
            <w:r>
              <w:rPr>
                <w:rFonts w:ascii="Arial" w:cs="Arial" w:eastAsia="Arial" w:hAnsi="Arial"/>
                <w:sz w:val="16"/>
                <w:szCs w:val="16"/>
                <w:color w:val="auto"/>
              </w:rPr>
              <w:t>Services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14,164</w:t>
            </w:r>
          </w:p>
        </w:tc>
        <w:tc>
          <w:tcPr>
            <w:tcW w:w="4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10,109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35,513</w:t>
            </w:r>
          </w:p>
        </w:tc>
        <w:tc>
          <w:tcPr>
            <w:tcW w:w="3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27,776</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66,791</w:t>
            </w: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86,669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208,220</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234,458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tcPr>
          <w:p>
            <w:pPr>
              <w:ind w:left="140"/>
              <w:spacing w:after="0"/>
              <w:rPr>
                <w:sz w:val="20"/>
                <w:szCs w:val="20"/>
                <w:color w:val="auto"/>
              </w:rPr>
            </w:pPr>
            <w:r>
              <w:rPr>
                <w:rFonts w:ascii="Arial" w:cs="Arial" w:eastAsia="Arial" w:hAnsi="Arial"/>
                <w:sz w:val="16"/>
                <w:szCs w:val="16"/>
                <w:color w:val="auto"/>
              </w:rPr>
              <w:t>Products</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31,789</w:t>
            </w:r>
          </w:p>
        </w:tc>
        <w:tc>
          <w:tcPr>
            <w:tcW w:w="4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36,028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96,909</w:t>
            </w: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98,457</w:t>
            </w: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Services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13,569</w:t>
            </w: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36,160</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26,477</w:t>
            </w:r>
          </w:p>
        </w:tc>
        <w:tc>
          <w:tcPr>
            <w:tcW w:w="0" w:type="dxa"/>
            <w:vAlign w:val="bottom"/>
          </w:tcPr>
          <w:p>
            <w:pPr>
              <w:spacing w:after="0"/>
              <w:rPr>
                <w:sz w:val="1"/>
                <w:szCs w:val="1"/>
                <w:color w:val="auto"/>
              </w:rPr>
            </w:pPr>
          </w:p>
        </w:tc>
      </w:tr>
      <w:tr>
        <w:trPr>
          <w:trHeight w:val="179"/>
        </w:trPr>
        <w:tc>
          <w:tcPr>
            <w:tcW w:w="5980" w:type="dxa"/>
            <w:vAlign w:val="bottom"/>
            <w:tcBorders>
              <w:top w:val="single" w:sz="8" w:color="CCEEFF"/>
              <w:bottom w:val="single" w:sz="8" w:color="CCEEFF"/>
            </w:tcBorders>
            <w:gridSpan w:val="2"/>
          </w:tcPr>
          <w:p>
            <w:pPr>
              <w:spacing w:after="0" w:line="175" w:lineRule="exact"/>
              <w:rPr>
                <w:sz w:val="20"/>
                <w:szCs w:val="20"/>
                <w:color w:val="auto"/>
              </w:rPr>
            </w:pPr>
            <w:r>
              <w:rPr>
                <w:rFonts w:ascii="Arial" w:cs="Arial" w:eastAsia="Arial" w:hAnsi="Arial"/>
                <w:sz w:val="16"/>
                <w:szCs w:val="16"/>
                <w:color w:val="auto"/>
              </w:rPr>
              <w:t>Total cost of revenues</w:t>
            </w: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45,358</w:t>
            </w:r>
          </w:p>
        </w:tc>
        <w:tc>
          <w:tcPr>
            <w:tcW w:w="240" w:type="dxa"/>
            <w:vAlign w:val="bottom"/>
            <w:tcBorders>
              <w:top w:val="single" w:sz="8" w:color="CCEEFF"/>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46,137</w:t>
            </w: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133,069</w:t>
            </w:r>
          </w:p>
        </w:tc>
        <w:tc>
          <w:tcPr>
            <w:tcW w:w="22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124,934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8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21,433</w:t>
            </w:r>
          </w:p>
        </w:tc>
        <w:tc>
          <w:tcPr>
            <w:tcW w:w="4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40,532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75,151</w:t>
            </w:r>
          </w:p>
        </w:tc>
        <w:tc>
          <w:tcPr>
            <w:tcW w:w="3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109,524</w:t>
            </w:r>
          </w:p>
        </w:tc>
        <w:tc>
          <w:tcPr>
            <w:tcW w:w="0" w:type="dxa"/>
            <w:vAlign w:val="bottom"/>
          </w:tcPr>
          <w:p>
            <w:pPr>
              <w:spacing w:after="0"/>
              <w:rPr>
                <w:sz w:val="1"/>
                <w:szCs w:val="1"/>
                <w:color w:val="auto"/>
              </w:rPr>
            </w:pPr>
          </w:p>
        </w:tc>
      </w:tr>
      <w:tr>
        <w:trPr>
          <w:trHeight w:val="191"/>
        </w:trPr>
        <w:tc>
          <w:tcPr>
            <w:tcW w:w="360" w:type="dxa"/>
            <w:vAlign w:val="bottom"/>
            <w:tcBorders>
              <w:top w:val="single" w:sz="8" w:color="CCEEFF"/>
            </w:tcBorders>
            <w:shd w:val="clear" w:color="auto" w:fill="CCEEFF"/>
          </w:tcPr>
          <w:p>
            <w:pPr>
              <w:spacing w:after="0"/>
              <w:rPr>
                <w:sz w:val="16"/>
                <w:szCs w:val="16"/>
                <w:color w:val="auto"/>
              </w:rPr>
            </w:pPr>
          </w:p>
        </w:tc>
        <w:tc>
          <w:tcPr>
            <w:tcW w:w="56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Research and development, net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14,684</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42,775</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30,736</w:t>
            </w:r>
          </w:p>
        </w:tc>
        <w:tc>
          <w:tcPr>
            <w:tcW w:w="0" w:type="dxa"/>
            <w:vAlign w:val="bottom"/>
          </w:tcPr>
          <w:p>
            <w:pPr>
              <w:spacing w:after="0"/>
              <w:rPr>
                <w:sz w:val="1"/>
                <w:szCs w:val="1"/>
                <w:color w:val="auto"/>
              </w:rPr>
            </w:pPr>
          </w:p>
        </w:tc>
      </w:tr>
      <w:tr>
        <w:trPr>
          <w:trHeight w:val="191"/>
        </w:trPr>
        <w:tc>
          <w:tcPr>
            <w:tcW w:w="5980" w:type="dxa"/>
            <w:vAlign w:val="bottom"/>
            <w:gridSpan w:val="2"/>
          </w:tcPr>
          <w:p>
            <w:pPr>
              <w:ind w:left="140"/>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17,502</w:t>
            </w:r>
          </w:p>
        </w:tc>
        <w:tc>
          <w:tcPr>
            <w:tcW w:w="4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15,837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54,917</w:t>
            </w: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40,716</w:t>
            </w: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10,616</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30,632</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24,972</w:t>
            </w:r>
          </w:p>
        </w:tc>
        <w:tc>
          <w:tcPr>
            <w:tcW w:w="0" w:type="dxa"/>
            <w:vAlign w:val="bottom"/>
          </w:tcPr>
          <w:p>
            <w:pPr>
              <w:spacing w:after="0"/>
              <w:rPr>
                <w:sz w:val="1"/>
                <w:szCs w:val="1"/>
                <w:color w:val="auto"/>
              </w:rPr>
            </w:pPr>
          </w:p>
        </w:tc>
      </w:tr>
      <w:tr>
        <w:trPr>
          <w:trHeight w:val="147"/>
        </w:trPr>
        <w:tc>
          <w:tcPr>
            <w:tcW w:w="5980" w:type="dxa"/>
            <w:vAlign w:val="bottom"/>
            <w:tcBorders>
              <w:top w:val="single" w:sz="8" w:color="CCEEFF"/>
            </w:tcBorders>
            <w:gridSpan w:val="2"/>
          </w:tcPr>
          <w:p>
            <w:pPr>
              <w:spacing w:after="0" w:line="139" w:lineRule="exact"/>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6"/>
                <w:szCs w:val="16"/>
                <w:color w:val="auto"/>
              </w:rPr>
              <w:t>42,802</w:t>
            </w: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6"/>
                <w:szCs w:val="16"/>
                <w:color w:val="auto"/>
              </w:rPr>
              <w:t>36,613</w:t>
            </w: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6"/>
                <w:szCs w:val="16"/>
                <w:color w:val="auto"/>
              </w:rPr>
              <w:t>128,324</w:t>
            </w:r>
          </w:p>
        </w:tc>
        <w:tc>
          <w:tcPr>
            <w:tcW w:w="2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6"/>
                <w:szCs w:val="16"/>
                <w:color w:val="auto"/>
              </w:rPr>
              <w:t>96,424</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60" w:type="dxa"/>
            <w:vAlign w:val="bottom"/>
            <w:tcBorders>
              <w:top w:val="single" w:sz="8" w:color="auto"/>
            </w:tcBorders>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80" w:type="dxa"/>
            <w:vAlign w:val="bottom"/>
            <w:gridSpan w:val="2"/>
          </w:tcPr>
          <w:p>
            <w:pPr>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(21,369)</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(53,173)</w:t>
            </w:r>
          </w:p>
        </w:tc>
        <w:tc>
          <w:tcPr>
            <w:tcW w:w="3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13,100</w:t>
            </w:r>
          </w:p>
        </w:tc>
        <w:tc>
          <w:tcPr>
            <w:tcW w:w="0" w:type="dxa"/>
            <w:vAlign w:val="bottom"/>
          </w:tcPr>
          <w:p>
            <w:pPr>
              <w:spacing w:after="0"/>
              <w:rPr>
                <w:sz w:val="1"/>
                <w:szCs w:val="1"/>
                <w:color w:val="auto"/>
              </w:rPr>
            </w:pPr>
          </w:p>
        </w:tc>
      </w:tr>
      <w:tr>
        <w:trPr>
          <w:trHeight w:val="191"/>
        </w:trPr>
        <w:tc>
          <w:tcPr>
            <w:tcW w:w="360" w:type="dxa"/>
            <w:vAlign w:val="bottom"/>
            <w:tcBorders>
              <w:top w:val="single" w:sz="8" w:color="CCEEFF"/>
            </w:tcBorders>
            <w:shd w:val="clear" w:color="auto" w:fill="CCEEFF"/>
          </w:tcPr>
          <w:p>
            <w:pPr>
              <w:spacing w:after="0"/>
              <w:rPr>
                <w:sz w:val="16"/>
                <w:szCs w:val="16"/>
                <w:color w:val="auto"/>
              </w:rPr>
            </w:pPr>
          </w:p>
        </w:tc>
        <w:tc>
          <w:tcPr>
            <w:tcW w:w="56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80" w:type="dxa"/>
            <w:vAlign w:val="bottom"/>
            <w:gridSpan w:val="2"/>
          </w:tcPr>
          <w:p>
            <w:pPr>
              <w:spacing w:after="0"/>
              <w:rPr>
                <w:sz w:val="20"/>
                <w:szCs w:val="20"/>
                <w:color w:val="auto"/>
              </w:rPr>
            </w:pPr>
            <w:r>
              <w:rPr>
                <w:rFonts w:ascii="Arial" w:cs="Arial" w:eastAsia="Arial" w:hAnsi="Arial"/>
                <w:sz w:val="16"/>
                <w:szCs w:val="16"/>
                <w:color w:val="auto"/>
              </w:rPr>
              <w:t>Financial income, net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2,207</w:t>
            </w:r>
          </w:p>
        </w:tc>
        <w:tc>
          <w:tcPr>
            <w:tcW w:w="4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8,330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2,635</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(loss) before taxes on income (tax benefits)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(19,162)</w:t>
            </w: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(44,843)</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15,735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Taxes on income (tax benefits)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(130)</w:t>
            </w: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(1,138)</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6"/>
                <w:szCs w:val="16"/>
                <w:color w:val="auto"/>
              </w:rPr>
              <w:t>Net income (loss)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(19,032</w:t>
            </w:r>
          </w:p>
        </w:tc>
        <w:tc>
          <w:tcPr>
            <w:tcW w:w="24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(43,705</w:t>
            </w:r>
          </w:p>
        </w:tc>
        <w:tc>
          <w:tcPr>
            <w:tcW w:w="22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14,573</w:t>
            </w:r>
          </w:p>
        </w:tc>
        <w:tc>
          <w:tcPr>
            <w:tcW w:w="0" w:type="dxa"/>
            <w:vAlign w:val="bottom"/>
          </w:tcPr>
          <w:p>
            <w:pPr>
              <w:spacing w:after="0"/>
              <w:rPr>
                <w:sz w:val="1"/>
                <w:szCs w:val="1"/>
                <w:color w:val="auto"/>
              </w:rPr>
            </w:pPr>
          </w:p>
        </w:tc>
      </w:tr>
      <w:tr>
        <w:trPr>
          <w:trHeight w:val="187"/>
        </w:trPr>
        <w:tc>
          <w:tcPr>
            <w:tcW w:w="360" w:type="dxa"/>
            <w:vAlign w:val="bottom"/>
            <w:tcBorders>
              <w:top w:val="single" w:sz="8" w:color="CCEEFF"/>
            </w:tcBorders>
            <w:shd w:val="clear" w:color="auto" w:fill="CCEEFF"/>
          </w:tcPr>
          <w:p>
            <w:pPr>
              <w:spacing w:after="0"/>
              <w:rPr>
                <w:sz w:val="16"/>
                <w:szCs w:val="16"/>
                <w:color w:val="auto"/>
              </w:rPr>
            </w:pPr>
          </w:p>
        </w:tc>
        <w:tc>
          <w:tcPr>
            <w:tcW w:w="56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980" w:type="dxa"/>
            <w:vAlign w:val="bottom"/>
            <w:gridSpan w:val="2"/>
          </w:tcPr>
          <w:p>
            <w:pPr>
              <w:spacing w:after="0"/>
              <w:rPr>
                <w:sz w:val="20"/>
                <w:szCs w:val="20"/>
                <w:color w:val="auto"/>
              </w:rPr>
            </w:pPr>
            <w:r>
              <w:rPr>
                <w:rFonts w:ascii="Arial" w:cs="Arial" w:eastAsia="Arial" w:hAnsi="Arial"/>
                <w:sz w:val="16"/>
                <w:szCs w:val="16"/>
                <w:color w:val="auto"/>
              </w:rPr>
              <w:t>Basic net income (loss) per share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line="227" w:lineRule="exact"/>
              <w:rPr>
                <w:sz w:val="20"/>
                <w:szCs w:val="20"/>
                <w:color w:val="auto"/>
              </w:rPr>
            </w:pPr>
            <w:r>
              <w:rPr>
                <w:rFonts w:ascii="Arial" w:cs="Arial" w:eastAsia="Arial" w:hAnsi="Arial"/>
                <w:sz w:val="14"/>
                <w:szCs w:val="14"/>
                <w:color w:val="auto"/>
              </w:rPr>
              <w:t>(0.38</w:t>
            </w:r>
            <w:r>
              <w:rPr>
                <w:rFonts w:ascii="Arial" w:cs="Arial" w:eastAsia="Arial" w:hAnsi="Arial"/>
                <w:sz w:val="26"/>
                <w:szCs w:val="26"/>
                <w:color w:val="auto"/>
                <w:vertAlign w:val="superscript"/>
              </w:rPr>
              <w:t>)</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0.08</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80"/>
              <w:spacing w:after="0" w:line="227" w:lineRule="exact"/>
              <w:rPr>
                <w:sz w:val="20"/>
                <w:szCs w:val="20"/>
                <w:color w:val="auto"/>
              </w:rPr>
            </w:pPr>
            <w:r>
              <w:rPr>
                <w:rFonts w:ascii="Arial" w:cs="Arial" w:eastAsia="Arial" w:hAnsi="Arial"/>
                <w:sz w:val="14"/>
                <w:szCs w:val="14"/>
                <w:color w:val="auto"/>
              </w:rPr>
              <w:t>(0.88</w:t>
            </w:r>
            <w:r>
              <w:rPr>
                <w:rFonts w:ascii="Arial" w:cs="Arial" w:eastAsia="Arial" w:hAnsi="Arial"/>
                <w:sz w:val="26"/>
                <w:szCs w:val="26"/>
                <w:color w:val="auto"/>
                <w:vertAlign w:val="superscript"/>
              </w:rPr>
              <w:t>)</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187"/>
        </w:trPr>
        <w:tc>
          <w:tcPr>
            <w:tcW w:w="360" w:type="dxa"/>
            <w:vAlign w:val="bottom"/>
            <w:tcBorders>
              <w:top w:val="single" w:sz="8" w:color="CCEEFF"/>
            </w:tcBorders>
            <w:shd w:val="clear" w:color="auto" w:fill="CCEEFF"/>
          </w:tcPr>
          <w:p>
            <w:pPr>
              <w:spacing w:after="0"/>
              <w:rPr>
                <w:sz w:val="16"/>
                <w:szCs w:val="16"/>
                <w:color w:val="auto"/>
              </w:rPr>
            </w:pPr>
          </w:p>
        </w:tc>
        <w:tc>
          <w:tcPr>
            <w:tcW w:w="56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980" w:type="dxa"/>
            <w:vAlign w:val="bottom"/>
            <w:gridSpan w:val="2"/>
          </w:tcPr>
          <w:p>
            <w:pPr>
              <w:spacing w:after="0"/>
              <w:rPr>
                <w:sz w:val="20"/>
                <w:szCs w:val="20"/>
                <w:color w:val="auto"/>
              </w:rPr>
            </w:pPr>
            <w:r>
              <w:rPr>
                <w:rFonts w:ascii="Arial" w:cs="Arial" w:eastAsia="Arial" w:hAnsi="Arial"/>
                <w:sz w:val="16"/>
                <w:szCs w:val="16"/>
                <w:color w:val="auto"/>
                <w:w w:val="94"/>
              </w:rPr>
              <w:t>Weighted average number of shares used in computing basic net income (loss) per share</w:t>
            </w:r>
          </w:p>
        </w:tc>
        <w:tc>
          <w:tcPr>
            <w:tcW w:w="2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49,834,417</w:t>
            </w:r>
          </w:p>
        </w:tc>
        <w:tc>
          <w:tcPr>
            <w:tcW w:w="4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46,361,164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49,750,458</w:t>
            </w:r>
          </w:p>
        </w:tc>
        <w:tc>
          <w:tcPr>
            <w:tcW w:w="38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46,200,884</w:t>
            </w:r>
          </w:p>
        </w:tc>
        <w:tc>
          <w:tcPr>
            <w:tcW w:w="0" w:type="dxa"/>
            <w:vAlign w:val="bottom"/>
          </w:tcPr>
          <w:p>
            <w:pPr>
              <w:spacing w:after="0"/>
              <w:rPr>
                <w:sz w:val="1"/>
                <w:szCs w:val="1"/>
                <w:color w:val="auto"/>
              </w:rPr>
            </w:pPr>
          </w:p>
        </w:tc>
      </w:tr>
      <w:tr>
        <w:trPr>
          <w:trHeight w:val="187"/>
        </w:trPr>
        <w:tc>
          <w:tcPr>
            <w:tcW w:w="360" w:type="dxa"/>
            <w:vAlign w:val="bottom"/>
            <w:tcBorders>
              <w:top w:val="single" w:sz="8" w:color="CCEEFF"/>
            </w:tcBorders>
            <w:shd w:val="clear" w:color="auto" w:fill="CCEEFF"/>
          </w:tcPr>
          <w:p>
            <w:pPr>
              <w:spacing w:after="0"/>
              <w:rPr>
                <w:sz w:val="16"/>
                <w:szCs w:val="16"/>
                <w:color w:val="auto"/>
              </w:rPr>
            </w:pPr>
          </w:p>
        </w:tc>
        <w:tc>
          <w:tcPr>
            <w:tcW w:w="56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Diluted net income (loss) per share</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line="227" w:lineRule="exact"/>
              <w:rPr>
                <w:sz w:val="20"/>
                <w:szCs w:val="20"/>
                <w:color w:val="auto"/>
              </w:rPr>
            </w:pPr>
            <w:r>
              <w:rPr>
                <w:rFonts w:ascii="Arial" w:cs="Arial" w:eastAsia="Arial" w:hAnsi="Arial"/>
                <w:sz w:val="14"/>
                <w:szCs w:val="14"/>
                <w:color w:val="auto"/>
              </w:rPr>
              <w:t>(0.38</w:t>
            </w:r>
            <w:r>
              <w:rPr>
                <w:rFonts w:ascii="Arial" w:cs="Arial" w:eastAsia="Arial" w:hAnsi="Arial"/>
                <w:sz w:val="26"/>
                <w:szCs w:val="26"/>
                <w:color w:val="auto"/>
                <w:vertAlign w:val="superscript"/>
              </w:rPr>
              <w:t>)</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0.08</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80"/>
              <w:spacing w:after="0" w:line="227" w:lineRule="exact"/>
              <w:rPr>
                <w:sz w:val="20"/>
                <w:szCs w:val="20"/>
                <w:color w:val="auto"/>
              </w:rPr>
            </w:pPr>
            <w:r>
              <w:rPr>
                <w:rFonts w:ascii="Arial" w:cs="Arial" w:eastAsia="Arial" w:hAnsi="Arial"/>
                <w:sz w:val="14"/>
                <w:szCs w:val="14"/>
                <w:color w:val="auto"/>
              </w:rPr>
              <w:t>(0.88</w:t>
            </w:r>
            <w:r>
              <w:rPr>
                <w:rFonts w:ascii="Arial" w:cs="Arial" w:eastAsia="Arial" w:hAnsi="Arial"/>
                <w:sz w:val="26"/>
                <w:szCs w:val="26"/>
                <w:color w:val="auto"/>
                <w:vertAlign w:val="superscript"/>
              </w:rPr>
              <w:t>)</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187"/>
        </w:trPr>
        <w:tc>
          <w:tcPr>
            <w:tcW w:w="360" w:type="dxa"/>
            <w:vAlign w:val="bottom"/>
            <w:tcBorders>
              <w:top w:val="single" w:sz="8" w:color="CCEEFF"/>
            </w:tcBorders>
            <w:shd w:val="clear" w:color="auto" w:fill="CCEEFF"/>
          </w:tcPr>
          <w:p>
            <w:pPr>
              <w:spacing w:after="0"/>
              <w:rPr>
                <w:sz w:val="16"/>
                <w:szCs w:val="16"/>
                <w:color w:val="auto"/>
              </w:rPr>
            </w:pPr>
          </w:p>
        </w:tc>
        <w:tc>
          <w:tcPr>
            <w:tcW w:w="56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gridSpan w:val="2"/>
          </w:tcPr>
          <w:p>
            <w:pPr>
              <w:spacing w:after="0"/>
              <w:rPr>
                <w:sz w:val="20"/>
                <w:szCs w:val="20"/>
                <w:color w:val="auto"/>
              </w:rPr>
            </w:pPr>
            <w:r>
              <w:rPr>
                <w:rFonts w:ascii="Arial" w:cs="Arial" w:eastAsia="Arial" w:hAnsi="Arial"/>
                <w:sz w:val="16"/>
                <w:szCs w:val="16"/>
                <w:color w:val="auto"/>
                <w:w w:val="92"/>
              </w:rPr>
              <w:t>Weighted average number of shares used in computing diluted net income (loss) per share</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49,834,417</w:t>
            </w:r>
          </w:p>
        </w:tc>
        <w:tc>
          <w:tcPr>
            <w:tcW w:w="4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48,116,716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49,750,458</w:t>
            </w:r>
          </w:p>
        </w:tc>
        <w:tc>
          <w:tcPr>
            <w:tcW w:w="3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47,846,077</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ind w:left="5580"/>
              <w:spacing w:after="0"/>
              <w:rPr>
                <w:sz w:val="20"/>
                <w:szCs w:val="20"/>
                <w:color w:val="auto"/>
              </w:rPr>
            </w:pPr>
            <w:r>
              <w:rPr>
                <w:rFonts w:ascii="Arial" w:cs="Arial" w:eastAsia="Arial" w:hAnsi="Arial"/>
                <w:sz w:val="16"/>
                <w:szCs w:val="16"/>
                <w:color w:val="auto"/>
              </w:rPr>
              <w:t>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598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sectPr>
      </w:pPr>
    </w:p>
    <w:bookmarkStart w:id="9" w:name="page10"/>
    <w:bookmarkEnd w:id="9"/>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RECONCILIATION OF GAAP TO NON-GAAP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(U.S. dollars in thousands, except share and per share data)</w:t>
      </w:r>
    </w:p>
    <w:p>
      <w:pPr>
        <w:sectPr>
          <w:pgSz w:w="11900" w:h="16900" w:orient="portrait"/>
          <w:cols w:equalWidth="0" w:num="1">
            <w:col w:w="11260"/>
          </w:cols>
          <w:pgMar w:left="320" w:top="816" w:right="319" w:bottom="0" w:gutter="0" w:footer="0" w:header="0"/>
        </w:sectPr>
      </w:pPr>
    </w:p>
    <w:p>
      <w:pPr>
        <w:spacing w:after="0" w:line="182"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12065</wp:posOffset>
            </wp:positionV>
            <wp:extent cx="159321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8" w:lineRule="exact"/>
        <w:rPr>
          <w:sz w:val="20"/>
          <w:szCs w:val="20"/>
          <w:color w:val="auto"/>
        </w:rPr>
      </w:pPr>
    </w:p>
    <w:p>
      <w:pPr>
        <w:ind w:left="6380"/>
        <w:spacing w:after="0"/>
        <w:tabs>
          <w:tab w:leader="none" w:pos="77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29845</wp:posOffset>
            </wp:positionV>
            <wp:extent cx="159321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34"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15240</wp:posOffset>
            </wp:positionV>
            <wp:extent cx="159321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Nine Months Ended</w:t>
      </w:r>
    </w:p>
    <w:p>
      <w:pPr>
        <w:spacing w:after="0" w:line="24"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12065</wp:posOffset>
            </wp:positionV>
            <wp:extent cx="154813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8" w:lineRule="exact"/>
        <w:rPr>
          <w:sz w:val="20"/>
          <w:szCs w:val="20"/>
          <w:color w:val="auto"/>
        </w:rPr>
      </w:pPr>
    </w:p>
    <w:p>
      <w:pPr>
        <w:spacing w:after="0"/>
        <w:tabs>
          <w:tab w:leader="none" w:pos="132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36830</wp:posOffset>
            </wp:positionV>
            <wp:extent cx="154813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15240</wp:posOffset>
            </wp:positionV>
            <wp:extent cx="154813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8380" w:space="720"/>
            <w:col w:w="2160"/>
          </w:cols>
          <w:pgMar w:left="320" w:top="816" w:right="31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66,791</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86,669</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208,220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234,458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cost of revenues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45,358</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46,137</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133,069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124,934</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Cost of product recorded for 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(587)</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(381)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(1,642)</w:t>
            </w: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Cost of service recorded for 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(422)</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(1,268)</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Intangible assets amortization on cost of product (3)</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(744)</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(1,799)</w:t>
            </w: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amortization on cost of service (3)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(160)</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(480)</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Restructuring expenses (4)</w:t>
            </w:r>
          </w:p>
        </w:tc>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(396)</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(396)</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cost of revenues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43,049</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45,234</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127,484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122,543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gross profit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21,433</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40,532</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75,151</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109,524</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Gross profit adjustments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2,309</w:t>
            </w:r>
          </w:p>
        </w:tc>
        <w:tc>
          <w:tcPr>
            <w:tcW w:w="2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903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5,585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2,391</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gross profit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23,742</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41,435</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80,736</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111,915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operating expenses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42,802</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36,613</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128,324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96,424</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(5,646)</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(3,438)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(14,524)</w:t>
            </w: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(9,219)</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Acquisition related expenses (2)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(512)</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Intangible assets amortization (3)</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(160)</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(363)</w:t>
            </w: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Restructuring expenses (4)</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(281)</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(281)</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operating expenses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36,715</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32,883</w:t>
            </w:r>
          </w:p>
        </w:tc>
        <w:tc>
          <w:tcPr>
            <w:tcW w:w="32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112,644</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86,675</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GAAP Financial income, net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2,207</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219</w:t>
            </w:r>
          </w:p>
        </w:tc>
        <w:tc>
          <w:tcPr>
            <w:tcW w:w="32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8,330</w:t>
            </w:r>
          </w:p>
        </w:tc>
        <w:tc>
          <w:tcPr>
            <w:tcW w:w="22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2,635</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losses associated with ASC 842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(279)</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(3,408)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Financial income, net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1,928</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332</w:t>
            </w:r>
          </w:p>
        </w:tc>
        <w:tc>
          <w:tcPr>
            <w:tcW w:w="32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4,922</w:t>
            </w:r>
          </w:p>
        </w:tc>
        <w:tc>
          <w:tcPr>
            <w:tcW w:w="220" w:type="dxa"/>
            <w:vAlign w:val="bottom"/>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2,333</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GAAP Taxes on income (tax benefit)</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(130)</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266</w:t>
            </w:r>
          </w:p>
        </w:tc>
        <w:tc>
          <w:tcPr>
            <w:tcW w:w="32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(1,138)</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Tax effect on to the above non-GAAP adjustments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(2,119)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Deferred tax benefit based on an Israeli statutory tax rate</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(202)</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125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19"/>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Non-GAAP Taxes on income (tax benefit)</w:t>
            </w: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net income (loss)</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(19,032)</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(43,705)</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14,573</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6,655</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4,070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17,434</w:t>
            </w:r>
          </w:p>
        </w:tc>
        <w:tc>
          <w:tcPr>
            <w:tcW w:w="24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10,969</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Acquisition related expenses (2)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512</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Intangible assets amortization (3)</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1,064</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2,642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Restructuring expenses (4)</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677</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677</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Arial" w:cs="Arial" w:eastAsia="Arial" w:hAnsi="Arial"/>
                <w:sz w:val="16"/>
                <w:szCs w:val="16"/>
                <w:color w:val="auto"/>
              </w:rPr>
              <w:t>Foreign exchange losses associated with ASC 842</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(279)</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(3,408)</w:t>
            </w: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Tax effect of the above non-GAAP adjustments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45</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2,119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(95)</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Arial" w:cs="Arial" w:eastAsia="Arial" w:hAnsi="Arial"/>
                <w:sz w:val="16"/>
                <w:szCs w:val="16"/>
                <w:color w:val="auto"/>
              </w:rPr>
              <w:t>Deferred tax benefit at the Israeli statutory tax rate</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202</w:t>
            </w:r>
          </w:p>
        </w:tc>
        <w:tc>
          <w:tcPr>
            <w:tcW w:w="2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774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(125)</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net income (Loss)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(10,668</w:t>
            </w:r>
          </w:p>
        </w:tc>
        <w:tc>
          <w:tcPr>
            <w:tcW w:w="2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11,511</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(26,068</w:t>
            </w:r>
          </w:p>
        </w:tc>
        <w:tc>
          <w:tcPr>
            <w:tcW w:w="2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29,725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GAAP diluted earnings (loss) per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line="227" w:lineRule="exact"/>
              <w:rPr>
                <w:sz w:val="20"/>
                <w:szCs w:val="20"/>
                <w:color w:val="auto"/>
              </w:rPr>
            </w:pPr>
            <w:r>
              <w:rPr>
                <w:rFonts w:ascii="Arial" w:cs="Arial" w:eastAsia="Arial" w:hAnsi="Arial"/>
                <w:sz w:val="14"/>
                <w:szCs w:val="14"/>
                <w:color w:val="auto"/>
              </w:rPr>
              <w:t>(0.38</w:t>
            </w:r>
            <w:r>
              <w:rPr>
                <w:rFonts w:ascii="Arial" w:cs="Arial" w:eastAsia="Arial" w:hAnsi="Arial"/>
                <w:sz w:val="26"/>
                <w:szCs w:val="26"/>
                <w:color w:val="auto"/>
                <w:vertAlign w:val="superscript"/>
              </w:rPr>
              <w:t>)</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0.08</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0"/>
              <w:spacing w:after="0" w:line="227" w:lineRule="exact"/>
              <w:rPr>
                <w:sz w:val="20"/>
                <w:szCs w:val="20"/>
                <w:color w:val="auto"/>
              </w:rPr>
            </w:pPr>
            <w:r>
              <w:rPr>
                <w:rFonts w:ascii="Arial" w:cs="Arial" w:eastAsia="Arial" w:hAnsi="Arial"/>
                <w:sz w:val="14"/>
                <w:szCs w:val="14"/>
                <w:color w:val="auto"/>
              </w:rPr>
              <w:t>(0.88</w:t>
            </w:r>
            <w:r>
              <w:rPr>
                <w:rFonts w:ascii="Arial" w:cs="Arial" w:eastAsia="Arial" w:hAnsi="Arial"/>
                <w:sz w:val="26"/>
                <w:szCs w:val="26"/>
                <w:color w:val="auto"/>
                <w:vertAlign w:val="superscript"/>
              </w:rPr>
              <w: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earnings (loss) per share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line="227" w:lineRule="exact"/>
              <w:rPr>
                <w:sz w:val="20"/>
                <w:szCs w:val="20"/>
                <w:color w:val="auto"/>
              </w:rPr>
            </w:pPr>
            <w:r>
              <w:rPr>
                <w:rFonts w:ascii="Arial" w:cs="Arial" w:eastAsia="Arial" w:hAnsi="Arial"/>
                <w:sz w:val="14"/>
                <w:szCs w:val="14"/>
                <w:color w:val="auto"/>
              </w:rPr>
              <w:t>(0.21</w:t>
            </w:r>
            <w:r>
              <w:rPr>
                <w:rFonts w:ascii="Arial" w:cs="Arial" w:eastAsia="Arial" w:hAnsi="Arial"/>
                <w:sz w:val="26"/>
                <w:szCs w:val="26"/>
                <w:color w:val="auto"/>
                <w:vertAlign w:val="superscript"/>
              </w:rPr>
              <w:t>)</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0.24</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80"/>
              <w:spacing w:after="0" w:line="227" w:lineRule="exact"/>
              <w:rPr>
                <w:sz w:val="20"/>
                <w:szCs w:val="20"/>
                <w:color w:val="auto"/>
              </w:rPr>
            </w:pPr>
            <w:r>
              <w:rPr>
                <w:rFonts w:ascii="Arial" w:cs="Arial" w:eastAsia="Arial" w:hAnsi="Arial"/>
                <w:sz w:val="14"/>
                <w:szCs w:val="14"/>
                <w:color w:val="auto"/>
              </w:rPr>
              <w:t>(0.52</w:t>
            </w:r>
            <w:r>
              <w:rPr>
                <w:rFonts w:ascii="Arial" w:cs="Arial" w:eastAsia="Arial" w:hAnsi="Arial"/>
                <w:sz w:val="26"/>
                <w:szCs w:val="26"/>
                <w:color w:val="auto"/>
                <w:vertAlign w:val="superscript"/>
              </w:rPr>
              <w:t>)</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GAAP diluted net earnings (loss)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49,834,417</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48,116,716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49,750,458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47,846,077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Non-GAAP diluted net earnings (loss)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49,834,417</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48,361,472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49,750,458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48,082,118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(1) Share-based compensation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Arial" w:cs="Arial" w:eastAsia="Arial" w:hAnsi="Arial"/>
                <w:sz w:val="16"/>
                <w:szCs w:val="16"/>
                <w:color w:val="auto"/>
              </w:rPr>
              <w:t>Cost of product revenues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587</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381</w:t>
            </w:r>
          </w:p>
        </w:tc>
        <w:tc>
          <w:tcPr>
            <w:tcW w:w="32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1,642</w:t>
            </w:r>
          </w:p>
        </w:tc>
        <w:tc>
          <w:tcPr>
            <w:tcW w:w="22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service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422</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1,515</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3,972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1,810</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2,368</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3,651</w:t>
            </w:r>
          </w:p>
        </w:tc>
        <w:tc>
          <w:tcPr>
            <w:tcW w:w="0" w:type="dxa"/>
            <w:vAlign w:val="bottom"/>
          </w:tcPr>
          <w:p>
            <w:pPr>
              <w:spacing w:after="0"/>
              <w:rPr>
                <w:sz w:val="1"/>
                <w:szCs w:val="1"/>
                <w:color w:val="auto"/>
              </w:rPr>
            </w:pPr>
          </w:p>
        </w:tc>
      </w:tr>
      <w:tr>
        <w:trPr>
          <w:trHeight w:val="203"/>
        </w:trPr>
        <w:tc>
          <w:tcPr>
            <w:tcW w:w="598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1,763</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4,884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3,758</w:t>
            </w: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6,655</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4,070</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17,434</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10,969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(2) Acquisition related expenses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194</w:t>
            </w:r>
          </w:p>
        </w:tc>
        <w:tc>
          <w:tcPr>
            <w:tcW w:w="32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512</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5980" w:type="dxa"/>
            <w:vAlign w:val="bottom"/>
          </w:tcPr>
          <w:p>
            <w:pPr>
              <w:spacing w:after="0"/>
              <w:rPr>
                <w:sz w:val="22"/>
                <w:szCs w:val="22"/>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194</w:t>
            </w:r>
          </w:p>
        </w:tc>
        <w:tc>
          <w:tcPr>
            <w:tcW w:w="32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512</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(3) Intangible assets amortization</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280"/>
              <w:spacing w:after="0"/>
              <w:rPr>
                <w:sz w:val="20"/>
                <w:szCs w:val="20"/>
                <w:color w:val="auto"/>
              </w:rPr>
            </w:pPr>
            <w:r>
              <w:rPr>
                <w:rFonts w:ascii="Arial" w:cs="Arial" w:eastAsia="Arial" w:hAnsi="Arial"/>
                <w:sz w:val="16"/>
                <w:szCs w:val="16"/>
                <w:color w:val="auto"/>
              </w:rPr>
              <w:t>Cost of product revenues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744</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16"/>
                <w:szCs w:val="16"/>
                <w:color w:val="auto"/>
              </w:rPr>
            </w:pPr>
          </w:p>
        </w:tc>
        <w:tc>
          <w:tcPr>
            <w:tcW w:w="32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1,799</w:t>
            </w:r>
          </w:p>
        </w:tc>
        <w:tc>
          <w:tcPr>
            <w:tcW w:w="22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service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160</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480</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07"/>
        </w:trPr>
        <w:tc>
          <w:tcPr>
            <w:tcW w:w="598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160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363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153"/>
        </w:trPr>
        <w:tc>
          <w:tcPr>
            <w:tcW w:w="59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260"/>
          </w:cols>
          <w:pgMar w:left="320" w:top="816" w:right="319"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80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1,064</w:t>
            </w: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369</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8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(4) Restructuring expenses</w:t>
            </w:r>
          </w:p>
        </w:tc>
        <w:tc>
          <w:tcPr>
            <w:tcW w:w="2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00" w:type="dxa"/>
            <w:vAlign w:val="bottom"/>
          </w:tcPr>
          <w:p>
            <w:pPr>
              <w:ind w:left="280"/>
              <w:spacing w:after="0"/>
              <w:rPr>
                <w:sz w:val="20"/>
                <w:szCs w:val="20"/>
                <w:color w:val="auto"/>
              </w:rPr>
            </w:pPr>
            <w:r>
              <w:rPr>
                <w:rFonts w:ascii="Arial" w:cs="Arial" w:eastAsia="Arial" w:hAnsi="Arial"/>
                <w:sz w:val="16"/>
                <w:szCs w:val="16"/>
                <w:color w:val="auto"/>
              </w:rPr>
              <w:t>Cost of product revenues</w:t>
            </w:r>
          </w:p>
        </w:tc>
        <w:tc>
          <w:tcPr>
            <w:tcW w:w="26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384</w:t>
            </w:r>
          </w:p>
        </w:tc>
        <w:tc>
          <w:tcPr>
            <w:tcW w:w="500" w:type="dxa"/>
            <w:vAlign w:val="bottom"/>
          </w:tcPr>
          <w:p>
            <w:pPr>
              <w:jc w:val="right"/>
              <w:ind w:right="34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384</w:t>
            </w:r>
          </w:p>
        </w:tc>
        <w:tc>
          <w:tcPr>
            <w:tcW w:w="460" w:type="dxa"/>
            <w:vAlign w:val="bottom"/>
          </w:tcPr>
          <w:p>
            <w:pPr>
              <w:jc w:val="right"/>
              <w:ind w:right="30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service revenues</w:t>
            </w:r>
          </w:p>
        </w:tc>
        <w:tc>
          <w:tcPr>
            <w:tcW w:w="2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w:t>
            </w: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0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64</w:t>
            </w: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 and marketing</w:t>
            </w:r>
          </w:p>
        </w:tc>
        <w:tc>
          <w:tcPr>
            <w:tcW w:w="2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188</w:t>
            </w: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w:t>
            </w:r>
          </w:p>
        </w:tc>
        <w:tc>
          <w:tcPr>
            <w:tcW w:w="4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2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29</w:t>
            </w:r>
          </w:p>
        </w:tc>
        <w:tc>
          <w:tcPr>
            <w:tcW w:w="5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8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8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677</w:t>
            </w: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677</w:t>
            </w: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240"/>
              <w:spacing w:after="0"/>
              <w:rPr>
                <w:sz w:val="20"/>
                <w:szCs w:val="20"/>
                <w:color w:val="auto"/>
              </w:rPr>
            </w:pPr>
            <w:r>
              <w:rPr>
                <w:rFonts w:ascii="Arial" w:cs="Arial" w:eastAsia="Arial" w:hAnsi="Arial"/>
                <w:sz w:val="16"/>
                <w:szCs w:val="16"/>
                <w:color w:val="auto"/>
              </w:rPr>
              <w:t>6</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38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0"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 dollars in thousands)</w:t>
      </w:r>
    </w:p>
    <w:p>
      <w:pPr>
        <w:sectPr>
          <w:pgSz w:w="11900" w:h="16838" w:orient="portrait"/>
          <w:cols w:equalWidth="0" w:num="1">
            <w:col w:w="11260"/>
          </w:cols>
          <w:pgMar w:left="320" w:top="816" w:right="319" w:bottom="1440" w:gutter="0" w:footer="0" w:header="0"/>
        </w:sectPr>
      </w:pPr>
    </w:p>
    <w:p>
      <w:pPr>
        <w:spacing w:after="0" w:line="182"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12065</wp:posOffset>
            </wp:positionV>
            <wp:extent cx="159321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8" w:lineRule="exact"/>
        <w:rPr>
          <w:sz w:val="20"/>
          <w:szCs w:val="20"/>
          <w:color w:val="auto"/>
        </w:rPr>
      </w:pPr>
    </w:p>
    <w:p>
      <w:pPr>
        <w:ind w:left="6380"/>
        <w:spacing w:after="0"/>
        <w:tabs>
          <w:tab w:leader="none" w:pos="77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29845</wp:posOffset>
            </wp:positionV>
            <wp:extent cx="159321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34"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15240</wp:posOffset>
            </wp:positionV>
            <wp:extent cx="159321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Nine Months Ended</w:t>
      </w:r>
    </w:p>
    <w:p>
      <w:pPr>
        <w:spacing w:after="0" w:line="24" w:lineRule="exact"/>
        <w:rPr>
          <w:sz w:val="20"/>
          <w:szCs w:val="20"/>
          <w:color w:val="auto"/>
        </w:rPr>
      </w:pPr>
    </w:p>
    <w:p>
      <w:pPr>
        <w:jc w:val="center"/>
        <w:ind w:right="5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12065</wp:posOffset>
            </wp:positionV>
            <wp:extent cx="154813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8" w:lineRule="exact"/>
        <w:rPr>
          <w:sz w:val="20"/>
          <w:szCs w:val="20"/>
          <w:color w:val="auto"/>
        </w:rPr>
      </w:pPr>
    </w:p>
    <w:p>
      <w:pPr>
        <w:spacing w:after="0"/>
        <w:tabs>
          <w:tab w:leader="none" w:pos="132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36830</wp:posOffset>
            </wp:positionV>
            <wp:extent cx="154813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15240</wp:posOffset>
            </wp:positionV>
            <wp:extent cx="154813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8380" w:space="720"/>
            <w:col w:w="2160"/>
          </w:cols>
          <w:pgMar w:left="320" w:top="816" w:right="3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5540" w:type="dxa"/>
            <w:vAlign w:val="bottom"/>
            <w:gridSpan w:val="4"/>
          </w:tcPr>
          <w:p>
            <w:pPr>
              <w:spacing w:after="0"/>
              <w:rPr>
                <w:sz w:val="20"/>
                <w:szCs w:val="20"/>
                <w:color w:val="auto"/>
              </w:rPr>
            </w:pPr>
            <w:r>
              <w:rPr>
                <w:rFonts w:ascii="Arial" w:cs="Arial" w:eastAsia="Arial" w:hAnsi="Arial"/>
                <w:sz w:val="16"/>
                <w:szCs w:val="16"/>
                <w:color w:val="auto"/>
              </w:rPr>
              <w:t>Cash flows from operating activities:</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(19,032)</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w:t>
            </w: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(43,705)</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14,573</w:t>
            </w:r>
          </w:p>
        </w:tc>
        <w:tc>
          <w:tcPr>
            <w:tcW w:w="0" w:type="dxa"/>
            <w:vAlign w:val="bottom"/>
          </w:tcPr>
          <w:p>
            <w:pPr>
              <w:spacing w:after="0"/>
              <w:rPr>
                <w:sz w:val="1"/>
                <w:szCs w:val="1"/>
                <w:color w:val="auto"/>
              </w:rPr>
            </w:pPr>
          </w:p>
        </w:tc>
      </w:tr>
      <w:tr>
        <w:trPr>
          <w:trHeight w:val="179"/>
        </w:trPr>
        <w:tc>
          <w:tcPr>
            <w:tcW w:w="5540" w:type="dxa"/>
            <w:vAlign w:val="bottom"/>
            <w:gridSpan w:val="4"/>
          </w:tcPr>
          <w:p>
            <w:pPr>
              <w:spacing w:after="0" w:line="179" w:lineRule="exact"/>
              <w:rPr>
                <w:sz w:val="20"/>
                <w:szCs w:val="20"/>
                <w:color w:val="auto"/>
              </w:rPr>
            </w:pPr>
            <w:r>
              <w:rPr>
                <w:rFonts w:ascii="Arial" w:cs="Arial" w:eastAsia="Arial" w:hAnsi="Arial"/>
                <w:sz w:val="16"/>
                <w:szCs w:val="16"/>
                <w:color w:val="auto"/>
                <w:w w:val="90"/>
              </w:rPr>
              <w:t>Adjustments to reconcile net income (loss) to net cash provided by (used in) operating</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540" w:type="dxa"/>
            <w:vAlign w:val="bottom"/>
            <w:gridSpan w:val="4"/>
          </w:tcPr>
          <w:p>
            <w:pPr>
              <w:ind w:left="140"/>
              <w:spacing w:after="0"/>
              <w:rPr>
                <w:sz w:val="20"/>
                <w:szCs w:val="20"/>
                <w:color w:val="auto"/>
              </w:rPr>
            </w:pPr>
            <w:r>
              <w:rPr>
                <w:rFonts w:ascii="Arial" w:cs="Arial" w:eastAsia="Arial" w:hAnsi="Arial"/>
                <w:sz w:val="16"/>
                <w:szCs w:val="16"/>
                <w:color w:val="auto"/>
              </w:rPr>
              <w:t>activities:</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3,264</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9,166</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4,945</w:t>
            </w:r>
          </w:p>
        </w:tc>
        <w:tc>
          <w:tcPr>
            <w:tcW w:w="0" w:type="dxa"/>
            <w:vAlign w:val="bottom"/>
          </w:tcPr>
          <w:p>
            <w:pPr>
              <w:spacing w:after="0"/>
              <w:rPr>
                <w:sz w:val="1"/>
                <w:szCs w:val="1"/>
                <w:color w:val="auto"/>
              </w:rPr>
            </w:pPr>
          </w:p>
        </w:tc>
      </w:tr>
      <w:tr>
        <w:trPr>
          <w:trHeight w:val="191"/>
        </w:trPr>
        <w:tc>
          <w:tcPr>
            <w:tcW w:w="5540" w:type="dxa"/>
            <w:vAlign w:val="bottom"/>
            <w:gridSpan w:val="4"/>
          </w:tcPr>
          <w:p>
            <w:pPr>
              <w:ind w:left="140"/>
              <w:spacing w:after="0"/>
              <w:rPr>
                <w:sz w:val="20"/>
                <w:szCs w:val="20"/>
                <w:color w:val="auto"/>
              </w:rPr>
            </w:pPr>
            <w:r>
              <w:rPr>
                <w:rFonts w:ascii="Arial" w:cs="Arial" w:eastAsia="Arial" w:hAnsi="Arial"/>
                <w:sz w:val="16"/>
                <w:szCs w:val="16"/>
                <w:color w:val="auto"/>
              </w:rPr>
              <w:t>Fair value of warrants deducted from revenues</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5,640</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7,857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18,161</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17,568</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6,655</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17,434</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10,969</w:t>
            </w:r>
          </w:p>
        </w:tc>
        <w:tc>
          <w:tcPr>
            <w:tcW w:w="0" w:type="dxa"/>
            <w:vAlign w:val="bottom"/>
          </w:tcPr>
          <w:p>
            <w:pPr>
              <w:spacing w:after="0"/>
              <w:rPr>
                <w:sz w:val="1"/>
                <w:szCs w:val="1"/>
                <w:color w:val="auto"/>
              </w:rPr>
            </w:pPr>
          </w:p>
        </w:tc>
      </w:tr>
      <w:tr>
        <w:trPr>
          <w:trHeight w:val="191"/>
        </w:trPr>
        <w:tc>
          <w:tcPr>
            <w:tcW w:w="5540" w:type="dxa"/>
            <w:vAlign w:val="bottom"/>
            <w:gridSpan w:val="4"/>
          </w:tcPr>
          <w:p>
            <w:pPr>
              <w:ind w:left="140"/>
              <w:spacing w:after="0"/>
              <w:rPr>
                <w:sz w:val="20"/>
                <w:szCs w:val="20"/>
                <w:color w:val="auto"/>
              </w:rPr>
            </w:pPr>
            <w:r>
              <w:rPr>
                <w:rFonts w:ascii="Arial" w:cs="Arial" w:eastAsia="Arial" w:hAnsi="Arial"/>
                <w:sz w:val="16"/>
                <w:szCs w:val="16"/>
                <w:color w:val="auto"/>
                <w:w w:val="95"/>
              </w:rPr>
              <w:t>Amortization of premium and accretion of discount on marketable securities, net</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435</w:t>
            </w:r>
          </w:p>
        </w:tc>
        <w:tc>
          <w:tcPr>
            <w:tcW w:w="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1,447</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(1,620)</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Realized gain on sale and redemption of marketable securities</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63"/>
        </w:trPr>
        <w:tc>
          <w:tcPr>
            <w:tcW w:w="5540" w:type="dxa"/>
            <w:vAlign w:val="bottom"/>
            <w:gridSpan w:val="4"/>
          </w:tcPr>
          <w:p>
            <w:pPr>
              <w:spacing w:after="0" w:line="155" w:lineRule="exact"/>
              <w:rPr>
                <w:sz w:val="20"/>
                <w:szCs w:val="20"/>
                <w:color w:val="auto"/>
              </w:rPr>
            </w:pPr>
            <w:r>
              <w:rPr>
                <w:rFonts w:ascii="Arial" w:cs="Arial" w:eastAsia="Arial" w:hAnsi="Arial"/>
                <w:sz w:val="16"/>
                <w:szCs w:val="16"/>
                <w:color w:val="auto"/>
              </w:rPr>
              <w:t>Change in operating assets and liabilities:</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640" w:type="dxa"/>
            <w:vAlign w:val="bottom"/>
            <w:tcBorders>
              <w:top w:val="single" w:sz="8" w:color="auto"/>
            </w:tcBorders>
            <w:gridSpan w:val="3"/>
            <w:shd w:val="clear" w:color="auto" w:fill="CCEEFF"/>
          </w:tcPr>
          <w:p>
            <w:pPr>
              <w:ind w:left="140"/>
              <w:spacing w:after="0"/>
              <w:rPr>
                <w:sz w:val="20"/>
                <w:szCs w:val="20"/>
                <w:color w:val="auto"/>
              </w:rPr>
            </w:pPr>
            <w:r>
              <w:rPr>
                <w:rFonts w:ascii="Arial" w:cs="Arial" w:eastAsia="Arial" w:hAnsi="Arial"/>
                <w:sz w:val="16"/>
                <w:szCs w:val="16"/>
                <w:color w:val="auto"/>
              </w:rPr>
              <w:t>Trade receivables, net</w:t>
            </w:r>
          </w:p>
        </w:tc>
        <w:tc>
          <w:tcPr>
            <w:tcW w:w="2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(3,214)</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12,798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(12,218)</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191"/>
        </w:trPr>
        <w:tc>
          <w:tcPr>
            <w:tcW w:w="5540" w:type="dxa"/>
            <w:vAlign w:val="bottom"/>
            <w:gridSpan w:val="4"/>
          </w:tcPr>
          <w:p>
            <w:pPr>
              <w:ind w:left="140"/>
              <w:spacing w:after="0"/>
              <w:rPr>
                <w:sz w:val="20"/>
                <w:szCs w:val="20"/>
                <w:color w:val="auto"/>
              </w:rPr>
            </w:pPr>
            <w:r>
              <w:rPr>
                <w:rFonts w:ascii="Arial" w:cs="Arial" w:eastAsia="Arial" w:hAnsi="Arial"/>
                <w:sz w:val="16"/>
                <w:szCs w:val="16"/>
                <w:color w:val="auto"/>
              </w:rPr>
              <w:t>Other accounts receivables and prepaid expenses</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(4,343)</w:t>
            </w:r>
          </w:p>
        </w:tc>
        <w:tc>
          <w:tcPr>
            <w:tcW w:w="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(340)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(6,134)</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(1,853)</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(2,715)</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(26,567)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(3,765)</w:t>
            </w:r>
          </w:p>
        </w:tc>
        <w:tc>
          <w:tcPr>
            <w:tcW w:w="0" w:type="dxa"/>
            <w:vAlign w:val="bottom"/>
          </w:tcPr>
          <w:p>
            <w:pPr>
              <w:spacing w:after="0"/>
              <w:rPr>
                <w:sz w:val="1"/>
                <w:szCs w:val="1"/>
                <w:color w:val="auto"/>
              </w:rPr>
            </w:pPr>
          </w:p>
        </w:tc>
      </w:tr>
      <w:tr>
        <w:trPr>
          <w:trHeight w:val="191"/>
        </w:trPr>
        <w:tc>
          <w:tcPr>
            <w:tcW w:w="5540" w:type="dxa"/>
            <w:vAlign w:val="bottom"/>
            <w:gridSpan w:val="4"/>
          </w:tcPr>
          <w:p>
            <w:pPr>
              <w:ind w:left="140"/>
              <w:spacing w:after="0"/>
              <w:rPr>
                <w:sz w:val="20"/>
                <w:szCs w:val="20"/>
                <w:color w:val="auto"/>
              </w:rPr>
            </w:pPr>
            <w:r>
              <w:rPr>
                <w:rFonts w:ascii="Arial" w:cs="Arial" w:eastAsia="Arial" w:hAnsi="Arial"/>
                <w:sz w:val="16"/>
                <w:szCs w:val="16"/>
                <w:color w:val="auto"/>
              </w:rPr>
              <w:t>Operating leases right-of-use assets and liabilities, net</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(290)</w:t>
            </w:r>
          </w:p>
        </w:tc>
        <w:tc>
          <w:tcPr>
            <w:tcW w:w="3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(3,147)</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Deferred taxes</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(577)</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(2,111)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(2,993)</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(1,866)</w:t>
            </w:r>
          </w:p>
        </w:tc>
        <w:tc>
          <w:tcPr>
            <w:tcW w:w="0" w:type="dxa"/>
            <w:vAlign w:val="bottom"/>
          </w:tcPr>
          <w:p>
            <w:pPr>
              <w:spacing w:after="0"/>
              <w:rPr>
                <w:sz w:val="1"/>
                <w:szCs w:val="1"/>
                <w:color w:val="auto"/>
              </w:rPr>
            </w:pPr>
          </w:p>
        </w:tc>
      </w:tr>
      <w:tr>
        <w:trPr>
          <w:trHeight w:val="191"/>
        </w:trPr>
        <w:tc>
          <w:tcPr>
            <w:tcW w:w="5540" w:type="dxa"/>
            <w:vAlign w:val="bottom"/>
            <w:gridSpan w:val="4"/>
          </w:tcPr>
          <w:p>
            <w:pPr>
              <w:ind w:left="140"/>
              <w:spacing w:after="0"/>
              <w:rPr>
                <w:sz w:val="20"/>
                <w:szCs w:val="20"/>
                <w:color w:val="auto"/>
              </w:rPr>
            </w:pPr>
            <w:r>
              <w:rPr>
                <w:rFonts w:ascii="Arial" w:cs="Arial" w:eastAsia="Arial" w:hAnsi="Arial"/>
                <w:sz w:val="16"/>
                <w:szCs w:val="16"/>
                <w:color w:val="auto"/>
              </w:rPr>
              <w:t>Deposits and other long term assets</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(1,071)</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(2,392)</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Trade payables</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(5,960)</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(17,880)</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191"/>
        </w:trPr>
        <w:tc>
          <w:tcPr>
            <w:tcW w:w="5540" w:type="dxa"/>
            <w:vAlign w:val="bottom"/>
            <w:gridSpan w:val="4"/>
          </w:tcPr>
          <w:p>
            <w:pPr>
              <w:ind w:left="140"/>
              <w:spacing w:after="0"/>
              <w:rPr>
                <w:sz w:val="20"/>
                <w:szCs w:val="20"/>
                <w:color w:val="auto"/>
              </w:rPr>
            </w:pPr>
            <w:r>
              <w:rPr>
                <w:rFonts w:ascii="Arial" w:cs="Arial" w:eastAsia="Arial" w:hAnsi="Arial"/>
                <w:sz w:val="16"/>
                <w:szCs w:val="16"/>
                <w:color w:val="auto"/>
              </w:rPr>
              <w:t>Operating lease liabilities</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Employees and payroll accruals</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1,382</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(5,452)</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8,878</w:t>
            </w:r>
          </w:p>
        </w:tc>
        <w:tc>
          <w:tcPr>
            <w:tcW w:w="0" w:type="dxa"/>
            <w:vAlign w:val="bottom"/>
          </w:tcPr>
          <w:p>
            <w:pPr>
              <w:spacing w:after="0"/>
              <w:rPr>
                <w:sz w:val="1"/>
                <w:szCs w:val="1"/>
                <w:color w:val="auto"/>
              </w:rPr>
            </w:pPr>
          </w:p>
        </w:tc>
      </w:tr>
      <w:tr>
        <w:trPr>
          <w:trHeight w:val="191"/>
        </w:trPr>
        <w:tc>
          <w:tcPr>
            <w:tcW w:w="5540" w:type="dxa"/>
            <w:vAlign w:val="bottom"/>
            <w:gridSpan w:val="4"/>
          </w:tcPr>
          <w:p>
            <w:pPr>
              <w:ind w:left="140"/>
              <w:spacing w:after="0"/>
              <w:rPr>
                <w:sz w:val="20"/>
                <w:szCs w:val="20"/>
                <w:color w:val="auto"/>
              </w:rPr>
            </w:pPr>
            <w:r>
              <w:rPr>
                <w:rFonts w:ascii="Arial" w:cs="Arial" w:eastAsia="Arial" w:hAnsi="Arial"/>
                <w:sz w:val="16"/>
                <w:szCs w:val="16"/>
                <w:color w:val="auto"/>
              </w:rPr>
              <w:t>Deferred revenues and advances from customers</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2,581</w:t>
            </w:r>
          </w:p>
        </w:tc>
        <w:tc>
          <w:tcPr>
            <w:tcW w:w="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(3,949)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(1,533)</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(15,350)</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Other payables and accrued expenses</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12,623</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16,063</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10,479</w:t>
            </w:r>
          </w:p>
        </w:tc>
        <w:tc>
          <w:tcPr>
            <w:tcW w:w="0" w:type="dxa"/>
            <w:vAlign w:val="bottom"/>
          </w:tcPr>
          <w:p>
            <w:pPr>
              <w:spacing w:after="0"/>
              <w:rPr>
                <w:sz w:val="1"/>
                <w:szCs w:val="1"/>
                <w:color w:val="auto"/>
              </w:rPr>
            </w:pPr>
          </w:p>
        </w:tc>
      </w:tr>
      <w:tr>
        <w:trPr>
          <w:trHeight w:val="191"/>
        </w:trPr>
        <w:tc>
          <w:tcPr>
            <w:tcW w:w="5540" w:type="dxa"/>
            <w:vAlign w:val="bottom"/>
            <w:gridSpan w:val="4"/>
          </w:tcPr>
          <w:p>
            <w:pPr>
              <w:ind w:left="140"/>
              <w:spacing w:after="0"/>
              <w:rPr>
                <w:sz w:val="20"/>
                <w:szCs w:val="20"/>
                <w:color w:val="auto"/>
              </w:rPr>
            </w:pPr>
            <w:r>
              <w:rPr>
                <w:rFonts w:ascii="Arial" w:cs="Arial" w:eastAsia="Arial" w:hAnsi="Arial"/>
                <w:sz w:val="16"/>
                <w:szCs w:val="16"/>
                <w:color w:val="auto"/>
              </w:rPr>
              <w:t>Accrued severance pay, net</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(280)</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Other long - term liabilities</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(1,046)</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207"/>
        </w:trPr>
        <w:tc>
          <w:tcPr>
            <w:tcW w:w="5540" w:type="dxa"/>
            <w:vAlign w:val="bottom"/>
            <w:gridSpan w:val="4"/>
          </w:tcPr>
          <w:p>
            <w:pPr>
              <w:spacing w:after="0"/>
              <w:rPr>
                <w:sz w:val="20"/>
                <w:szCs w:val="20"/>
                <w:color w:val="auto"/>
              </w:rPr>
            </w:pPr>
            <w:r>
              <w:rPr>
                <w:rFonts w:ascii="Arial" w:cs="Arial" w:eastAsia="Arial" w:hAnsi="Arial"/>
                <w:sz w:val="16"/>
                <w:szCs w:val="16"/>
                <w:color w:val="auto"/>
              </w:rPr>
              <w:t>Loss from sale and disposal of property, plant and Equipment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526</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567</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54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(5,130</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32,800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(59,770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43,130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540" w:type="dxa"/>
            <w:vAlign w:val="bottom"/>
            <w:gridSpan w:val="4"/>
            <w:shd w:val="clear" w:color="auto" w:fill="CCEEFF"/>
          </w:tcPr>
          <w:p>
            <w:pPr>
              <w:spacing w:after="0" w:line="155" w:lineRule="exact"/>
              <w:rPr>
                <w:sz w:val="20"/>
                <w:szCs w:val="20"/>
                <w:color w:val="auto"/>
              </w:rPr>
            </w:pPr>
            <w:r>
              <w:rPr>
                <w:rFonts w:ascii="Arial" w:cs="Arial" w:eastAsia="Arial" w:hAnsi="Arial"/>
                <w:sz w:val="16"/>
                <w:szCs w:val="16"/>
                <w:color w:val="auto"/>
              </w:rPr>
              <w:t>Cash flows from investing activities:</w:t>
            </w: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340" w:type="dxa"/>
            <w:vAlign w:val="bottom"/>
            <w:tcBorders>
              <w:top w:val="single" w:sz="8" w:color="auto"/>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2900" w:type="dxa"/>
            <w:vAlign w:val="bottom"/>
            <w:tcBorders>
              <w:top w:val="single" w:sz="8" w:color="CCEEFF"/>
            </w:tcBorders>
          </w:tcPr>
          <w:p>
            <w:pPr>
              <w:spacing w:after="0"/>
              <w:rPr>
                <w:sz w:val="11"/>
                <w:szCs w:val="11"/>
                <w:color w:val="auto"/>
              </w:rPr>
            </w:pPr>
          </w:p>
        </w:tc>
        <w:tc>
          <w:tcPr>
            <w:tcW w:w="44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Purchase of property, plant and equipment</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(2,819)</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(3,867)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(12,266)</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(9,422)</w:t>
            </w:r>
          </w:p>
        </w:tc>
        <w:tc>
          <w:tcPr>
            <w:tcW w:w="0" w:type="dxa"/>
            <w:vAlign w:val="bottom"/>
          </w:tcPr>
          <w:p>
            <w:pPr>
              <w:spacing w:after="0"/>
              <w:rPr>
                <w:sz w:val="1"/>
                <w:szCs w:val="1"/>
                <w:color w:val="auto"/>
              </w:rPr>
            </w:pPr>
          </w:p>
        </w:tc>
      </w:tr>
      <w:tr>
        <w:trPr>
          <w:trHeight w:val="191"/>
        </w:trPr>
        <w:tc>
          <w:tcPr>
            <w:tcW w:w="5540" w:type="dxa"/>
            <w:vAlign w:val="bottom"/>
            <w:gridSpan w:val="4"/>
          </w:tcPr>
          <w:p>
            <w:pPr>
              <w:spacing w:after="0"/>
              <w:rPr>
                <w:sz w:val="20"/>
                <w:szCs w:val="20"/>
                <w:color w:val="auto"/>
              </w:rPr>
            </w:pPr>
            <w:r>
              <w:rPr>
                <w:rFonts w:ascii="Arial" w:cs="Arial" w:eastAsia="Arial" w:hAnsi="Arial"/>
                <w:sz w:val="16"/>
                <w:szCs w:val="16"/>
                <w:color w:val="auto"/>
              </w:rPr>
              <w:t>Investment in equity securities</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(273)</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(627)</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Acquisition of intangible assets</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(102)</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(235)</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4"/>
          </w:tcPr>
          <w:p>
            <w:pPr>
              <w:spacing w:after="0"/>
              <w:rPr>
                <w:sz w:val="20"/>
                <w:szCs w:val="20"/>
                <w:color w:val="auto"/>
              </w:rPr>
            </w:pPr>
            <w:r>
              <w:rPr>
                <w:rFonts w:ascii="Arial" w:cs="Arial" w:eastAsia="Arial" w:hAnsi="Arial"/>
                <w:sz w:val="16"/>
                <w:szCs w:val="16"/>
                <w:color w:val="auto"/>
              </w:rPr>
              <w:t>Proceeds from sale of property, plant and equipment</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paid in connection with acquisition, net of cash acquired</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(14,991)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(14,654)</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(14,991)</w:t>
            </w:r>
          </w:p>
        </w:tc>
        <w:tc>
          <w:tcPr>
            <w:tcW w:w="0" w:type="dxa"/>
            <w:vAlign w:val="bottom"/>
          </w:tcPr>
          <w:p>
            <w:pPr>
              <w:spacing w:after="0"/>
              <w:rPr>
                <w:sz w:val="1"/>
                <w:szCs w:val="1"/>
                <w:color w:val="auto"/>
              </w:rPr>
            </w:pPr>
          </w:p>
        </w:tc>
      </w:tr>
      <w:tr>
        <w:trPr>
          <w:trHeight w:val="191"/>
        </w:trPr>
        <w:tc>
          <w:tcPr>
            <w:tcW w:w="5540" w:type="dxa"/>
            <w:vAlign w:val="bottom"/>
            <w:gridSpan w:val="4"/>
          </w:tcPr>
          <w:p>
            <w:pPr>
              <w:spacing w:after="0"/>
              <w:rPr>
                <w:sz w:val="20"/>
                <w:szCs w:val="20"/>
                <w:color w:val="auto"/>
              </w:rPr>
            </w:pPr>
            <w:r>
              <w:rPr>
                <w:rFonts w:ascii="Arial" w:cs="Arial" w:eastAsia="Arial" w:hAnsi="Arial"/>
                <w:sz w:val="16"/>
                <w:szCs w:val="16"/>
                <w:color w:val="auto"/>
              </w:rPr>
              <w:t>Investment in bank deposits</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(100,059)</w:t>
            </w:r>
          </w:p>
        </w:tc>
        <w:tc>
          <w:tcPr>
            <w:tcW w:w="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(6,167)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(350,954)</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(16,299)</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Proceeds from sales and redemption of marketable securities</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1"/>
        </w:trPr>
        <w:tc>
          <w:tcPr>
            <w:tcW w:w="5540" w:type="dxa"/>
            <w:vAlign w:val="bottom"/>
            <w:gridSpan w:val="4"/>
          </w:tcPr>
          <w:p>
            <w:pPr>
              <w:spacing w:after="0"/>
              <w:rPr>
                <w:sz w:val="20"/>
                <w:szCs w:val="20"/>
                <w:color w:val="auto"/>
              </w:rPr>
            </w:pPr>
            <w:r>
              <w:rPr>
                <w:rFonts w:ascii="Arial" w:cs="Arial" w:eastAsia="Arial" w:hAnsi="Arial"/>
                <w:sz w:val="16"/>
                <w:szCs w:val="16"/>
                <w:color w:val="auto"/>
              </w:rPr>
              <w:t>Proceeds from maturity of marketable securities</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3,976</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7,254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21,398</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9,304</w:t>
            </w:r>
          </w:p>
        </w:tc>
        <w:tc>
          <w:tcPr>
            <w:tcW w:w="0" w:type="dxa"/>
            <w:vAlign w:val="bottom"/>
          </w:tcPr>
          <w:p>
            <w:pPr>
              <w:spacing w:after="0"/>
              <w:rPr>
                <w:sz w:val="1"/>
                <w:szCs w:val="1"/>
                <w:color w:val="auto"/>
              </w:rPr>
            </w:pPr>
          </w:p>
        </w:tc>
      </w:tr>
      <w:tr>
        <w:trPr>
          <w:trHeight w:val="223"/>
        </w:trPr>
        <w:tc>
          <w:tcPr>
            <w:tcW w:w="5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Investment in marketable securities</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(25,468)</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(129,365)</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(44,310)</w:t>
            </w:r>
          </w:p>
        </w:tc>
        <w:tc>
          <w:tcPr>
            <w:tcW w:w="0" w:type="dxa"/>
            <w:vAlign w:val="bottom"/>
          </w:tcPr>
          <w:p>
            <w:pPr>
              <w:spacing w:after="0"/>
              <w:rPr>
                <w:sz w:val="1"/>
                <w:szCs w:val="1"/>
                <w:color w:val="auto"/>
              </w:rPr>
            </w:pPr>
          </w:p>
        </w:tc>
      </w:tr>
      <w:tr>
        <w:trPr>
          <w:trHeight w:val="179"/>
        </w:trPr>
        <w:tc>
          <w:tcPr>
            <w:tcW w:w="5540" w:type="dxa"/>
            <w:vAlign w:val="bottom"/>
            <w:tcBorders>
              <w:top w:val="single" w:sz="8" w:color="CCEEFF"/>
              <w:bottom w:val="single" w:sz="8" w:color="CCEEFF"/>
            </w:tcBorders>
            <w:gridSpan w:val="4"/>
          </w:tcPr>
          <w:p>
            <w:pPr>
              <w:spacing w:after="0" w:line="175" w:lineRule="exact"/>
              <w:rPr>
                <w:sz w:val="20"/>
                <w:szCs w:val="20"/>
                <w:color w:val="auto"/>
              </w:rPr>
            </w:pPr>
            <w:r>
              <w:rPr>
                <w:rFonts w:ascii="Arial" w:cs="Arial" w:eastAsia="Arial" w:hAnsi="Arial"/>
                <w:sz w:val="16"/>
                <w:szCs w:val="16"/>
                <w:color w:val="auto"/>
              </w:rPr>
              <w:t>Net cash provided by (used in) investing activities</w:t>
            </w:r>
          </w:p>
        </w:tc>
        <w:tc>
          <w:tcPr>
            <w:tcW w:w="44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(124,729</w:t>
            </w:r>
          </w:p>
        </w:tc>
        <w:tc>
          <w:tcPr>
            <w:tcW w:w="240" w:type="dxa"/>
            <w:vAlign w:val="bottom"/>
            <w:tcBorders>
              <w:top w:val="single" w:sz="8" w:color="CCEEFF"/>
              <w:bottom w:val="single" w:sz="8" w:color="CCEEFF"/>
            </w:tcBorders>
          </w:tcPr>
          <w:p>
            <w:pPr>
              <w:jc w:val="right"/>
              <w:ind w:right="100"/>
              <w:spacing w:after="0" w:line="175" w:lineRule="exact"/>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(30,571</w:t>
            </w:r>
          </w:p>
        </w:tc>
        <w:tc>
          <w:tcPr>
            <w:tcW w:w="140" w:type="dxa"/>
            <w:vAlign w:val="bottom"/>
            <w:tcBorders>
              <w:top w:val="single" w:sz="8" w:color="CCEEFF"/>
              <w:bottom w:val="single" w:sz="8" w:color="CCEEFF"/>
            </w:tcBorders>
          </w:tcPr>
          <w:p>
            <w:pPr>
              <w:jc w:val="right"/>
              <w:spacing w:after="0" w:line="175"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(484,687</w:t>
            </w:r>
          </w:p>
        </w:tc>
        <w:tc>
          <w:tcPr>
            <w:tcW w:w="220" w:type="dxa"/>
            <w:vAlign w:val="bottom"/>
            <w:tcBorders>
              <w:top w:val="single" w:sz="8" w:color="CCEEFF"/>
              <w:bottom w:val="single" w:sz="8" w:color="CCEEFF"/>
            </w:tcBorders>
          </w:tcPr>
          <w:p>
            <w:pPr>
              <w:jc w:val="right"/>
              <w:ind w:right="80"/>
              <w:spacing w:after="0" w:line="175" w:lineRule="exact"/>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(74,718</w:t>
            </w:r>
          </w:p>
        </w:tc>
        <w:tc>
          <w:tcPr>
            <w:tcW w:w="120" w:type="dxa"/>
            <w:vAlign w:val="bottom"/>
            <w:tcBorders>
              <w:top w:val="single" w:sz="8" w:color="CCEEFF"/>
              <w:bottom w:val="single" w:sz="8" w:color="CCEEFF"/>
            </w:tcBorders>
          </w:tcPr>
          <w:p>
            <w:pPr>
              <w:jc w:val="right"/>
              <w:spacing w:after="0" w:line="175"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31"/>
        </w:trPr>
        <w:tc>
          <w:tcPr>
            <w:tcW w:w="2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540" w:type="dxa"/>
            <w:vAlign w:val="bottom"/>
            <w:gridSpan w:val="4"/>
          </w:tcPr>
          <w:p>
            <w:pPr>
              <w:spacing w:after="0" w:line="155" w:lineRule="exact"/>
              <w:rPr>
                <w:sz w:val="20"/>
                <w:szCs w:val="20"/>
                <w:color w:val="auto"/>
              </w:rPr>
            </w:pPr>
            <w:r>
              <w:rPr>
                <w:rFonts w:ascii="Arial" w:cs="Arial" w:eastAsia="Arial" w:hAnsi="Arial"/>
                <w:sz w:val="16"/>
                <w:szCs w:val="16"/>
                <w:color w:val="auto"/>
              </w:rPr>
              <w:t>Cash flows from financing activities:</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3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40" w:type="dxa"/>
            <w:vAlign w:val="bottom"/>
            <w:gridSpan w:val="4"/>
          </w:tcPr>
          <w:p>
            <w:pPr>
              <w:spacing w:after="0"/>
              <w:rPr>
                <w:sz w:val="20"/>
                <w:szCs w:val="20"/>
                <w:color w:val="auto"/>
              </w:rPr>
            </w:pPr>
            <w:r>
              <w:rPr>
                <w:rFonts w:ascii="Arial" w:cs="Arial" w:eastAsia="Arial" w:hAnsi="Arial"/>
                <w:sz w:val="16"/>
                <w:szCs w:val="16"/>
                <w:color w:val="auto"/>
              </w:rPr>
              <w:t>Exercise of employee stock options</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120</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2,387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460</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4,141</w:t>
            </w:r>
          </w:p>
        </w:tc>
        <w:tc>
          <w:tcPr>
            <w:tcW w:w="0" w:type="dxa"/>
            <w:vAlign w:val="bottom"/>
          </w:tcPr>
          <w:p>
            <w:pPr>
              <w:spacing w:after="0"/>
              <w:rPr>
                <w:sz w:val="1"/>
                <w:szCs w:val="1"/>
                <w:color w:val="auto"/>
              </w:rPr>
            </w:pPr>
          </w:p>
        </w:tc>
      </w:tr>
      <w:tr>
        <w:trPr>
          <w:trHeight w:val="223"/>
        </w:trPr>
        <w:tc>
          <w:tcPr>
            <w:tcW w:w="5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Payments related to shares withheld for taxes</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(179)</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(861)</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(1,662)</w:t>
            </w:r>
          </w:p>
        </w:tc>
        <w:tc>
          <w:tcPr>
            <w:tcW w:w="0" w:type="dxa"/>
            <w:vAlign w:val="bottom"/>
          </w:tcPr>
          <w:p>
            <w:pPr>
              <w:spacing w:after="0"/>
              <w:rPr>
                <w:sz w:val="1"/>
                <w:szCs w:val="1"/>
                <w:color w:val="auto"/>
              </w:rPr>
            </w:pPr>
          </w:p>
        </w:tc>
      </w:tr>
      <w:tr>
        <w:trPr>
          <w:trHeight w:val="179"/>
        </w:trPr>
        <w:tc>
          <w:tcPr>
            <w:tcW w:w="5540" w:type="dxa"/>
            <w:vAlign w:val="bottom"/>
            <w:tcBorders>
              <w:top w:val="single" w:sz="8" w:color="CCEEFF"/>
              <w:bottom w:val="single" w:sz="8" w:color="CCEEFF"/>
            </w:tcBorders>
            <w:gridSpan w:val="4"/>
          </w:tcPr>
          <w:p>
            <w:pPr>
              <w:spacing w:after="0" w:line="175" w:lineRule="exact"/>
              <w:rPr>
                <w:sz w:val="20"/>
                <w:szCs w:val="20"/>
                <w:color w:val="auto"/>
              </w:rPr>
            </w:pPr>
            <w:r>
              <w:rPr>
                <w:rFonts w:ascii="Arial" w:cs="Arial" w:eastAsia="Arial" w:hAnsi="Arial"/>
                <w:sz w:val="16"/>
                <w:szCs w:val="16"/>
                <w:color w:val="auto"/>
              </w:rPr>
              <w:t>Net cash provided by (used in) financing activities</w:t>
            </w:r>
          </w:p>
        </w:tc>
        <w:tc>
          <w:tcPr>
            <w:tcW w:w="44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(59</w:t>
            </w:r>
          </w:p>
        </w:tc>
        <w:tc>
          <w:tcPr>
            <w:tcW w:w="240" w:type="dxa"/>
            <w:vAlign w:val="bottom"/>
            <w:tcBorders>
              <w:top w:val="single" w:sz="8" w:color="CCEEFF"/>
              <w:bottom w:val="single" w:sz="8" w:color="CCEEFF"/>
            </w:tcBorders>
          </w:tcPr>
          <w:p>
            <w:pPr>
              <w:jc w:val="right"/>
              <w:ind w:right="100"/>
              <w:spacing w:after="0" w:line="175" w:lineRule="exact"/>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1,871</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(401</w:t>
            </w:r>
          </w:p>
        </w:tc>
        <w:tc>
          <w:tcPr>
            <w:tcW w:w="220" w:type="dxa"/>
            <w:vAlign w:val="bottom"/>
            <w:tcBorders>
              <w:top w:val="single" w:sz="8" w:color="CCEEFF"/>
              <w:bottom w:val="single" w:sz="8" w:color="CCEEFF"/>
            </w:tcBorders>
          </w:tcPr>
          <w:p>
            <w:pPr>
              <w:jc w:val="right"/>
              <w:ind w:right="80"/>
              <w:spacing w:after="0" w:line="175" w:lineRule="exact"/>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2,479</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540" w:type="dxa"/>
            <w:vAlign w:val="bottom"/>
            <w:gridSpan w:val="4"/>
          </w:tcPr>
          <w:p>
            <w:pPr>
              <w:spacing w:after="0"/>
              <w:rPr>
                <w:sz w:val="20"/>
                <w:szCs w:val="20"/>
                <w:color w:val="auto"/>
              </w:rPr>
            </w:pPr>
            <w:r>
              <w:rPr>
                <w:rFonts w:ascii="Arial" w:cs="Arial" w:eastAsia="Arial" w:hAnsi="Arial"/>
                <w:sz w:val="16"/>
                <w:szCs w:val="16"/>
                <w:color w:val="auto"/>
              </w:rPr>
              <w:t>Increase (decrease) in cash and cash equivalents</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(129,918)</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(544,858)</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(29,109)</w:t>
            </w:r>
          </w:p>
        </w:tc>
        <w:tc>
          <w:tcPr>
            <w:tcW w:w="0" w:type="dxa"/>
            <w:vAlign w:val="bottom"/>
          </w:tcPr>
          <w:p>
            <w:pPr>
              <w:spacing w:after="0"/>
              <w:rPr>
                <w:sz w:val="1"/>
                <w:szCs w:val="1"/>
                <w:color w:val="auto"/>
              </w:rPr>
            </w:pPr>
          </w:p>
        </w:tc>
      </w:tr>
      <w:tr>
        <w:trPr>
          <w:trHeight w:val="203"/>
        </w:trPr>
        <w:tc>
          <w:tcPr>
            <w:tcW w:w="5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196,611</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92,568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611,551</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125,777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gridSpan w:val="4"/>
            <w:vMerge w:val="restart"/>
          </w:tcPr>
          <w:p>
            <w:pPr>
              <w:spacing w:after="0"/>
              <w:rPr>
                <w:sz w:val="20"/>
                <w:szCs w:val="20"/>
                <w:color w:val="auto"/>
              </w:rPr>
            </w:pPr>
            <w:r>
              <w:rPr>
                <w:rFonts w:ascii="Arial" w:cs="Arial" w:eastAsia="Arial" w:hAnsi="Arial"/>
                <w:sz w:val="16"/>
                <w:szCs w:val="16"/>
                <w:color w:val="auto"/>
              </w:rPr>
              <w:t>Cash and cash equivalents at the end of the period</w:t>
            </w: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40" w:type="dxa"/>
            <w:vAlign w:val="bottom"/>
            <w:gridSpan w:val="4"/>
            <w:vMerge w:val="continue"/>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66,693</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96,668</w:t>
            </w: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66,693</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96,668</w:t>
            </w:r>
          </w:p>
        </w:tc>
        <w:tc>
          <w:tcPr>
            <w:tcW w:w="0" w:type="dxa"/>
            <w:vAlign w:val="bottom"/>
          </w:tcPr>
          <w:p>
            <w:pPr>
              <w:spacing w:after="0"/>
              <w:rPr>
                <w:sz w:val="1"/>
                <w:szCs w:val="1"/>
                <w:color w:val="auto"/>
              </w:rPr>
            </w:pPr>
          </w:p>
        </w:tc>
      </w:tr>
      <w:tr>
        <w:trPr>
          <w:trHeight w:val="127"/>
        </w:trPr>
        <w:tc>
          <w:tcPr>
            <w:tcW w:w="23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9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540" w:type="dxa"/>
            <w:vAlign w:val="bottom"/>
            <w:gridSpan w:val="4"/>
          </w:tcPr>
          <w:p>
            <w:pPr>
              <w:spacing w:after="0"/>
              <w:rPr>
                <w:sz w:val="20"/>
                <w:szCs w:val="20"/>
                <w:color w:val="auto"/>
              </w:rPr>
            </w:pPr>
            <w:r>
              <w:rPr>
                <w:rFonts w:ascii="Arial" w:cs="Arial" w:eastAsia="Arial" w:hAnsi="Arial"/>
                <w:sz w:val="16"/>
                <w:szCs w:val="16"/>
                <w:color w:val="auto"/>
              </w:rPr>
              <w:t>Non-cash investing and financing activities:</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540" w:type="dxa"/>
            <w:vAlign w:val="bottom"/>
            <w:gridSpan w:val="4"/>
          </w:tcPr>
          <w:p>
            <w:pPr>
              <w:spacing w:after="0"/>
              <w:rPr>
                <w:sz w:val="20"/>
                <w:szCs w:val="20"/>
                <w:color w:val="auto"/>
              </w:rPr>
            </w:pPr>
            <w:r>
              <w:rPr>
                <w:rFonts w:ascii="Arial" w:cs="Arial" w:eastAsia="Arial" w:hAnsi="Arial"/>
                <w:sz w:val="16"/>
                <w:szCs w:val="16"/>
                <w:color w:val="auto"/>
              </w:rPr>
              <w:t>Purchase of property and equipment on credit</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1,033</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1,907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1,907</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Inventory transferred to be used as property and equipment</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255</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931</w:t>
            </w:r>
          </w:p>
        </w:tc>
        <w:tc>
          <w:tcPr>
            <w:tcW w:w="0" w:type="dxa"/>
            <w:vAlign w:val="bottom"/>
          </w:tcPr>
          <w:p>
            <w:pPr>
              <w:spacing w:after="0"/>
              <w:rPr>
                <w:sz w:val="1"/>
                <w:szCs w:val="1"/>
                <w:color w:val="auto"/>
              </w:rPr>
            </w:pPr>
          </w:p>
        </w:tc>
      </w:tr>
      <w:tr>
        <w:trPr>
          <w:trHeight w:val="191"/>
        </w:trPr>
        <w:tc>
          <w:tcPr>
            <w:tcW w:w="5540" w:type="dxa"/>
            <w:vAlign w:val="bottom"/>
            <w:gridSpan w:val="4"/>
          </w:tcPr>
          <w:p>
            <w:pPr>
              <w:spacing w:after="0"/>
              <w:rPr>
                <w:sz w:val="20"/>
                <w:szCs w:val="20"/>
                <w:color w:val="auto"/>
              </w:rPr>
            </w:pPr>
            <w:r>
              <w:rPr>
                <w:rFonts w:ascii="Arial" w:cs="Arial" w:eastAsia="Arial" w:hAnsi="Arial"/>
                <w:sz w:val="16"/>
                <w:szCs w:val="16"/>
                <w:color w:val="auto"/>
              </w:rPr>
              <w:t>Property, plant and equipment transferred to be used as inventory</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183</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192</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Lease liabilities arising from obtaining right-of-use assets</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790</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7,177</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1,517</w:t>
            </w:r>
          </w:p>
        </w:tc>
        <w:tc>
          <w:tcPr>
            <w:tcW w:w="0" w:type="dxa"/>
            <w:vAlign w:val="bottom"/>
          </w:tcPr>
          <w:p>
            <w:pPr>
              <w:spacing w:after="0"/>
              <w:rPr>
                <w:sz w:val="1"/>
                <w:szCs w:val="1"/>
                <w:color w:val="auto"/>
              </w:rPr>
            </w:pPr>
          </w:p>
        </w:tc>
      </w:tr>
      <w:tr>
        <w:trPr>
          <w:trHeight w:val="386"/>
        </w:trPr>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7</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type w:val="continuous"/>
        </w:sectPr>
      </w:pPr>
    </w:p>
    <w:bookmarkStart w:id="12" w:name="page13"/>
    <w:bookmarkEnd w:id="12"/>
    <w:p>
      <w:pPr>
        <w:ind w:left="930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143510</wp:posOffset>
            </wp:positionV>
            <wp:extent cx="7203440" cy="44011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88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03440" cy="4408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4793615</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13" Type="http://schemas.openxmlformats.org/officeDocument/2006/relationships/hyperlink" Target="http://www.sec.gov/Archives/edgar/data/1625791/000121390021017777/ea138332-s8_kornitdigital.htm" TargetMode="External"/><Relationship Id="rId14" Type="http://schemas.openxmlformats.org/officeDocument/2006/relationships/hyperlink" Target="http://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2022-11-09T15:23:11Z</dcterms:created>
  <dcterms:modified xsi:type="dcterms:W3CDTF">2022-11-09T15:23:11Z</dcterms:modified>
</cp:coreProperties>
</file>