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May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7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40" w:right="144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On May 9, 2017, Kornit Digital Ltd. issued a press release entitled “Kornit Digital Reports 2017 First Quarter Results.” A copy of this press release is furnished as Exhibit 99.1 hereto.</w:t>
      </w:r>
    </w:p>
    <w:p>
      <w:pPr>
        <w:spacing w:after="0" w:line="170" w:lineRule="exact"/>
        <w:rPr>
          <w:sz w:val="20"/>
          <w:szCs w:val="20"/>
          <w:color w:val="auto"/>
        </w:rPr>
      </w:pPr>
    </w:p>
    <w:p>
      <w:pPr>
        <w:ind w:right="20" w:firstLine="638"/>
        <w:spacing w:after="0" w:line="312" w:lineRule="auto"/>
        <w:rPr>
          <w:sz w:val="20"/>
          <w:szCs w:val="20"/>
          <w:color w:val="auto"/>
        </w:rPr>
      </w:pPr>
      <w:r>
        <w:rPr>
          <w:rFonts w:ascii="Arial" w:cs="Arial" w:eastAsia="Arial" w:hAnsi="Arial"/>
          <w:sz w:val="16"/>
          <w:szCs w:val="16"/>
          <w:color w:val="auto"/>
        </w:rPr>
        <w:t>The U.S. GAAP financial information contained in the (i) consolidated statements of income, (ii) consolidated balance sheets and (iii) consolidated statement of cash flows included in the press release attached as Exhibit 99.1 to this Report on Form 6-K is hereby incorporated by reference into the Registrant’s Registration Statements on Form F-3 (File No. 333-215404) and Form S-8 (File No. 333-203970, 333-214015 and 333-217039).</w:t>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7200" w:type="dxa"/>
            <w:vAlign w:val="bottom"/>
            <w:gridSpan w:val="2"/>
          </w:tcPr>
          <w:p>
            <w:pPr>
              <w:ind w:left="2780"/>
              <w:spacing w:after="0"/>
              <w:rPr>
                <w:sz w:val="20"/>
                <w:szCs w:val="20"/>
                <w:color w:val="auto"/>
              </w:rPr>
            </w:pPr>
            <w:r>
              <w:rPr>
                <w:rFonts w:ascii="Arial" w:cs="Arial" w:eastAsia="Arial" w:hAnsi="Arial"/>
                <w:sz w:val="18"/>
                <w:szCs w:val="18"/>
                <w:color w:val="auto"/>
              </w:rPr>
              <w:t>KORNIT DIGITAL LTD.</w:t>
            </w:r>
          </w:p>
        </w:tc>
      </w:tr>
      <w:tr>
        <w:trPr>
          <w:trHeight w:val="432"/>
        </w:trPr>
        <w:tc>
          <w:tcPr>
            <w:tcW w:w="4220" w:type="dxa"/>
            <w:vAlign w:val="bottom"/>
          </w:tcPr>
          <w:p>
            <w:pPr>
              <w:spacing w:after="0"/>
              <w:rPr>
                <w:sz w:val="20"/>
                <w:szCs w:val="20"/>
                <w:color w:val="auto"/>
              </w:rPr>
            </w:pPr>
            <w:r>
              <w:rPr>
                <w:rFonts w:ascii="Arial" w:cs="Arial" w:eastAsia="Arial" w:hAnsi="Arial"/>
                <w:sz w:val="18"/>
                <w:szCs w:val="18"/>
                <w:color w:val="auto"/>
              </w:rPr>
              <w:t>Date: May 10, 2017</w:t>
            </w:r>
          </w:p>
        </w:tc>
        <w:tc>
          <w:tcPr>
            <w:tcW w:w="7200" w:type="dxa"/>
            <w:vAlign w:val="bottom"/>
            <w:gridSpan w:val="2"/>
          </w:tcPr>
          <w:p>
            <w:pPr>
              <w:ind w:left="2780"/>
              <w:spacing w:after="0"/>
              <w:rPr>
                <w:sz w:val="20"/>
                <w:szCs w:val="20"/>
                <w:color w:val="auto"/>
              </w:rPr>
            </w:pPr>
            <w:r>
              <w:rPr>
                <w:rFonts w:ascii="Arial" w:cs="Arial" w:eastAsia="Arial" w:hAnsi="Arial"/>
                <w:sz w:val="18"/>
                <w:szCs w:val="18"/>
                <w:color w:val="auto"/>
              </w:rPr>
              <w:t>By:  /s/ Guy Avidan</w:t>
            </w:r>
          </w:p>
        </w:tc>
      </w:tr>
      <w:tr>
        <w:trPr>
          <w:trHeight w:val="195"/>
        </w:trPr>
        <w:tc>
          <w:tcPr>
            <w:tcW w:w="42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Guy Avidan</w:t>
            </w:r>
          </w:p>
        </w:tc>
      </w:tr>
      <w:tr>
        <w:trPr>
          <w:trHeight w:val="230"/>
        </w:trPr>
        <w:tc>
          <w:tcPr>
            <w:tcW w:w="4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dated May 9, 2017 entitled “Kornit Digital Reports 2017 First Quarter Results”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286510"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651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Reports 2017 First Quarter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first quarter 2017 sales of $27.1 million, net of the fair value of the warrants associated with revenues recognized from Amazon.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first quarter 2017 sales of $28.0 million, an increase of 28.4% over the prior-year.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quarter 2017 GAAP operating loss of $1.3 million, compared to an operating loss of $0.2 million in the prior-year.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quarter non-GAAP operating profit of $1 million, compared to $0.7 million in the prior-year.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quarter GAAP net loss of $1.7 million, or $0.05 per diluted share; non-GAAP net income of $0.6 million, or $0.02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 launched Avalanche upgrade kits and attended multiple trade shows during the period.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ROSH-HA`AYIN, Israel, May 09, 2017 (GLOBE NEWSWIRE) -- Kornit Digital Ltd. (NASDAQ:KRNT), a leading provider of digital printing solutions for the global printed textile industry, today reported results for the first quarter ended March 31,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GAAP sales for the first quarter of 2017, which are net of the fair value of the warrants associated with revenues recognized from Amazon, were $27.1 million. Non-GAAP sales were $28.0 million, an increase of 28.4% over the prior-year’s non-GAAP sales of $21.8 million. Higher sales were attributable to growth in systems and services, partially offset by slower growth of ink and consumables vs. the prior year period which enjoyed unusually higher ink sales as a proportion of overall revenues.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GAAP operating loss in the quarter was $1.3 million, compared to GAAP operating loss in the prior year period of $0.2 million. Non-GAAP operating income was $1 million compared to $0.7 million in the prior year period. As a percentage of non-GAAP sales, non-GAAP operating profit increased to 3.7% from 3.1% in the prior year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Gabi Seligsohn, Kornit Digital’s Chief Executive Officer commented, "We are pleased with the non-GAAP revenue growth across all regions which topped 28% in total. Gross profit rose more than 22%, as expected, reflecting a more customary revenue mix in the start of the year. While our first quarter typically experiences seasonal softness, we were pleased to see a significant increase of sales in our EMEA and APAC regions and improved overall operating income."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Seligsohn continued, “We also had a very active marketing and operational quarter as we attended multiple trade shows spanning all of our regions during the period, and launched our upgrade offering for the Avalanche which generated an enthusiastic customer response given the significant reduction in cost per print achieved through this upgrade.”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announced that Ofer Sandelson, the Company’s Chief Operating Officer, who was responsible for manufacturing and supply chain management and was instrumental in the creation of Kornit's service organization, informed the Company of his intent to retire from his position, and that Mr. Sandelson would remain with the Company until a successor is found to assume his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Seligsohn added, “Ofer has been a tremendous asset to our team and helped to lead the buildout of our global infrastructure. We congratulate Ofer on his retirement and express our gratitude for his dedication and leadership to Kornit for the past four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First quarter GAAP sales which are net of the fair value of the warrants associated with revenues recognized from Amazon were $27.1 million. On a non-GAAP basis, Kornit reported sales of $28.0 million, an increase of 28.4% compared with the prior-year level of $21.8 million. During the quarter the Company observed growth in all regions, with particularly strong sales in Asia and Europe.</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GAAP first quarter gross profit was $11.9 million, compared with $10.5 million, in the prior-year. Non-GAAP gross profit in the first quarter was $13.0 million, or 46.4% of sales, compared with $10.6 million, or 48.7% of sales in the prior-year. In the comparable first quarter of 2016, the Company experienced unusually higher ink sales as a proportion of overall revenues which did not repeat, and led to lower gross margin against the comparable period.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GAAP total operating expenses in the first quarter were $13.2 million, compared to $10.6 million in the prior year period. Non-GAAP operating expenses in the first quarter increased to $12.0 million, or 42.7% of sales, compared to $10.0 million, or 45.6% of sales in the prior year. The increase in operating expenses was consistent with the Company’s previously communicated plans to continue to invest in its global infrastructure buildout, but at a rate slower than revenue growth.</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First quarter non-GAAP research and development expenses were $4.7 million, or 16.6% of sales, compared to $3.6 million, or 16.6% of sales in the prior-year period. First quarter GAAP research and development expenses were $4.8 million, compared to the prior-year period of $3.8 million.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quarter non-GAAP selling and marketing expenses were $4.9 million, or 17.6% of sales, compared to $4.3 million, or 19.7% of sales in the prior-year period. First quarter GAAP selling and marketing expenses were $5.6 million, compared to the prior-year period of $4.5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First quarter non-GAAP general and administrative expenses were $2.4 million, or 8.5% of sales, compared to $2.0 million, or 9.3% of sales in the prior-year period. First quarter GAAP general and administrative expenses were $2.8 million, compared to the prior-year period of $2.4 million.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operating profit in the first quarter increased to $1 million, compared to $0.7 million in the prior year. As a percentage of sales, adjusted operating margin for the first quarter was 3.7% of sales, compared with 3.1% of sales in the prior year period. On a GAAP basis, first quarter operating loss was $1.3 million, compared to the prior year period of $0.2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net income for the first quarter of 2017 was $0.6 million, or $0.02 per diluted share, compared to $0.6 million in the prior year period. On a GAAP basis, the Company reported net loss of $1.7 million, or net loss of $0.05 per diluted share, compared to a net loss of $0.2 million, in the first quarter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March 31, 2017, the Company had cash and marketable securities of $97.1 million, and no long-term debt. Cash flow from operations for the first quarter of 2017 was $2.5 million, attributable mostly to the decrease in accounts receivable.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Second Quarter 2017 Guidance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discuss the details of its guidance live during its earnings conference call, which will be available for replay via webcast at ir.kornit.com.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Gabi Seligsohn, the Company’s Chief Executive Officer, and Guy Avidan, the Company’s Chief Financial Officer, will host a conference call today at 5:00 p.m. ET, or 12:00 a.m. Israel time, to discuss the results, followed by a question and answer session for the investment community. A live webcast of the call can be accessed at ir.kornit.com. To access the call, participants may dial toll-free at 1-888-329-8893 or +1-719-325-2177. The toll-free Israeli number is 1 80 924 5906. The confirmation code is 9261571.</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To listen to a telephonic replay of the conference call, dial toll-free 1-844-512-2921 or +1-412-317-6671 (international) and enter confirmation code 9261571.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telephonic replay will be available beginning at 8:00 p.m. ET on Tuesday, May 9, 2017, and will last through 11:59 p.m. ET on Tuesday, May 23,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call will also be available for replay via the webcast link on Kornit’s Investor Relations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our ability to fill orders for our systems, our ability to continue to increase sales of our systems and ink and consumables,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Annual Report on Form 20-F filed with the U.S. Securities and Exchange Commission on March 30, 2017.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Non-GAAP financial measures consist of GAAP financial measures adjusted to exclude the impact of the fair value of warrants deducted from revenues, acquisition related expenses, share-based compensation expenses and amortization of acquired intangible assets.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88"/>
              </w:rPr>
              <w:t>(U.S. dollars in thousands, except share and per share data)</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31"/>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center"/>
              <w:ind w:right="13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revenues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15,207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4,780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2,837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Operating loss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(expenses), net</w:t>
            </w: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taxes on income</w:t>
            </w:r>
          </w:p>
        </w:tc>
        <w:tc>
          <w:tcPr>
            <w:tcW w:w="5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(1,576)</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Taxes on income</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basic and diluted net loss per share</w:t>
            </w:r>
          </w:p>
        </w:tc>
        <w:tc>
          <w:tcPr>
            <w:tcW w:w="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32,658,344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30,361,653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0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5</w:t>
            </w: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830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GAAP TO NON-GAAP 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00" w:type="dxa"/>
            <w:vAlign w:val="bottom"/>
          </w:tcPr>
          <w:p>
            <w:pPr>
              <w:ind w:left="3560"/>
              <w:spacing w:after="0"/>
              <w:rPr>
                <w:sz w:val="20"/>
                <w:szCs w:val="20"/>
                <w:color w:val="auto"/>
              </w:rPr>
            </w:pPr>
            <w:r>
              <w:rPr>
                <w:rFonts w:ascii="Arial" w:cs="Arial" w:eastAsia="Arial" w:hAnsi="Arial"/>
                <w:sz w:val="18"/>
                <w:szCs w:val="18"/>
                <w:color w:val="auto"/>
                <w:w w:val="98"/>
              </w:rPr>
              <w:t>(U.S. dollars in thousands, except share and per share data)</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GAAP net loss as reported</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Fair value of warrants deducted from revenues (a)</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Expenses recorded for share-based compensation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revenues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Selling and marketing</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Acquisition related expenses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Intangible assets amortization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2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2,312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Non-GAAP net income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Non- GAAP diluted net income per share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Weighted average number of shares used in computing diluted net income per share</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34,159,770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32,023,704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80" w:right="2820" w:hanging="5672"/>
        <w:spacing w:after="0" w:line="778" w:lineRule="auto"/>
        <w:tabs>
          <w:tab w:leader="none" w:pos="257"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a non cash expense for warrants granted to Amazon that is being accounted for as deduction from revenues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b w:val="1"/>
                <w:bCs w:val="1"/>
                <w:color w:val="auto"/>
              </w:rPr>
              <w:t>KORNIT DIGITAL LTD.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w w:val="99"/>
              </w:rPr>
              <w:t>AND ITS SUBSIDIARIES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b w:val="1"/>
                <w:bCs w:val="1"/>
                <w:color w:val="auto"/>
              </w:rPr>
              <w:t>CONDENSED CONSOLIDATED BALANCE SHEETS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(U.S. dollars in thousands)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0"/>
                <w:szCs w:val="20"/>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Available for sale marketable securities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accounts receivables and prepaid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89,552</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98,784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LONG-TERM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Severance pay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assets</w:t>
            </w:r>
          </w:p>
        </w:tc>
        <w:tc>
          <w:tcPr>
            <w:tcW w:w="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86,082</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175,634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Trade payables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16,903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revenues and advances from customers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30,596</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30,133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LONG-TERM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Payment obligation related to acquisition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liabilities</w:t>
            </w:r>
          </w:p>
        </w:tc>
        <w:tc>
          <w:tcPr>
            <w:tcW w:w="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2,098</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142,940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175,634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140,046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40" w:type="dxa"/>
            <w:vAlign w:val="bottom"/>
            <w:vMerge w:val="restart"/>
          </w:tcPr>
          <w:p>
            <w:pPr>
              <w:jc w:val="center"/>
              <w:ind w:left="2970"/>
              <w:spacing w:after="0"/>
              <w:rPr>
                <w:sz w:val="20"/>
                <w:szCs w:val="20"/>
                <w:color w:val="auto"/>
              </w:rPr>
            </w:pPr>
            <w:r>
              <w:rPr>
                <w:rFonts w:ascii="Arial" w:cs="Arial" w:eastAsia="Arial" w:hAnsi="Arial"/>
                <w:sz w:val="18"/>
                <w:szCs w:val="18"/>
                <w:color w:val="auto"/>
                <w:w w:val="79"/>
              </w:rPr>
              <w:t>7</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834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Fair value of warrants deducted from revenues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Amortization of premium and accretion of discount on available for sale marketable securities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Accretion of payment obligation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Increase in accrued severance pay, net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Decrease in trade receivables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Increase in other receivables and prepaid expenses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inventory</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Changes in deferred taxes, net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long term assets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Decrease in trade payables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Decrease in deferred revenues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Increase in other long term liabilities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on inter company balances with foreign subsidiaries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Proceeds from bank deposits, net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Proceeds from maturity of marketable securities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(48,128)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(44,283</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Proceeds from secondary offering, net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35,630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Decrease in cash and cash equivalents</w:t>
            </w:r>
          </w:p>
        </w:tc>
        <w:tc>
          <w:tcPr>
            <w:tcW w:w="1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(7,019)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(4,036)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7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15,770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on credit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Non-cash issuance expenses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9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0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2019-12-08T01:19:46Z</dcterms:created>
  <dcterms:modified xsi:type="dcterms:W3CDTF">2019-12-08T01:19:46Z</dcterms:modified>
</cp:coreProperties>
</file>