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20, 2018</w:t>
      </w:r>
    </w:p>
    <w:p>
      <w:pPr>
        <w:spacing w:after="0" w:line="27" w:lineRule="exact"/>
        <w:rPr>
          <w:sz w:val="24"/>
          <w:szCs w:val="24"/>
          <w:color w:val="auto"/>
        </w:rPr>
      </w:pPr>
    </w:p>
    <w:p>
      <w:pPr>
        <w:ind w:left="954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State of Israel</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12 Ha’ Amal Street, Afek Park,</w:t>
            </w:r>
          </w:p>
        </w:tc>
        <w:tc>
          <w:tcPr>
            <w:tcW w:w="5600" w:type="dxa"/>
            <w:vAlign w:val="bottom"/>
          </w:tcPr>
          <w:p>
            <w:pPr>
              <w:spacing w:after="0"/>
              <w:rPr>
                <w:sz w:val="24"/>
                <w:szCs w:val="24"/>
                <w:color w:val="auto"/>
              </w:rPr>
            </w:pPr>
          </w:p>
        </w:tc>
      </w:t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Rosh-Ha’Ayin, Israel</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4809246</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 2015 Incentive Compensation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North America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10541-10601 North Commerce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Mequon, WI 53092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(262) 518-0200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communications to:</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1"/>
              </w:rPr>
              <w:t>Guy Avidan</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4"/>
              </w:rPr>
              <w:t>Clifford M. J. Felig, Adv.</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3"/>
              </w:rPr>
              <w:t>Chief Financial Officer</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Aviv Avidan-Shalit, Adv.</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6"/>
              </w:rPr>
              <w:t>Kornit Digital Ltd.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6"/>
              </w:rPr>
              <w:t>Meitar Liquornik Geva</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4"/>
              </w:rPr>
              <w:t>12 Ha’ Amal Street, Afek Park,</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Leshem Tal</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Rosh-Ha’Ayin 4809246, Israel</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4"/>
              </w:rPr>
              <w:t>16 Abba Hillel Silver Rd.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1"/>
              </w:rPr>
              <w:t>Tel: +972-3-908-5800</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Ramat Gan 5250608, Israel</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Fax: +972-3-908-0280</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Tel: +972-3-610-3100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Fax: +972-3-610-3111</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20" w:type="dxa"/>
            <w:vAlign w:val="bottom"/>
            <w:gridSpan w:val="7"/>
          </w:tcPr>
          <w:p>
            <w:pPr>
              <w:ind w:left="3980"/>
              <w:spacing w:after="0"/>
              <w:rPr>
                <w:sz w:val="20"/>
                <w:szCs w:val="20"/>
                <w:color w:val="auto"/>
              </w:rPr>
            </w:pPr>
            <w:r>
              <w:rPr>
                <w:rFonts w:ascii="Arial" w:cs="Arial" w:eastAsia="Arial" w:hAnsi="Arial"/>
                <w:sz w:val="18"/>
                <w:szCs w:val="18"/>
                <w:b w:val="1"/>
                <w:bCs w:val="1"/>
                <w:color w:val="auto"/>
              </w:rPr>
              <w:t>CALCULATION OF REGISTRATION FEE</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Proposed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Proposed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maximum</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maximum</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aggregate</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Amount of</w:t>
            </w: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90"/>
              <w:spacing w:after="0"/>
              <w:rPr>
                <w:sz w:val="20"/>
                <w:szCs w:val="20"/>
                <w:color w:val="auto"/>
              </w:rPr>
            </w:pPr>
            <w:r>
              <w:rPr>
                <w:rFonts w:ascii="Arial" w:cs="Arial" w:eastAsia="Arial" w:hAnsi="Arial"/>
                <w:sz w:val="18"/>
                <w:szCs w:val="18"/>
                <w:color w:val="auto"/>
                <w:w w:val="93"/>
              </w:rPr>
              <w:t>Amount to be</w:t>
            </w: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offering 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offering</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registration</w:t>
            </w: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color w:val="auto"/>
              </w:rPr>
              <w:t>Title of securities to be registered</w:t>
            </w:r>
          </w:p>
        </w:tc>
        <w:tc>
          <w:tcPr>
            <w:tcW w:w="1580" w:type="dxa"/>
            <w:vAlign w:val="bottom"/>
            <w:gridSpan w:val="2"/>
          </w:tcPr>
          <w:p>
            <w:pPr>
              <w:jc w:val="center"/>
              <w:ind w:right="230"/>
              <w:spacing w:after="0"/>
              <w:rPr>
                <w:sz w:val="20"/>
                <w:szCs w:val="20"/>
                <w:color w:val="auto"/>
              </w:rPr>
            </w:pPr>
            <w:r>
              <w:rPr>
                <w:rFonts w:ascii="Arial" w:cs="Arial" w:eastAsia="Arial" w:hAnsi="Arial"/>
                <w:sz w:val="18"/>
                <w:szCs w:val="18"/>
                <w:color w:val="auto"/>
                <w:w w:val="91"/>
              </w:rPr>
              <w:t>registered (1)(2)</w:t>
            </w:r>
          </w:p>
        </w:tc>
        <w:tc>
          <w:tcPr>
            <w:tcW w:w="10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per share(4)</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price(4)</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fee(4)</w:t>
            </w:r>
          </w:p>
        </w:tc>
      </w:tr>
      <w:tr>
        <w:trPr>
          <w:trHeight w:val="237"/>
        </w:trPr>
        <w:tc>
          <w:tcPr>
            <w:tcW w:w="54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par value NIS 0.01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1,023,726</w:t>
            </w:r>
          </w:p>
        </w:tc>
        <w:tc>
          <w:tcPr>
            <w:tcW w:w="3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14,004,571.68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202" w:lineRule="exact"/>
        <w:rPr>
          <w:sz w:val="24"/>
          <w:szCs w:val="24"/>
          <w:color w:val="auto"/>
        </w:rPr>
      </w:pPr>
    </w:p>
    <w:p>
      <w:pPr>
        <w:jc w:val="both"/>
        <w:ind w:left="340" w:hanging="332"/>
        <w:spacing w:after="0" w:line="26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also covers such indeterminate number of additional shares that may become issuable under the terms of the Registrant’s 2015 Incentive Compensation Plan (the “2015 Plan”) by reason of any share split, share dividend, recapitalization or other similar transaction effected without the Registrant’s receipt of consideration which results in an increase in the number of the outstanding shares of the Registrant’s ordinary shares.</w:t>
      </w:r>
    </w:p>
    <w:p>
      <w:pPr>
        <w:spacing w:after="0" w:line="2"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429 of the Securities Act, the prospectus delivered to participants under the 2015 Plan also related to an aggregate of 3,698,706 shares previously registered on Form S-8 Registration Number 333-203970 under the Kornit Digital Ltd. 2004 Share Option Plan, the Kornit Digital Ltd. 2012 Share Incentive Plan, the Kornit Digital Ltd. 2015 Employee Share Purchase Plan and the 2015 Plan and on Form S-8 Registration Number 333-214015 and Form S-8 Registration Number 333-217039 under the 2015 Plan.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to the number of shares available for issuance under the 2015 Plan, effective January 1, 2018.</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457(h)(1) and 457(c) promulgated under the Securities Act, based on the average of the high and low prices ($13.80 and $13.55) of the Registrant’s Ordinary Shares on the NASDAQ Global Select Market on March 16,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The Registrant is filing this Registration Statement (this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register an additional 1,023,726 ordinary shares, par value NIS 0.01 per share (“</w:t>
      </w:r>
      <w:r>
        <w:rPr>
          <w:rFonts w:ascii="Arial" w:cs="Arial" w:eastAsia="Arial" w:hAnsi="Arial"/>
          <w:sz w:val="17"/>
          <w:szCs w:val="17"/>
          <w:b w:val="1"/>
          <w:bCs w:val="1"/>
          <w:color w:val="auto"/>
        </w:rPr>
        <w:t>Ordinary Shares</w:t>
      </w:r>
      <w:r>
        <w:rPr>
          <w:rFonts w:ascii="Arial" w:cs="Arial" w:eastAsia="Arial" w:hAnsi="Arial"/>
          <w:sz w:val="17"/>
          <w:szCs w:val="17"/>
          <w:color w:val="auto"/>
        </w:rPr>
        <w:t>”), of Kornit Digital Ltd. (the “</w:t>
      </w:r>
      <w:r>
        <w:rPr>
          <w:rFonts w:ascii="Arial" w:cs="Arial" w:eastAsia="Arial" w:hAnsi="Arial"/>
          <w:sz w:val="17"/>
          <w:szCs w:val="17"/>
          <w:b w:val="1"/>
          <w:bCs w:val="1"/>
          <w:color w:val="auto"/>
        </w:rPr>
        <w:t>Registrant</w:t>
      </w:r>
      <w:r>
        <w:rPr>
          <w:rFonts w:ascii="Arial" w:cs="Arial" w:eastAsia="Arial" w:hAnsi="Arial"/>
          <w:sz w:val="17"/>
          <w:szCs w:val="17"/>
          <w:color w:val="auto"/>
        </w:rPr>
        <w:t>”) issuable pursuant to the Registrant’s 2015 Incentive Compensation Plan.</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Instruction E of Form S-8, the contents of the Registrant’s registration statement on Form S-8 (File No. 333-203970)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 May 7, 2015, the Registrant’s registration statement on Form S-8 (File No. 333-214015) filed with the Commission on October 6, 2016 and the Registrant’s registration statement on Form S-8 (File No. 333-217039) filed with the Commission on March 30, 2017 are incorporated herein by reference, and the information required by Part II is omitted, except as supplemented by the information set forth below.</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229" w:lineRule="exact"/>
        <w:rPr>
          <w:sz w:val="20"/>
          <w:szCs w:val="20"/>
          <w:color w:val="auto"/>
        </w:rPr>
      </w:pPr>
    </w:p>
    <w:p>
      <w:pPr>
        <w:jc w:val="both"/>
        <w:ind w:firstLine="8"/>
        <w:spacing w:after="0" w:line="270" w:lineRule="auto"/>
        <w:tabs>
          <w:tab w:leader="none" w:pos="151"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documents containing the information specified in this Part I of Form S-8 (plan information and registration information and employee plan annual information) will be sent or given to employees as specified by the Commission pursuant to Rule 428(b)(1) of the Securities Act of 1933, as amended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are incorporated herein by reference:</w:t>
      </w:r>
    </w:p>
    <w:p>
      <w:pPr>
        <w:spacing w:after="0" w:line="225"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20-F filed on March 20, 2018;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contained in Item 1 of the Registration Statement on Form 8-A (File No. 001-36903) filed with the Commission on March 31, 2015.</w:t>
      </w:r>
    </w:p>
    <w:p>
      <w:pPr>
        <w:spacing w:after="0" w:line="170" w:lineRule="exact"/>
        <w:rPr>
          <w:sz w:val="20"/>
          <w:szCs w:val="20"/>
          <w:color w:val="auto"/>
        </w:rPr>
      </w:pPr>
    </w:p>
    <w:p>
      <w:pPr>
        <w:jc w:val="both"/>
        <w:ind w:firstLine="817"/>
        <w:spacing w:after="0" w:line="254" w:lineRule="auto"/>
        <w:rPr>
          <w:sz w:val="20"/>
          <w:szCs w:val="20"/>
          <w:color w:val="auto"/>
        </w:rPr>
      </w:pPr>
      <w:r>
        <w:rPr>
          <w:rFonts w:ascii="Arial" w:cs="Arial" w:eastAsia="Arial" w:hAnsi="Arial"/>
          <w:sz w:val="18"/>
          <w:szCs w:val="18"/>
          <w:color w:val="auto"/>
        </w:rPr>
        <w:t>In addition to the foregoing, all documents subsequently filed by the Registrant pursuant to Sections 13(a), 13(c), 14 or 15(d) of the Securities Exchange Act of 1934, as amended (the “Exchange Act”), prior to the filing of a post-effective amendment indicating that all securities offered hereby have been sold or deregistering all securities then remaining unsold, shall be deemed to be incorporated by reference in this Registration Statement and to be a part hereof from the date of filing of such documents.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at the end of this Registration Statement are included in this Registration Statement.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Rosh Ha-Ayin, Israel on this 20th day of March, 2018.</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Gabi Seligsohn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Gabi Seligsohn and Guy Avidan,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and entity on March 20, 2018 in the capacities indicated:</w:t>
      </w:r>
    </w:p>
    <w:p>
      <w:pPr>
        <w:sectPr>
          <w:pgSz w:w="11900" w:h="16838" w:orient="portrait"/>
          <w:cols w:equalWidth="0" w:num="1">
            <w:col w:w="11400"/>
          </w:cols>
          <w:pgMar w:left="240" w:top="908" w:right="259" w:bottom="1440" w:gutter="0" w:footer="0" w:header="0"/>
        </w:sectPr>
      </w:pPr>
    </w:p>
    <w:p>
      <w:pPr>
        <w:spacing w:after="0" w:line="166"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3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Gabi Seligsohn</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Guy Avidan</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Yuval Cohen</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Ofer Ben-Zur</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Eli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Eli Blatt</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Lauri Hanover</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Marc Lesnick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Marc Lesnick</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Alon Lumbroso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Alon Lumbroso</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Jerry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Jerry Mandel</w:t>
      </w:r>
    </w:p>
    <w:p>
      <w:pPr>
        <w:spacing w:after="0" w:line="225"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Dov 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Dov Ofer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NORTH AMERICA INC.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Shai Terem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2555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Shai Terem</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17145</wp:posOffset>
            </wp:positionV>
            <wp:extent cx="45624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62475"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(Principal Financial Officer and Principal Accounting Officer)</w:t>
      </w:r>
    </w:p>
    <w:p>
      <w:pPr>
        <w:spacing w:after="0" w:line="200" w:lineRule="exact"/>
        <w:rPr>
          <w:sz w:val="20"/>
          <w:szCs w:val="20"/>
          <w:color w:val="auto"/>
        </w:rPr>
      </w:pPr>
    </w:p>
    <w:p>
      <w:pPr>
        <w:spacing w:after="0" w:line="29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Authorized Representative in the United States</w:t>
      </w:r>
    </w:p>
    <w:p>
      <w:pPr>
        <w:spacing w:after="0" w:line="1105" w:lineRule="exact"/>
        <w:rPr>
          <w:sz w:val="20"/>
          <w:szCs w:val="20"/>
          <w:color w:val="auto"/>
        </w:rPr>
      </w:pPr>
    </w:p>
    <w:p>
      <w:pPr>
        <w:sectPr>
          <w:pgSz w:w="11900" w:h="16838" w:orient="portrait"/>
          <w:cols w:equalWidth="0" w:num="2">
            <w:col w:w="4000" w:space="720"/>
            <w:col w:w="6680"/>
          </w:cols>
          <w:pgMar w:left="240" w:top="908" w:right="259" w:bottom="1440" w:gutter="0" w:footer="0" w:header="0"/>
          <w:type w:val="continuous"/>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00" w:type="dxa"/>
            <w:vAlign w:val="bottom"/>
            <w:gridSpan w:val="5"/>
          </w:tcPr>
          <w:p>
            <w:pPr>
              <w:ind w:left="9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gridSpan w:val="5"/>
          </w:tcPr>
          <w:p>
            <w:pPr>
              <w:ind w:left="15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5"/>
                <w:szCs w:val="15"/>
                <w:color w:val="auto"/>
              </w:rPr>
            </w:pPr>
          </w:p>
        </w:tc>
        <w:tc>
          <w:tcPr>
            <w:tcW w:w="10160" w:type="dxa"/>
            <w:vAlign w:val="bottom"/>
            <w:gridSpan w:val="9"/>
            <w:shd w:val="clear" w:color="auto" w:fill="CCEEFF"/>
          </w:tcPr>
          <w:p>
            <w:pPr>
              <w:spacing w:after="0" w:line="17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Kornit Digital Ltd. 2015 Incentive Compensation Plan (incorporated by reference to Exhibit 10.21 of the Registration Statement on Form 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14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1 of the Registrant (File No. 333-202291))</w:t>
              </w:r>
            </w:hyperlink>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5"/>
                <w:szCs w:val="15"/>
                <w:color w:val="auto"/>
              </w:rPr>
            </w:pPr>
          </w:p>
        </w:tc>
        <w:tc>
          <w:tcPr>
            <w:tcW w:w="10160" w:type="dxa"/>
            <w:vAlign w:val="bottom"/>
            <w:tcBorders>
              <w:bottom w:val="single" w:sz="8" w:color="0000EE"/>
            </w:tcBorders>
            <w:gridSpan w:val="9"/>
          </w:tcPr>
          <w:p>
            <w:pPr>
              <w:spacing w:after="0" w:line="176" w:lineRule="exact"/>
              <w:rPr>
                <w:rFonts w:ascii="Arial" w:cs="Arial" w:eastAsia="Arial" w:hAnsi="Arial"/>
                <w:sz w:val="18"/>
                <w:szCs w:val="18"/>
                <w:color w:val="0000EE"/>
                <w:w w:val="98"/>
              </w:rPr>
            </w:pPr>
            <w:hyperlink r:id="rId35">
              <w:r>
                <w:rPr>
                  <w:rFonts w:ascii="Arial" w:cs="Arial" w:eastAsia="Arial" w:hAnsi="Arial"/>
                  <w:sz w:val="18"/>
                  <w:szCs w:val="18"/>
                  <w:color w:val="0000EE"/>
                  <w:w w:val="98"/>
                </w:rPr>
                <w:t>Articles of Association of the Registrant (incorporated by reference to Exhibit 3.1 of the Registration Statement on Form F-1 of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Registrant (File No. 333-202291))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Specimen Ordinary Share Certificate of the Registrant (incorporated by reference to Exhibit 4.1 of the Registration Statement on Form F-1</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of the Registrant (File No. 333-202291))</w:t>
              </w:r>
            </w:hyperlink>
          </w:p>
        </w:tc>
        <w:tc>
          <w:tcPr>
            <w:tcW w:w="7220" w:type="dxa"/>
            <w:vAlign w:val="bottom"/>
            <w:tcBorders>
              <w:bottom w:val="single" w:sz="8" w:color="CCEEFF"/>
            </w:tcBorders>
            <w:gridSpan w:val="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10160" w:type="dxa"/>
            <w:vAlign w:val="bottom"/>
            <w:gridSpan w:val="9"/>
          </w:tcPr>
          <w:p>
            <w:pPr>
              <w:spacing w:after="0" w:line="176" w:lineRule="exact"/>
              <w:rPr>
                <w:sz w:val="20"/>
                <w:szCs w:val="20"/>
                <w:color w:val="auto"/>
              </w:rPr>
            </w:pPr>
            <w:r>
              <w:rPr>
                <w:rFonts w:ascii="Arial" w:cs="Arial" w:eastAsia="Arial" w:hAnsi="Arial"/>
                <w:sz w:val="18"/>
                <w:szCs w:val="18"/>
                <w:color w:val="0000EE"/>
                <w:w w:val="96"/>
              </w:rPr>
              <w:t>Opinion of Meitar Liquornik Geva Leshem Tal, Law Offices, Israeli counsel to the Registrant, as to the validity of the ordinary 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(including consent)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17"/>
                <w:szCs w:val="17"/>
                <w:color w:val="auto"/>
              </w:rPr>
            </w:pPr>
          </w:p>
        </w:tc>
        <w:tc>
          <w:tcPr>
            <w:tcW w:w="592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0"/>
              </w:rPr>
              <w:t>Consent of Kost, Forer, Gabbay and Kasierer, a member of Ernst &amp; Young Global</w:t>
            </w:r>
          </w:p>
        </w:tc>
        <w:tc>
          <w:tcPr>
            <w:tcW w:w="424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23.2</w:t>
            </w:r>
          </w:p>
        </w:tc>
        <w:tc>
          <w:tcPr>
            <w:tcW w:w="100" w:type="dxa"/>
            <w:vAlign w:val="bottom"/>
          </w:tcPr>
          <w:p>
            <w:pPr>
              <w:spacing w:after="0"/>
              <w:rPr>
                <w:sz w:val="15"/>
                <w:szCs w:val="15"/>
                <w:color w:val="auto"/>
              </w:rPr>
            </w:pPr>
          </w:p>
        </w:tc>
        <w:tc>
          <w:tcPr>
            <w:tcW w:w="10160" w:type="dxa"/>
            <w:vAlign w:val="bottom"/>
            <w:gridSpan w:val="9"/>
          </w:tcPr>
          <w:p>
            <w:pPr>
              <w:spacing w:after="0" w:line="176" w:lineRule="exact"/>
              <w:rPr>
                <w:sz w:val="20"/>
                <w:szCs w:val="20"/>
                <w:color w:val="auto"/>
              </w:rPr>
            </w:pPr>
            <w:r>
              <w:rPr>
                <w:rFonts w:ascii="Arial" w:cs="Arial" w:eastAsia="Arial" w:hAnsi="Arial"/>
                <w:sz w:val="18"/>
                <w:szCs w:val="18"/>
                <w:color w:val="0000EE"/>
              </w:rPr>
              <w:t>Consent of Meitar Liquornik Geva Leshem Tal, Law Offices (included in Exhibit 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7"/>
                <w:szCs w:val="17"/>
                <w:color w:val="auto"/>
              </w:rPr>
            </w:pPr>
          </w:p>
        </w:tc>
        <w:tc>
          <w:tcPr>
            <w:tcW w:w="10160" w:type="dxa"/>
            <w:vAlign w:val="bottom"/>
            <w:gridSpan w:val="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Power of Attorney (included in signature page to this Registration Statement)</w:t>
              </w:r>
            </w:hyperlink>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580" w:type="dxa"/>
            <w:vAlign w:val="bottom"/>
            <w:tcBorders>
              <w:top w:val="single" w:sz="8" w:color="0000EE"/>
              <w:bottom w:val="single" w:sz="8" w:color="auto"/>
            </w:tcBorders>
            <w:gridSpan w:val="5"/>
          </w:tcPr>
          <w:p>
            <w:pPr>
              <w:ind w:left="4360"/>
              <w:spacing w:after="0"/>
              <w:rPr>
                <w:sz w:val="20"/>
                <w:szCs w:val="20"/>
                <w:color w:val="auto"/>
              </w:rPr>
            </w:pPr>
            <w:r>
              <w:rPr>
                <w:rFonts w:ascii="Arial" w:cs="Arial" w:eastAsia="Arial" w:hAnsi="Arial"/>
                <w:sz w:val="18"/>
                <w:szCs w:val="18"/>
                <w:color w:val="auto"/>
              </w:rPr>
              <w:t>-6-</w:t>
            </w:r>
          </w:p>
        </w:tc>
        <w:tc>
          <w:tcPr>
            <w:tcW w:w="3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9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154940</wp:posOffset>
            </wp:positionV>
            <wp:extent cx="4707890" cy="892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470789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4809246, Israel</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We have acted as Israeli counsel to Kornit Digital Ltd., a company organized under the laws of the State of Israel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its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with the Securities and Exchange Commission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covering up to an additional 1,023,726 ordinary shares of the Company, par value New Israeli Shekel 0.01 per share (the “</w:t>
      </w:r>
      <w:r>
        <w:rPr>
          <w:rFonts w:ascii="Arial" w:cs="Arial" w:eastAsia="Arial" w:hAnsi="Arial"/>
          <w:sz w:val="17"/>
          <w:szCs w:val="17"/>
          <w:b w:val="1"/>
          <w:bCs w:val="1"/>
          <w:color w:val="auto"/>
        </w:rPr>
        <w:t>Shares</w:t>
      </w:r>
      <w:r>
        <w:rPr>
          <w:rFonts w:ascii="Arial" w:cs="Arial" w:eastAsia="Arial" w:hAnsi="Arial"/>
          <w:sz w:val="17"/>
          <w:szCs w:val="17"/>
          <w:color w:val="auto"/>
        </w:rPr>
        <w:t>”) that are available for issuance under the Kornit Digital Ltd. 2015 Incentive Compensation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169" w:lineRule="exact"/>
        <w:rPr>
          <w:sz w:val="20"/>
          <w:szCs w:val="20"/>
          <w:color w:val="auto"/>
        </w:rPr>
      </w:pPr>
    </w:p>
    <w:p>
      <w:pPr>
        <w:jc w:val="both"/>
        <w:ind w:firstLine="627"/>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the Plan,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spacing w:after="0" w:line="187" w:lineRule="exact"/>
        <w:rPr>
          <w:sz w:val="20"/>
          <w:szCs w:val="20"/>
          <w:color w:val="auto"/>
        </w:rPr>
      </w:pPr>
    </w:p>
    <w:p>
      <w:pPr>
        <w:jc w:val="both"/>
        <w:ind w:firstLine="627"/>
        <w:spacing w:after="0" w:line="293" w:lineRule="auto"/>
        <w:rPr>
          <w:sz w:val="20"/>
          <w:szCs w:val="20"/>
          <w:color w:val="auto"/>
        </w:rPr>
      </w:pPr>
      <w:r>
        <w:rPr>
          <w:rFonts w:ascii="Arial" w:cs="Arial" w:eastAsia="Arial" w:hAnsi="Arial"/>
          <w:sz w:val="16"/>
          <w:szCs w:val="16"/>
          <w:color w:val="auto"/>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spacing w:after="0" w:line="165" w:lineRule="exact"/>
        <w:rPr>
          <w:sz w:val="20"/>
          <w:szCs w:val="20"/>
          <w:color w:val="auto"/>
        </w:rPr>
      </w:pPr>
    </w:p>
    <w:p>
      <w:pPr>
        <w:jc w:val="both"/>
        <w:ind w:right="20" w:firstLine="627"/>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reserved for issuance and, when issued and paid for, will be legally issued, fully paid and non-assessable.</w:t>
      </w:r>
    </w:p>
    <w:p>
      <w:pPr>
        <w:spacing w:after="0" w:line="170"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spacing w:after="0" w:line="166" w:lineRule="exact"/>
        <w:rPr>
          <w:sz w:val="20"/>
          <w:szCs w:val="20"/>
          <w:color w:val="auto"/>
        </w:rPr>
      </w:pPr>
    </w:p>
    <w:p>
      <w:pPr>
        <w:jc w:val="both"/>
        <w:ind w:firstLine="627"/>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Meitar Liquornik Geva Leshem Tal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Meitar Liquornik Geva Leshem Tal</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714"/>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2015 Incentive Compensation Plan of Kornit Digital Ltd. of our report, dated March 20, 2018, with respect to the consolidated financial statements of Kornit Digital Ltd. and its subsidiaries included in its Annual Report (Form 20-F) for the year ended December 31, 2017, filed with the Securities and Exchange Commission.</w:t>
      </w:r>
    </w:p>
    <w:p>
      <w:pPr>
        <w:sectPr>
          <w:pgSz w:w="11900" w:h="16838" w:orient="portrait"/>
          <w:cols w:equalWidth="0" w:num="1">
            <w:col w:w="11420"/>
          </w:cols>
          <w:pgMar w:left="240" w:top="121" w:right="239" w:bottom="1440"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Tel-Aviv, Israel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20, 2018</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/S/ KOST FORER GABBAY &amp; KASIERER</w:t>
      </w:r>
    </w:p>
    <w:p>
      <w:pPr>
        <w:spacing w:after="0" w:line="35"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KOST FORER GABBAY &amp; KASIERER</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A Member of Ernst &amp; Young Global</w:t>
      </w:r>
    </w:p>
    <w:sectPr>
      <w:pgSz w:w="11900" w:h="16838" w:orient="portrait"/>
      <w:cols w:equalWidth="0" w:num="2">
        <w:col w:w="6240" w:space="720"/>
        <w:col w:w="446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7" Type="http://schemas.openxmlformats.org/officeDocument/2006/relationships/image" Target="media/image27.jpeg"/><Relationship Id="rId34" Type="http://schemas.openxmlformats.org/officeDocument/2006/relationships/hyperlink" Target="http://www.sec.gov/Archives/edgar/data/1625791/000161577415000505/s100871_ex10-21.htm" TargetMode="External"/><Relationship Id="rId35" Type="http://schemas.openxmlformats.org/officeDocument/2006/relationships/hyperlink" Target="http://www.sec.gov/Archives/edgar/data/1625791/000161577415000363/s100753_ex3-1.htm" TargetMode="External"/><Relationship Id="rId36" Type="http://schemas.openxmlformats.org/officeDocument/2006/relationships/hyperlink" Target="http://www.sec.gov/Archives/edgar/data/1625791/000161577415000434/s10082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2019-12-08T12:25:27Z</dcterms:created>
  <dcterms:modified xsi:type="dcterms:W3CDTF">2019-12-08T12:25:27Z</dcterms:modified>
</cp:coreProperties>
</file>