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30943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(Amendment No. 1)*</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218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804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218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804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218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804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218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804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40" w:right="9400" w:hanging="73"/>
        <w:spacing w:after="0" w:line="283" w:lineRule="auto"/>
        <w:tabs>
          <w:tab w:leader="none" w:pos="103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40" w:hanging="373"/>
        <w:spacing w:after="0"/>
        <w:tabs>
          <w:tab w:leader="none" w:pos="10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(Page 1 of 7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firstLine="648"/>
        <w:spacing w:after="0" w:line="29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6"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560"/>
          </w:cols>
          <w:pgMar w:left="160" w:top="380" w:right="179" w:bottom="1440" w:gutter="0" w:footer="0" w:header="0"/>
        </w:sectPr>
      </w:pPr>
    </w:p>
    <w:bookmarkStart w:id="1" w:name="page2"/>
    <w:bookmarkEnd w:id="1"/>
    <w:p>
      <w:pPr>
        <w:spacing w:after="0"/>
        <w:tabs>
          <w:tab w:leader="none" w:pos="5520" w:val="left"/>
          <w:tab w:leader="none" w:pos="1022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M6372Q113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2 of 7 Pages</w:t>
      </w:r>
    </w:p>
    <w:p>
      <w:pPr>
        <w:ind w:left="1980" w:hanging="1112"/>
        <w:spacing w:after="0" w:line="228" w:lineRule="auto"/>
        <w:tabs>
          <w:tab w:leader="none" w:pos="1980" w:val="left"/>
        </w:tabs>
        <w:numPr>
          <w:ilvl w:val="0"/>
          <w:numId w:val="2"/>
        </w:numPr>
        <w:rPr>
          <w:rFonts w:ascii="Arial" w:cs="Arial" w:eastAsia="Arial" w:hAnsi="Arial"/>
          <w:sz w:val="58"/>
          <w:szCs w:val="58"/>
          <w:b w:val="1"/>
          <w:bCs w:val="1"/>
          <w:color w:val="auto"/>
          <w:vertAlign w:val="subscript"/>
        </w:rPr>
      </w:pP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338060" cy="4800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38060" cy="480060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500" w:type="dxa"/>
            <w:vAlign w:val="bottom"/>
          </w:tcPr>
          <w:p>
            <w:pPr>
              <w:spacing w:after="0"/>
              <w:rPr>
                <w:sz w:val="21"/>
                <w:szCs w:val="21"/>
                <w:color w:val="auto"/>
              </w:rPr>
            </w:pPr>
          </w:p>
        </w:tc>
        <w:tc>
          <w:tcPr>
            <w:tcW w:w="6860" w:type="dxa"/>
            <w:vAlign w:val="bottom"/>
          </w:tcPr>
          <w:p>
            <w:pPr>
              <w:ind w:left="800"/>
              <w:spacing w:after="0"/>
              <w:rPr>
                <w:sz w:val="20"/>
                <w:szCs w:val="20"/>
                <w:color w:val="auto"/>
              </w:rPr>
            </w:pPr>
            <w:r>
              <w:rPr>
                <w:rFonts w:ascii="Arial" w:cs="Arial" w:eastAsia="Arial" w:hAnsi="Arial"/>
                <w:sz w:val="20"/>
                <w:szCs w:val="20"/>
                <w:color w:val="auto"/>
              </w:rPr>
              <w:t>Senvest Management, LLC</w:t>
            </w:r>
          </w:p>
        </w:tc>
        <w:tc>
          <w:tcPr>
            <w:tcW w:w="3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500" w:type="dxa"/>
            <w:vAlign w:val="bottom"/>
            <w:tcBorders>
              <w:bottom w:val="single" w:sz="8" w:color="auto"/>
            </w:tcBorders>
          </w:tcPr>
          <w:p>
            <w:pPr>
              <w:spacing w:after="0"/>
              <w:rPr>
                <w:sz w:val="9"/>
                <w:szCs w:val="9"/>
                <w:color w:val="auto"/>
              </w:rPr>
            </w:pPr>
          </w:p>
        </w:tc>
        <w:tc>
          <w:tcPr>
            <w:tcW w:w="686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500" w:type="dxa"/>
            <w:vAlign w:val="bottom"/>
            <w:vMerge w:val="restart"/>
          </w:tcPr>
          <w:p>
            <w:pPr>
              <w:jc w:val="right"/>
              <w:ind w:right="336"/>
              <w:spacing w:after="0"/>
              <w:rPr>
                <w:sz w:val="20"/>
                <w:szCs w:val="20"/>
                <w:color w:val="auto"/>
              </w:rPr>
            </w:pPr>
            <w:r>
              <w:rPr>
                <w:rFonts w:ascii="Arial" w:cs="Arial" w:eastAsia="Arial" w:hAnsi="Arial"/>
                <w:sz w:val="29"/>
                <w:szCs w:val="29"/>
                <w:b w:val="1"/>
                <w:bCs w:val="1"/>
                <w:color w:val="auto"/>
              </w:rPr>
              <w:t>2</w:t>
            </w:r>
          </w:p>
        </w:tc>
        <w:tc>
          <w:tcPr>
            <w:tcW w:w="6860" w:type="dxa"/>
            <w:vAlign w:val="bottom"/>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200" w:type="dxa"/>
            <w:vAlign w:val="bottom"/>
            <w:vMerge w:val="restart"/>
          </w:tcPr>
          <w:p>
            <w:pPr>
              <w:ind w:left="192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500" w:type="dxa"/>
            <w:vAlign w:val="bottom"/>
            <w:vMerge w:val="continue"/>
          </w:tcPr>
          <w:p>
            <w:pPr>
              <w:spacing w:after="0"/>
              <w:rPr>
                <w:sz w:val="7"/>
                <w:szCs w:val="7"/>
                <w:color w:val="auto"/>
              </w:rPr>
            </w:pPr>
          </w:p>
        </w:tc>
        <w:tc>
          <w:tcPr>
            <w:tcW w:w="686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5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200" w:type="dxa"/>
            <w:vAlign w:val="bottom"/>
          </w:tcPr>
          <w:p>
            <w:pPr>
              <w:ind w:left="192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ind w:left="1980" w:hanging="1112"/>
        <w:spacing w:after="0" w:line="189" w:lineRule="auto"/>
        <w:tabs>
          <w:tab w:leader="none" w:pos="1980" w:val="left"/>
        </w:tabs>
        <w:numPr>
          <w:ilvl w:val="0"/>
          <w:numId w:val="3"/>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4</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Delaware</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8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80" w:type="dxa"/>
            <w:vAlign w:val="bottom"/>
            <w:vMerge w:val="continue"/>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7"/>
              </w:rPr>
              <w:t>SHARES</w:t>
            </w:r>
          </w:p>
        </w:tc>
        <w:tc>
          <w:tcPr>
            <w:tcW w:w="1520" w:type="dxa"/>
            <w:vAlign w:val="bottom"/>
            <w:tcBorders>
              <w:right w:val="single" w:sz="8" w:color="auto"/>
            </w:tcBorders>
            <w:vMerge w:val="continue"/>
          </w:tcPr>
          <w:p>
            <w:pPr>
              <w:spacing w:after="0"/>
              <w:rPr>
                <w:sz w:val="11"/>
                <w:szCs w:val="11"/>
                <w:color w:val="auto"/>
              </w:rPr>
            </w:pPr>
          </w:p>
        </w:tc>
        <w:tc>
          <w:tcPr>
            <w:tcW w:w="598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6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534,131</w:t>
            </w: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8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8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8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6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8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8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6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80" w:type="dxa"/>
            <w:vAlign w:val="bottom"/>
            <w:vMerge w:val="continue"/>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6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534,131</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80" w:type="dxa"/>
            <w:vAlign w:val="bottom"/>
            <w:vMerge w:val="continue"/>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9</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534,131</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6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5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200" w:type="dxa"/>
            <w:vAlign w:val="bottom"/>
          </w:tcPr>
          <w:p>
            <w:pPr>
              <w:ind w:left="102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7500" w:type="dxa"/>
            <w:vAlign w:val="bottom"/>
            <w:gridSpan w:val="2"/>
            <w:vMerge w:val="continue"/>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1.53%</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OO, IA</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145" w:right="179" w:bottom="1440" w:gutter="0" w:footer="0" w:header="0"/>
        </w:sectPr>
      </w:pPr>
    </w:p>
    <w:bookmarkStart w:id="2" w:name="page3"/>
    <w:bookmarkEnd w:id="2"/>
    <w:p>
      <w:pPr>
        <w:spacing w:after="0"/>
        <w:tabs>
          <w:tab w:leader="none" w:pos="5520" w:val="left"/>
          <w:tab w:leader="none" w:pos="1022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M6372Q113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7 Pages</w:t>
      </w:r>
    </w:p>
    <w:p>
      <w:pPr>
        <w:ind w:left="1980" w:hanging="1112"/>
        <w:spacing w:after="0" w:line="228" w:lineRule="auto"/>
        <w:tabs>
          <w:tab w:leader="none" w:pos="1980" w:val="left"/>
        </w:tabs>
        <w:numPr>
          <w:ilvl w:val="0"/>
          <w:numId w:val="4"/>
        </w:numPr>
        <w:rPr>
          <w:rFonts w:ascii="Arial" w:cs="Arial" w:eastAsia="Arial" w:hAnsi="Arial"/>
          <w:sz w:val="58"/>
          <w:szCs w:val="58"/>
          <w:b w:val="1"/>
          <w:bCs w:val="1"/>
          <w:color w:val="auto"/>
          <w:vertAlign w:val="subscript"/>
        </w:rPr>
      </w:pP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338060" cy="4800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38060" cy="480060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500" w:type="dxa"/>
            <w:vAlign w:val="bottom"/>
          </w:tcPr>
          <w:p>
            <w:pPr>
              <w:spacing w:after="0"/>
              <w:rPr>
                <w:sz w:val="21"/>
                <w:szCs w:val="21"/>
                <w:color w:val="auto"/>
              </w:rPr>
            </w:pPr>
          </w:p>
        </w:tc>
        <w:tc>
          <w:tcPr>
            <w:tcW w:w="6860" w:type="dxa"/>
            <w:vAlign w:val="bottom"/>
          </w:tcPr>
          <w:p>
            <w:pPr>
              <w:ind w:left="800"/>
              <w:spacing w:after="0"/>
              <w:rPr>
                <w:sz w:val="20"/>
                <w:szCs w:val="20"/>
                <w:color w:val="auto"/>
              </w:rPr>
            </w:pPr>
            <w:r>
              <w:rPr>
                <w:rFonts w:ascii="Arial" w:cs="Arial" w:eastAsia="Arial" w:hAnsi="Arial"/>
                <w:sz w:val="20"/>
                <w:szCs w:val="20"/>
                <w:color w:val="auto"/>
              </w:rPr>
              <w:t>Richard Mashaal</w:t>
            </w:r>
          </w:p>
        </w:tc>
        <w:tc>
          <w:tcPr>
            <w:tcW w:w="3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500" w:type="dxa"/>
            <w:vAlign w:val="bottom"/>
            <w:tcBorders>
              <w:bottom w:val="single" w:sz="8" w:color="auto"/>
            </w:tcBorders>
          </w:tcPr>
          <w:p>
            <w:pPr>
              <w:spacing w:after="0"/>
              <w:rPr>
                <w:sz w:val="9"/>
                <w:szCs w:val="9"/>
                <w:color w:val="auto"/>
              </w:rPr>
            </w:pPr>
          </w:p>
        </w:tc>
        <w:tc>
          <w:tcPr>
            <w:tcW w:w="686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500" w:type="dxa"/>
            <w:vAlign w:val="bottom"/>
            <w:vMerge w:val="restart"/>
          </w:tcPr>
          <w:p>
            <w:pPr>
              <w:jc w:val="right"/>
              <w:ind w:right="336"/>
              <w:spacing w:after="0"/>
              <w:rPr>
                <w:sz w:val="20"/>
                <w:szCs w:val="20"/>
                <w:color w:val="auto"/>
              </w:rPr>
            </w:pPr>
            <w:r>
              <w:rPr>
                <w:rFonts w:ascii="Arial" w:cs="Arial" w:eastAsia="Arial" w:hAnsi="Arial"/>
                <w:sz w:val="29"/>
                <w:szCs w:val="29"/>
                <w:b w:val="1"/>
                <w:bCs w:val="1"/>
                <w:color w:val="auto"/>
              </w:rPr>
              <w:t>2</w:t>
            </w:r>
          </w:p>
        </w:tc>
        <w:tc>
          <w:tcPr>
            <w:tcW w:w="6860" w:type="dxa"/>
            <w:vAlign w:val="bottom"/>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200" w:type="dxa"/>
            <w:vAlign w:val="bottom"/>
            <w:vMerge w:val="restart"/>
          </w:tcPr>
          <w:p>
            <w:pPr>
              <w:ind w:left="192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500" w:type="dxa"/>
            <w:vAlign w:val="bottom"/>
            <w:vMerge w:val="continue"/>
          </w:tcPr>
          <w:p>
            <w:pPr>
              <w:spacing w:after="0"/>
              <w:rPr>
                <w:sz w:val="7"/>
                <w:szCs w:val="7"/>
                <w:color w:val="auto"/>
              </w:rPr>
            </w:pPr>
          </w:p>
        </w:tc>
        <w:tc>
          <w:tcPr>
            <w:tcW w:w="686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5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200" w:type="dxa"/>
            <w:vAlign w:val="bottom"/>
          </w:tcPr>
          <w:p>
            <w:pPr>
              <w:ind w:left="192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ind w:left="1980" w:hanging="1112"/>
        <w:spacing w:after="0" w:line="189" w:lineRule="auto"/>
        <w:tabs>
          <w:tab w:leader="none" w:pos="1980" w:val="left"/>
        </w:tabs>
        <w:numPr>
          <w:ilvl w:val="0"/>
          <w:numId w:val="5"/>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4</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20"/>
                <w:szCs w:val="20"/>
                <w:color w:val="auto"/>
                <w:w w:val="85"/>
              </w:rPr>
              <w:t>Canada</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8"/>
              </w:rPr>
              <w:t>5</w:t>
            </w:r>
          </w:p>
        </w:tc>
        <w:tc>
          <w:tcPr>
            <w:tcW w:w="598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80" w:type="dxa"/>
            <w:vAlign w:val="bottom"/>
            <w:vMerge w:val="continue"/>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98"/>
              </w:rPr>
              <w:t>6</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7"/>
              </w:rPr>
              <w:t>SHARES</w:t>
            </w:r>
          </w:p>
        </w:tc>
        <w:tc>
          <w:tcPr>
            <w:tcW w:w="1520" w:type="dxa"/>
            <w:vAlign w:val="bottom"/>
            <w:tcBorders>
              <w:right w:val="single" w:sz="8" w:color="auto"/>
            </w:tcBorders>
            <w:vMerge w:val="continue"/>
          </w:tcPr>
          <w:p>
            <w:pPr>
              <w:spacing w:after="0"/>
              <w:rPr>
                <w:sz w:val="11"/>
                <w:szCs w:val="11"/>
                <w:color w:val="auto"/>
              </w:rPr>
            </w:pPr>
          </w:p>
        </w:tc>
        <w:tc>
          <w:tcPr>
            <w:tcW w:w="598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6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534,131</w:t>
            </w: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8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8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98"/>
              </w:rPr>
              <w:t>7</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8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6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8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8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8"/>
              </w:rPr>
              <w:t>8</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6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80" w:type="dxa"/>
            <w:vAlign w:val="bottom"/>
            <w:vMerge w:val="continue"/>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6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534,131</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80" w:type="dxa"/>
            <w:vAlign w:val="bottom"/>
            <w:vMerge w:val="continue"/>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9</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534,131</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6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5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200" w:type="dxa"/>
            <w:vAlign w:val="bottom"/>
          </w:tcPr>
          <w:p>
            <w:pPr>
              <w:ind w:left="102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7500" w:type="dxa"/>
            <w:vAlign w:val="bottom"/>
            <w:gridSpan w:val="2"/>
            <w:vMerge w:val="continue"/>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1.53%</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20"/>
                <w:szCs w:val="20"/>
                <w:color w:val="auto"/>
                <w:w w:val="96"/>
              </w:rPr>
              <w:t>IN, HC</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145" w:right="17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0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M6372Q113</w:t>
            </w:r>
          </w:p>
        </w:tc>
        <w:tc>
          <w:tcPr>
            <w:tcW w:w="4360" w:type="dxa"/>
            <w:vAlign w:val="bottom"/>
            <w:gridSpan w:val="3"/>
          </w:tcPr>
          <w:p>
            <w:pPr>
              <w:ind w:left="140"/>
              <w:spacing w:after="0"/>
              <w:rPr>
                <w:sz w:val="20"/>
                <w:szCs w:val="20"/>
                <w:color w:val="auto"/>
              </w:rPr>
            </w:pPr>
            <w:r>
              <w:rPr>
                <w:rFonts w:ascii="Arial" w:cs="Arial" w:eastAsia="Arial" w:hAnsi="Arial"/>
                <w:sz w:val="18"/>
                <w:szCs w:val="18"/>
                <w:b w:val="1"/>
                <w:bCs w:val="1"/>
                <w:color w:val="auto"/>
              </w:rPr>
              <w:t>13G/A</w:t>
            </w:r>
          </w:p>
        </w:tc>
        <w:tc>
          <w:tcPr>
            <w:tcW w:w="1800" w:type="dxa"/>
            <w:vAlign w:val="bottom"/>
          </w:tcPr>
          <w:p>
            <w:pPr>
              <w:ind w:left="480"/>
              <w:spacing w:after="0"/>
              <w:rPr>
                <w:sz w:val="20"/>
                <w:szCs w:val="20"/>
                <w:color w:val="auto"/>
              </w:rPr>
            </w:pPr>
            <w:r>
              <w:rPr>
                <w:rFonts w:ascii="Arial" w:cs="Arial" w:eastAsia="Arial" w:hAnsi="Arial"/>
                <w:sz w:val="18"/>
                <w:szCs w:val="18"/>
                <w:b w:val="1"/>
                <w:bCs w:val="1"/>
                <w:color w:val="auto"/>
                <w:w w:val="84"/>
              </w:rPr>
              <w:t>Page 4 of 7 Pages</w:t>
            </w:r>
          </w:p>
        </w:tc>
      </w:tr>
      <w:tr>
        <w:trPr>
          <w:trHeight w:val="546"/>
        </w:trPr>
        <w:tc>
          <w:tcPr>
            <w:tcW w:w="130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4100" w:type="dxa"/>
            <w:vAlign w:val="bottom"/>
            <w:gridSpan w:val="5"/>
          </w:tcPr>
          <w:p>
            <w:pPr>
              <w:ind w:left="440"/>
              <w:spacing w:after="0"/>
              <w:rPr>
                <w:sz w:val="20"/>
                <w:szCs w:val="20"/>
                <w:color w:val="auto"/>
              </w:rPr>
            </w:pPr>
            <w:r>
              <w:rPr>
                <w:rFonts w:ascii="Arial" w:cs="Arial" w:eastAsia="Arial" w:hAnsi="Arial"/>
                <w:sz w:val="20"/>
                <w:szCs w:val="20"/>
                <w:b w:val="1"/>
                <w:bCs w:val="1"/>
                <w:color w:val="auto"/>
              </w:rPr>
              <w:t>Name of Issuer.</w:t>
            </w: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6"/>
        </w:trPr>
        <w:tc>
          <w:tcPr>
            <w:tcW w:w="1300" w:type="dxa"/>
            <w:vAlign w:val="bottom"/>
          </w:tcPr>
          <w:p>
            <w:pPr>
              <w:spacing w:after="0"/>
              <w:rPr>
                <w:sz w:val="17"/>
                <w:szCs w:val="17"/>
                <w:color w:val="auto"/>
              </w:rPr>
            </w:pPr>
          </w:p>
        </w:tc>
        <w:tc>
          <w:tcPr>
            <w:tcW w:w="4100" w:type="dxa"/>
            <w:vAlign w:val="bottom"/>
            <w:gridSpan w:val="5"/>
          </w:tcPr>
          <w:p>
            <w:pPr>
              <w:ind w:left="440"/>
              <w:spacing w:after="0" w:line="206" w:lineRule="exact"/>
              <w:rPr>
                <w:sz w:val="20"/>
                <w:szCs w:val="20"/>
                <w:color w:val="auto"/>
              </w:rPr>
            </w:pPr>
            <w:r>
              <w:rPr>
                <w:rFonts w:ascii="Arial" w:cs="Arial" w:eastAsia="Arial" w:hAnsi="Arial"/>
                <w:sz w:val="20"/>
                <w:szCs w:val="20"/>
                <w:color w:val="auto"/>
              </w:rPr>
              <w:t>Kornit Digital Ltd. (the "Issuer")</w:t>
            </w: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692"/>
        </w:trPr>
        <w:tc>
          <w:tcPr>
            <w:tcW w:w="130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8460" w:type="dxa"/>
            <w:vAlign w:val="bottom"/>
            <w:gridSpan w:val="8"/>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c>
          <w:tcPr>
            <w:tcW w:w="18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4100" w:type="dxa"/>
            <w:vAlign w:val="bottom"/>
            <w:gridSpan w:val="5"/>
          </w:tcPr>
          <w:p>
            <w:pPr>
              <w:ind w:left="440"/>
              <w:spacing w:after="0"/>
              <w:rPr>
                <w:sz w:val="20"/>
                <w:szCs w:val="20"/>
                <w:color w:val="auto"/>
              </w:rPr>
            </w:pPr>
            <w:r>
              <w:rPr>
                <w:rFonts w:ascii="Arial" w:cs="Arial" w:eastAsia="Arial" w:hAnsi="Arial"/>
                <w:sz w:val="20"/>
                <w:szCs w:val="20"/>
                <w:color w:val="auto"/>
              </w:rPr>
              <w:t>12 Ha’Amal Street</w:t>
            </w: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4100" w:type="dxa"/>
            <w:vAlign w:val="bottom"/>
            <w:gridSpan w:val="5"/>
          </w:tcPr>
          <w:p>
            <w:pPr>
              <w:ind w:left="440"/>
              <w:spacing w:after="0"/>
              <w:rPr>
                <w:sz w:val="20"/>
                <w:szCs w:val="20"/>
                <w:color w:val="auto"/>
              </w:rPr>
            </w:pPr>
            <w:r>
              <w:rPr>
                <w:rFonts w:ascii="Arial" w:cs="Arial" w:eastAsia="Arial" w:hAnsi="Arial"/>
                <w:sz w:val="20"/>
                <w:szCs w:val="20"/>
                <w:color w:val="auto"/>
              </w:rPr>
              <w:t>Park Afek</w:t>
            </w: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100" w:type="dxa"/>
            <w:vAlign w:val="bottom"/>
            <w:gridSpan w:val="5"/>
          </w:tcPr>
          <w:p>
            <w:pPr>
              <w:ind w:left="440"/>
              <w:spacing w:after="0"/>
              <w:rPr>
                <w:sz w:val="20"/>
                <w:szCs w:val="20"/>
                <w:color w:val="auto"/>
              </w:rPr>
            </w:pPr>
            <w:r>
              <w:rPr>
                <w:rFonts w:ascii="Arial" w:cs="Arial" w:eastAsia="Arial" w:hAnsi="Arial"/>
                <w:sz w:val="20"/>
                <w:szCs w:val="20"/>
                <w:color w:val="auto"/>
              </w:rPr>
              <w:t>Rosh Ha’Ayin 4824096</w:t>
            </w: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50"/>
        </w:trPr>
        <w:tc>
          <w:tcPr>
            <w:tcW w:w="1300" w:type="dxa"/>
            <w:vAlign w:val="bottom"/>
          </w:tcPr>
          <w:p>
            <w:pPr>
              <w:spacing w:after="0"/>
              <w:rPr>
                <w:sz w:val="21"/>
                <w:szCs w:val="21"/>
                <w:color w:val="auto"/>
              </w:rPr>
            </w:pPr>
          </w:p>
        </w:tc>
        <w:tc>
          <w:tcPr>
            <w:tcW w:w="4100" w:type="dxa"/>
            <w:vAlign w:val="bottom"/>
            <w:gridSpan w:val="5"/>
          </w:tcPr>
          <w:p>
            <w:pPr>
              <w:ind w:left="440"/>
              <w:spacing w:after="0"/>
              <w:rPr>
                <w:sz w:val="20"/>
                <w:szCs w:val="20"/>
                <w:color w:val="auto"/>
              </w:rPr>
            </w:pPr>
            <w:r>
              <w:rPr>
                <w:rFonts w:ascii="Arial" w:cs="Arial" w:eastAsia="Arial" w:hAnsi="Arial"/>
                <w:sz w:val="20"/>
                <w:szCs w:val="20"/>
                <w:color w:val="auto"/>
              </w:rPr>
              <w:t>Israel</w:t>
            </w: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438"/>
        </w:trPr>
        <w:tc>
          <w:tcPr>
            <w:tcW w:w="130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4100" w:type="dxa"/>
            <w:vAlign w:val="bottom"/>
            <w:gridSpan w:val="5"/>
          </w:tcPr>
          <w:p>
            <w:pPr>
              <w:ind w:left="440"/>
              <w:spacing w:after="0"/>
              <w:rPr>
                <w:sz w:val="20"/>
                <w:szCs w:val="20"/>
                <w:color w:val="auto"/>
              </w:rPr>
            </w:pPr>
            <w:r>
              <w:rPr>
                <w:rFonts w:ascii="Arial" w:cs="Arial" w:eastAsia="Arial" w:hAnsi="Arial"/>
                <w:sz w:val="20"/>
                <w:szCs w:val="20"/>
                <w:b w:val="1"/>
                <w:bCs w:val="1"/>
                <w:color w:val="auto"/>
              </w:rPr>
              <w:t>Name of Person Filing.</w:t>
            </w: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1300" w:type="dxa"/>
            <w:vAlign w:val="bottom"/>
          </w:tcPr>
          <w:p>
            <w:pPr>
              <w:spacing w:after="0"/>
              <w:rPr>
                <w:sz w:val="21"/>
                <w:szCs w:val="21"/>
                <w:color w:val="auto"/>
              </w:rPr>
            </w:pPr>
          </w:p>
        </w:tc>
        <w:tc>
          <w:tcPr>
            <w:tcW w:w="8460" w:type="dxa"/>
            <w:vAlign w:val="bottom"/>
            <w:gridSpan w:val="8"/>
          </w:tcPr>
          <w:p>
            <w:pPr>
              <w:ind w:left="440"/>
              <w:spacing w:after="0"/>
              <w:rPr>
                <w:sz w:val="20"/>
                <w:szCs w:val="20"/>
                <w:color w:val="auto"/>
              </w:rPr>
            </w:pPr>
            <w:r>
              <w:rPr>
                <w:rFonts w:ascii="Arial" w:cs="Arial" w:eastAsia="Arial" w:hAnsi="Arial"/>
                <w:sz w:val="20"/>
                <w:szCs w:val="20"/>
                <w:color w:val="auto"/>
              </w:rPr>
              <w:t>This statement is filed by Senvest Management, LLC and Richard Mashaal.</w:t>
            </w:r>
          </w:p>
        </w:tc>
        <w:tc>
          <w:tcPr>
            <w:tcW w:w="1800" w:type="dxa"/>
            <w:vAlign w:val="bottom"/>
          </w:tcPr>
          <w:p>
            <w:pPr>
              <w:spacing w:after="0"/>
              <w:rPr>
                <w:sz w:val="21"/>
                <w:szCs w:val="21"/>
                <w:color w:val="auto"/>
              </w:rPr>
            </w:pPr>
          </w:p>
        </w:tc>
      </w:tr>
      <w:tr>
        <w:trPr>
          <w:trHeight w:val="438"/>
        </w:trPr>
        <w:tc>
          <w:tcPr>
            <w:tcW w:w="1300" w:type="dxa"/>
            <w:vAlign w:val="bottom"/>
          </w:tcPr>
          <w:p>
            <w:pPr>
              <w:spacing w:after="0"/>
              <w:rPr>
                <w:sz w:val="24"/>
                <w:szCs w:val="24"/>
                <w:color w:val="auto"/>
              </w:rPr>
            </w:pPr>
          </w:p>
        </w:tc>
        <w:tc>
          <w:tcPr>
            <w:tcW w:w="10260" w:type="dxa"/>
            <w:vAlign w:val="bottom"/>
            <w:gridSpan w:val="9"/>
          </w:tcPr>
          <w:p>
            <w:pPr>
              <w:ind w:left="440"/>
              <w:spacing w:after="0"/>
              <w:rPr>
                <w:sz w:val="20"/>
                <w:szCs w:val="20"/>
                <w:color w:val="auto"/>
              </w:rPr>
            </w:pPr>
            <w:r>
              <w:rPr>
                <w:rFonts w:ascii="Arial" w:cs="Arial" w:eastAsia="Arial" w:hAnsi="Arial"/>
                <w:sz w:val="20"/>
                <w:szCs w:val="20"/>
                <w:color w:val="auto"/>
                <w:w w:val="88"/>
              </w:rPr>
              <w:t>The reported securities are held in the accounts of Senvest Master Fund, LP and Senvest Technology Partners Master Fund,</w:t>
            </w:r>
          </w:p>
        </w:tc>
      </w:tr>
      <w:tr>
        <w:trPr>
          <w:trHeight w:val="206"/>
        </w:trPr>
        <w:tc>
          <w:tcPr>
            <w:tcW w:w="1300" w:type="dxa"/>
            <w:vAlign w:val="bottom"/>
          </w:tcPr>
          <w:p>
            <w:pPr>
              <w:spacing w:after="0"/>
              <w:rPr>
                <w:sz w:val="17"/>
                <w:szCs w:val="17"/>
                <w:color w:val="auto"/>
              </w:rPr>
            </w:pPr>
          </w:p>
        </w:tc>
        <w:tc>
          <w:tcPr>
            <w:tcW w:w="4100" w:type="dxa"/>
            <w:vAlign w:val="bottom"/>
            <w:gridSpan w:val="5"/>
          </w:tcPr>
          <w:p>
            <w:pPr>
              <w:ind w:left="440"/>
              <w:spacing w:after="0" w:line="206" w:lineRule="exact"/>
              <w:rPr>
                <w:sz w:val="20"/>
                <w:szCs w:val="20"/>
                <w:color w:val="auto"/>
              </w:rPr>
            </w:pPr>
            <w:r>
              <w:rPr>
                <w:rFonts w:ascii="Arial" w:cs="Arial" w:eastAsia="Arial" w:hAnsi="Arial"/>
                <w:sz w:val="20"/>
                <w:szCs w:val="20"/>
                <w:color w:val="auto"/>
                <w:w w:val="94"/>
              </w:rPr>
              <w:t>LP (collectively, the "Investment Vehicles").</w:t>
            </w: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0" w:type="dxa"/>
            <w:vAlign w:val="bottom"/>
            <w:gridSpan w:val="3"/>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r>
      <w:tr>
        <w:trPr>
          <w:trHeight w:val="463"/>
        </w:trPr>
        <w:tc>
          <w:tcPr>
            <w:tcW w:w="1300" w:type="dxa"/>
            <w:vAlign w:val="bottom"/>
          </w:tcPr>
          <w:p>
            <w:pPr>
              <w:spacing w:after="0"/>
              <w:rPr>
                <w:sz w:val="24"/>
                <w:szCs w:val="24"/>
                <w:color w:val="auto"/>
              </w:rPr>
            </w:pPr>
          </w:p>
        </w:tc>
        <w:tc>
          <w:tcPr>
            <w:tcW w:w="10260" w:type="dxa"/>
            <w:vAlign w:val="bottom"/>
            <w:gridSpan w:val="9"/>
          </w:tcPr>
          <w:p>
            <w:pPr>
              <w:ind w:left="440"/>
              <w:spacing w:after="0"/>
              <w:rPr>
                <w:sz w:val="20"/>
                <w:szCs w:val="20"/>
                <w:color w:val="auto"/>
              </w:rPr>
            </w:pPr>
            <w:r>
              <w:rPr>
                <w:rFonts w:ascii="Arial" w:cs="Arial" w:eastAsia="Arial" w:hAnsi="Arial"/>
                <w:sz w:val="20"/>
                <w:szCs w:val="20"/>
                <w:color w:val="auto"/>
                <w:w w:val="91"/>
              </w:rPr>
              <w:t>Senvest Management, LLC may be deemed to beneficially own the securities held by the Investment Vehicles by virtue of</w:t>
            </w:r>
          </w:p>
        </w:tc>
      </w:tr>
      <w:tr>
        <w:trPr>
          <w:trHeight w:val="229"/>
        </w:trPr>
        <w:tc>
          <w:tcPr>
            <w:tcW w:w="1300" w:type="dxa"/>
            <w:vAlign w:val="bottom"/>
          </w:tcPr>
          <w:p>
            <w:pPr>
              <w:spacing w:after="0"/>
              <w:rPr>
                <w:sz w:val="19"/>
                <w:szCs w:val="19"/>
                <w:color w:val="auto"/>
              </w:rPr>
            </w:pPr>
          </w:p>
        </w:tc>
        <w:tc>
          <w:tcPr>
            <w:tcW w:w="10260" w:type="dxa"/>
            <w:vAlign w:val="bottom"/>
            <w:gridSpan w:val="9"/>
          </w:tcPr>
          <w:p>
            <w:pPr>
              <w:ind w:left="440"/>
              <w:spacing w:after="0"/>
              <w:rPr>
                <w:sz w:val="20"/>
                <w:szCs w:val="20"/>
                <w:color w:val="auto"/>
              </w:rPr>
            </w:pPr>
            <w:r>
              <w:rPr>
                <w:rFonts w:ascii="Arial" w:cs="Arial" w:eastAsia="Arial" w:hAnsi="Arial"/>
                <w:sz w:val="20"/>
                <w:szCs w:val="20"/>
                <w:color w:val="auto"/>
                <w:w w:val="93"/>
              </w:rPr>
              <w:t>Senvest Management, LLC's position as investment manager of each of the Investment Vehicles. Mr. Mashaal may be</w:t>
            </w:r>
          </w:p>
        </w:tc>
      </w:tr>
      <w:tr>
        <w:trPr>
          <w:trHeight w:val="230"/>
        </w:trPr>
        <w:tc>
          <w:tcPr>
            <w:tcW w:w="1300" w:type="dxa"/>
            <w:vAlign w:val="bottom"/>
          </w:tcPr>
          <w:p>
            <w:pPr>
              <w:spacing w:after="0"/>
              <w:rPr>
                <w:sz w:val="19"/>
                <w:szCs w:val="19"/>
                <w:color w:val="auto"/>
              </w:rPr>
            </w:pPr>
          </w:p>
        </w:tc>
        <w:tc>
          <w:tcPr>
            <w:tcW w:w="10260" w:type="dxa"/>
            <w:vAlign w:val="bottom"/>
            <w:gridSpan w:val="9"/>
          </w:tcPr>
          <w:p>
            <w:pPr>
              <w:ind w:left="440"/>
              <w:spacing w:after="0"/>
              <w:rPr>
                <w:sz w:val="20"/>
                <w:szCs w:val="20"/>
                <w:color w:val="auto"/>
              </w:rPr>
            </w:pPr>
            <w:r>
              <w:rPr>
                <w:rFonts w:ascii="Arial" w:cs="Arial" w:eastAsia="Arial" w:hAnsi="Arial"/>
                <w:sz w:val="20"/>
                <w:szCs w:val="20"/>
                <w:color w:val="auto"/>
                <w:w w:val="97"/>
              </w:rPr>
              <w:t>deemed to beneficially own the securities held by the Investment Vehicles by virtue of Mr. Mashaal's status as the</w:t>
            </w:r>
          </w:p>
        </w:tc>
      </w:tr>
      <w:tr>
        <w:trPr>
          <w:trHeight w:val="229"/>
        </w:trPr>
        <w:tc>
          <w:tcPr>
            <w:tcW w:w="1300" w:type="dxa"/>
            <w:vAlign w:val="bottom"/>
          </w:tcPr>
          <w:p>
            <w:pPr>
              <w:spacing w:after="0"/>
              <w:rPr>
                <w:sz w:val="19"/>
                <w:szCs w:val="19"/>
                <w:color w:val="auto"/>
              </w:rPr>
            </w:pPr>
          </w:p>
        </w:tc>
        <w:tc>
          <w:tcPr>
            <w:tcW w:w="10260" w:type="dxa"/>
            <w:vAlign w:val="bottom"/>
            <w:gridSpan w:val="9"/>
          </w:tcPr>
          <w:p>
            <w:pPr>
              <w:ind w:left="440"/>
              <w:spacing w:after="0"/>
              <w:rPr>
                <w:sz w:val="20"/>
                <w:szCs w:val="20"/>
                <w:color w:val="auto"/>
              </w:rPr>
            </w:pPr>
            <w:r>
              <w:rPr>
                <w:rFonts w:ascii="Arial" w:cs="Arial" w:eastAsia="Arial" w:hAnsi="Arial"/>
                <w:sz w:val="20"/>
                <w:szCs w:val="20"/>
                <w:color w:val="auto"/>
                <w:w w:val="97"/>
              </w:rPr>
              <w:t>managing member of Senvest Management, LLC. None of the foregoing should be construed in and of itself as an</w:t>
            </w:r>
          </w:p>
        </w:tc>
      </w:tr>
      <w:tr>
        <w:trPr>
          <w:trHeight w:val="250"/>
        </w:trPr>
        <w:tc>
          <w:tcPr>
            <w:tcW w:w="1300" w:type="dxa"/>
            <w:vAlign w:val="bottom"/>
          </w:tcPr>
          <w:p>
            <w:pPr>
              <w:spacing w:after="0"/>
              <w:rPr>
                <w:sz w:val="21"/>
                <w:szCs w:val="21"/>
                <w:color w:val="auto"/>
              </w:rPr>
            </w:pPr>
          </w:p>
        </w:tc>
        <w:tc>
          <w:tcPr>
            <w:tcW w:w="8460" w:type="dxa"/>
            <w:vAlign w:val="bottom"/>
            <w:gridSpan w:val="8"/>
          </w:tcPr>
          <w:p>
            <w:pPr>
              <w:ind w:left="440"/>
              <w:spacing w:after="0"/>
              <w:rPr>
                <w:sz w:val="20"/>
                <w:szCs w:val="20"/>
                <w:color w:val="auto"/>
              </w:rPr>
            </w:pPr>
            <w:r>
              <w:rPr>
                <w:rFonts w:ascii="Arial" w:cs="Arial" w:eastAsia="Arial" w:hAnsi="Arial"/>
                <w:sz w:val="20"/>
                <w:szCs w:val="20"/>
                <w:color w:val="auto"/>
                <w:w w:val="94"/>
              </w:rPr>
              <w:t>admission by any Reporting Person as to beneficial ownership of the securities reported herein.</w:t>
            </w:r>
          </w:p>
        </w:tc>
        <w:tc>
          <w:tcPr>
            <w:tcW w:w="1800" w:type="dxa"/>
            <w:vAlign w:val="bottom"/>
          </w:tcPr>
          <w:p>
            <w:pPr>
              <w:spacing w:after="0"/>
              <w:rPr>
                <w:sz w:val="21"/>
                <w:szCs w:val="21"/>
                <w:color w:val="auto"/>
              </w:rPr>
            </w:pPr>
          </w:p>
        </w:tc>
      </w:tr>
      <w:tr>
        <w:trPr>
          <w:trHeight w:val="438"/>
        </w:trPr>
        <w:tc>
          <w:tcPr>
            <w:tcW w:w="130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4100" w:type="dxa"/>
            <w:vAlign w:val="bottom"/>
            <w:gridSpan w:val="5"/>
          </w:tcPr>
          <w:p>
            <w:pPr>
              <w:ind w:left="440"/>
              <w:spacing w:after="0"/>
              <w:rPr>
                <w:sz w:val="20"/>
                <w:szCs w:val="20"/>
                <w:color w:val="auto"/>
              </w:rPr>
            </w:pPr>
            <w:r>
              <w:rPr>
                <w:rFonts w:ascii="Arial" w:cs="Arial" w:eastAsia="Arial" w:hAnsi="Arial"/>
                <w:sz w:val="20"/>
                <w:szCs w:val="20"/>
                <w:b w:val="1"/>
                <w:bCs w:val="1"/>
                <w:color w:val="auto"/>
              </w:rPr>
              <w:t>Address of Principal Business Office.</w:t>
            </w: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4100" w:type="dxa"/>
            <w:vAlign w:val="bottom"/>
            <w:gridSpan w:val="5"/>
          </w:tcPr>
          <w:p>
            <w:pPr>
              <w:ind w:left="440"/>
              <w:spacing w:after="0"/>
              <w:rPr>
                <w:sz w:val="20"/>
                <w:szCs w:val="20"/>
                <w:color w:val="auto"/>
              </w:rPr>
            </w:pPr>
            <w:r>
              <w:rPr>
                <w:rFonts w:ascii="Arial" w:cs="Arial" w:eastAsia="Arial" w:hAnsi="Arial"/>
                <w:sz w:val="20"/>
                <w:szCs w:val="20"/>
                <w:color w:val="auto"/>
              </w:rPr>
              <w:t>Senvest Management, LLC</w:t>
            </w: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9"/>
        </w:trPr>
        <w:tc>
          <w:tcPr>
            <w:tcW w:w="1300" w:type="dxa"/>
            <w:vAlign w:val="bottom"/>
          </w:tcPr>
          <w:p>
            <w:pPr>
              <w:spacing w:after="0"/>
              <w:rPr>
                <w:sz w:val="24"/>
                <w:szCs w:val="24"/>
                <w:color w:val="auto"/>
              </w:rPr>
            </w:pPr>
          </w:p>
        </w:tc>
        <w:tc>
          <w:tcPr>
            <w:tcW w:w="4100" w:type="dxa"/>
            <w:vAlign w:val="bottom"/>
            <w:gridSpan w:val="5"/>
          </w:tcPr>
          <w:p>
            <w:pPr>
              <w:ind w:left="440"/>
              <w:spacing w:after="0" w:line="280" w:lineRule="exact"/>
              <w:rPr>
                <w:sz w:val="20"/>
                <w:szCs w:val="20"/>
                <w:color w:val="auto"/>
              </w:rPr>
            </w:pPr>
            <w:r>
              <w:rPr>
                <w:rFonts w:ascii="Arial" w:cs="Arial" w:eastAsia="Arial" w:hAnsi="Arial"/>
                <w:sz w:val="20"/>
                <w:szCs w:val="20"/>
                <w:color w:val="auto"/>
              </w:rPr>
              <w:t>540 Madison Avenue, 32</w:t>
            </w:r>
            <w:r>
              <w:rPr>
                <w:rFonts w:ascii="Arial" w:cs="Arial" w:eastAsia="Arial" w:hAnsi="Arial"/>
                <w:sz w:val="32"/>
                <w:szCs w:val="32"/>
                <w:color w:val="auto"/>
                <w:vertAlign w:val="superscript"/>
              </w:rPr>
              <w:t>nd</w:t>
            </w:r>
            <w:r>
              <w:rPr>
                <w:rFonts w:ascii="Arial" w:cs="Arial" w:eastAsia="Arial" w:hAnsi="Arial"/>
                <w:sz w:val="20"/>
                <w:szCs w:val="20"/>
                <w:color w:val="auto"/>
              </w:rPr>
              <w:t xml:space="preserve"> Floor</w:t>
            </w: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1300" w:type="dxa"/>
            <w:vAlign w:val="bottom"/>
          </w:tcPr>
          <w:p>
            <w:pPr>
              <w:spacing w:after="0"/>
              <w:rPr>
                <w:sz w:val="21"/>
                <w:szCs w:val="21"/>
                <w:color w:val="auto"/>
              </w:rPr>
            </w:pPr>
          </w:p>
        </w:tc>
        <w:tc>
          <w:tcPr>
            <w:tcW w:w="4100" w:type="dxa"/>
            <w:vAlign w:val="bottom"/>
            <w:gridSpan w:val="5"/>
          </w:tcPr>
          <w:p>
            <w:pPr>
              <w:ind w:left="440"/>
              <w:spacing w:after="0"/>
              <w:rPr>
                <w:sz w:val="20"/>
                <w:szCs w:val="20"/>
                <w:color w:val="auto"/>
              </w:rPr>
            </w:pPr>
            <w:r>
              <w:rPr>
                <w:rFonts w:ascii="Arial" w:cs="Arial" w:eastAsia="Arial" w:hAnsi="Arial"/>
                <w:sz w:val="20"/>
                <w:szCs w:val="20"/>
                <w:color w:val="auto"/>
              </w:rPr>
              <w:t>New York, New York 10022</w:t>
            </w: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438"/>
        </w:trPr>
        <w:tc>
          <w:tcPr>
            <w:tcW w:w="1300" w:type="dxa"/>
            <w:vAlign w:val="bottom"/>
          </w:tcPr>
          <w:p>
            <w:pPr>
              <w:spacing w:after="0"/>
              <w:rPr>
                <w:sz w:val="24"/>
                <w:szCs w:val="24"/>
                <w:color w:val="auto"/>
              </w:rPr>
            </w:pPr>
          </w:p>
        </w:tc>
        <w:tc>
          <w:tcPr>
            <w:tcW w:w="4100" w:type="dxa"/>
            <w:vAlign w:val="bottom"/>
            <w:gridSpan w:val="5"/>
          </w:tcPr>
          <w:p>
            <w:pPr>
              <w:ind w:left="440"/>
              <w:spacing w:after="0"/>
              <w:rPr>
                <w:sz w:val="20"/>
                <w:szCs w:val="20"/>
                <w:color w:val="auto"/>
              </w:rPr>
            </w:pPr>
            <w:r>
              <w:rPr>
                <w:rFonts w:ascii="Arial" w:cs="Arial" w:eastAsia="Arial" w:hAnsi="Arial"/>
                <w:sz w:val="20"/>
                <w:szCs w:val="20"/>
                <w:color w:val="auto"/>
              </w:rPr>
              <w:t>Richard Mashaal</w:t>
            </w: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4100" w:type="dxa"/>
            <w:vAlign w:val="bottom"/>
            <w:gridSpan w:val="5"/>
          </w:tcPr>
          <w:p>
            <w:pPr>
              <w:ind w:left="440"/>
              <w:spacing w:after="0"/>
              <w:rPr>
                <w:sz w:val="20"/>
                <w:szCs w:val="20"/>
                <w:color w:val="auto"/>
              </w:rPr>
            </w:pPr>
            <w:r>
              <w:rPr>
                <w:rFonts w:ascii="Arial" w:cs="Arial" w:eastAsia="Arial" w:hAnsi="Arial"/>
                <w:sz w:val="20"/>
                <w:szCs w:val="20"/>
                <w:color w:val="auto"/>
              </w:rPr>
              <w:t>c/o Senvest Management, LLC</w:t>
            </w: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9"/>
        </w:trPr>
        <w:tc>
          <w:tcPr>
            <w:tcW w:w="1300" w:type="dxa"/>
            <w:vAlign w:val="bottom"/>
          </w:tcPr>
          <w:p>
            <w:pPr>
              <w:spacing w:after="0"/>
              <w:rPr>
                <w:sz w:val="24"/>
                <w:szCs w:val="24"/>
                <w:color w:val="auto"/>
              </w:rPr>
            </w:pPr>
          </w:p>
        </w:tc>
        <w:tc>
          <w:tcPr>
            <w:tcW w:w="4100" w:type="dxa"/>
            <w:vAlign w:val="bottom"/>
            <w:gridSpan w:val="5"/>
          </w:tcPr>
          <w:p>
            <w:pPr>
              <w:ind w:left="440"/>
              <w:spacing w:after="0" w:line="280" w:lineRule="exact"/>
              <w:rPr>
                <w:sz w:val="20"/>
                <w:szCs w:val="20"/>
                <w:color w:val="auto"/>
              </w:rPr>
            </w:pPr>
            <w:r>
              <w:rPr>
                <w:rFonts w:ascii="Arial" w:cs="Arial" w:eastAsia="Arial" w:hAnsi="Arial"/>
                <w:sz w:val="20"/>
                <w:szCs w:val="20"/>
                <w:color w:val="auto"/>
              </w:rPr>
              <w:t>540 Madison Avenue, 32</w:t>
            </w:r>
            <w:r>
              <w:rPr>
                <w:rFonts w:ascii="Arial" w:cs="Arial" w:eastAsia="Arial" w:hAnsi="Arial"/>
                <w:sz w:val="32"/>
                <w:szCs w:val="32"/>
                <w:color w:val="auto"/>
                <w:vertAlign w:val="superscript"/>
              </w:rPr>
              <w:t>nd</w:t>
            </w:r>
            <w:r>
              <w:rPr>
                <w:rFonts w:ascii="Arial" w:cs="Arial" w:eastAsia="Arial" w:hAnsi="Arial"/>
                <w:sz w:val="20"/>
                <w:szCs w:val="20"/>
                <w:color w:val="auto"/>
              </w:rPr>
              <w:t xml:space="preserve"> Floor</w:t>
            </w: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1300" w:type="dxa"/>
            <w:vAlign w:val="bottom"/>
          </w:tcPr>
          <w:p>
            <w:pPr>
              <w:spacing w:after="0"/>
              <w:rPr>
                <w:sz w:val="21"/>
                <w:szCs w:val="21"/>
                <w:color w:val="auto"/>
              </w:rPr>
            </w:pPr>
          </w:p>
        </w:tc>
        <w:tc>
          <w:tcPr>
            <w:tcW w:w="4100" w:type="dxa"/>
            <w:vAlign w:val="bottom"/>
            <w:gridSpan w:val="5"/>
          </w:tcPr>
          <w:p>
            <w:pPr>
              <w:ind w:left="440"/>
              <w:spacing w:after="0"/>
              <w:rPr>
                <w:sz w:val="20"/>
                <w:szCs w:val="20"/>
                <w:color w:val="auto"/>
              </w:rPr>
            </w:pPr>
            <w:r>
              <w:rPr>
                <w:rFonts w:ascii="Arial" w:cs="Arial" w:eastAsia="Arial" w:hAnsi="Arial"/>
                <w:sz w:val="20"/>
                <w:szCs w:val="20"/>
                <w:color w:val="auto"/>
              </w:rPr>
              <w:t>New York, New York 10022</w:t>
            </w: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438"/>
        </w:trPr>
        <w:tc>
          <w:tcPr>
            <w:tcW w:w="130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4100" w:type="dxa"/>
            <w:vAlign w:val="bottom"/>
            <w:gridSpan w:val="5"/>
          </w:tcPr>
          <w:p>
            <w:pPr>
              <w:ind w:left="440"/>
              <w:spacing w:after="0"/>
              <w:rPr>
                <w:sz w:val="20"/>
                <w:szCs w:val="20"/>
                <w:color w:val="auto"/>
              </w:rPr>
            </w:pPr>
            <w:r>
              <w:rPr>
                <w:rFonts w:ascii="Arial" w:cs="Arial" w:eastAsia="Arial" w:hAnsi="Arial"/>
                <w:sz w:val="20"/>
                <w:szCs w:val="20"/>
                <w:b w:val="1"/>
                <w:bCs w:val="1"/>
                <w:color w:val="auto"/>
              </w:rPr>
              <w:t>Place of Organization.</w:t>
            </w: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4100" w:type="dxa"/>
            <w:vAlign w:val="bottom"/>
            <w:gridSpan w:val="5"/>
          </w:tcPr>
          <w:p>
            <w:pPr>
              <w:ind w:left="440"/>
              <w:spacing w:after="0"/>
              <w:rPr>
                <w:sz w:val="20"/>
                <w:szCs w:val="20"/>
                <w:color w:val="auto"/>
              </w:rPr>
            </w:pPr>
            <w:r>
              <w:rPr>
                <w:rFonts w:ascii="Arial" w:cs="Arial" w:eastAsia="Arial" w:hAnsi="Arial"/>
                <w:sz w:val="20"/>
                <w:szCs w:val="20"/>
                <w:color w:val="auto"/>
              </w:rPr>
              <w:t>Senvest Management, LLC – Delaware</w:t>
            </w: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50"/>
        </w:trPr>
        <w:tc>
          <w:tcPr>
            <w:tcW w:w="1300" w:type="dxa"/>
            <w:vAlign w:val="bottom"/>
          </w:tcPr>
          <w:p>
            <w:pPr>
              <w:spacing w:after="0"/>
              <w:rPr>
                <w:sz w:val="21"/>
                <w:szCs w:val="21"/>
                <w:color w:val="auto"/>
              </w:rPr>
            </w:pPr>
          </w:p>
        </w:tc>
        <w:tc>
          <w:tcPr>
            <w:tcW w:w="4100" w:type="dxa"/>
            <w:vAlign w:val="bottom"/>
            <w:gridSpan w:val="5"/>
          </w:tcPr>
          <w:p>
            <w:pPr>
              <w:ind w:left="440"/>
              <w:spacing w:after="0"/>
              <w:rPr>
                <w:sz w:val="20"/>
                <w:szCs w:val="20"/>
                <w:color w:val="auto"/>
              </w:rPr>
            </w:pPr>
            <w:r>
              <w:rPr>
                <w:rFonts w:ascii="Arial" w:cs="Arial" w:eastAsia="Arial" w:hAnsi="Arial"/>
                <w:sz w:val="20"/>
                <w:szCs w:val="20"/>
                <w:color w:val="auto"/>
              </w:rPr>
              <w:t>Richard Mashaal – Canada</w:t>
            </w: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438"/>
        </w:trPr>
        <w:tc>
          <w:tcPr>
            <w:tcW w:w="130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4100" w:type="dxa"/>
            <w:vAlign w:val="bottom"/>
            <w:gridSpan w:val="5"/>
          </w:tcPr>
          <w:p>
            <w:pPr>
              <w:ind w:left="440"/>
              <w:spacing w:after="0"/>
              <w:rPr>
                <w:sz w:val="20"/>
                <w:szCs w:val="20"/>
                <w:color w:val="auto"/>
              </w:rPr>
            </w:pPr>
            <w:r>
              <w:rPr>
                <w:rFonts w:ascii="Arial" w:cs="Arial" w:eastAsia="Arial" w:hAnsi="Arial"/>
                <w:sz w:val="20"/>
                <w:szCs w:val="20"/>
                <w:b w:val="1"/>
                <w:bCs w:val="1"/>
                <w:color w:val="auto"/>
              </w:rPr>
              <w:t>Title of Class of Securities.</w:t>
            </w: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6"/>
        </w:trPr>
        <w:tc>
          <w:tcPr>
            <w:tcW w:w="1300" w:type="dxa"/>
            <w:vAlign w:val="bottom"/>
          </w:tcPr>
          <w:p>
            <w:pPr>
              <w:spacing w:after="0"/>
              <w:rPr>
                <w:sz w:val="17"/>
                <w:szCs w:val="17"/>
                <w:color w:val="auto"/>
              </w:rPr>
            </w:pPr>
          </w:p>
        </w:tc>
        <w:tc>
          <w:tcPr>
            <w:tcW w:w="8460" w:type="dxa"/>
            <w:vAlign w:val="bottom"/>
            <w:gridSpan w:val="8"/>
          </w:tcPr>
          <w:p>
            <w:pPr>
              <w:ind w:left="440"/>
              <w:spacing w:after="0" w:line="206" w:lineRule="exact"/>
              <w:rPr>
                <w:sz w:val="20"/>
                <w:szCs w:val="20"/>
                <w:color w:val="auto"/>
              </w:rPr>
            </w:pPr>
            <w:r>
              <w:rPr>
                <w:rFonts w:ascii="Arial" w:cs="Arial" w:eastAsia="Arial" w:hAnsi="Arial"/>
                <w:sz w:val="20"/>
                <w:szCs w:val="20"/>
                <w:color w:val="auto"/>
              </w:rPr>
              <w:t>Ordinary Shares, par value NIS 0.01 per share (the “Ordinary Shares”)</w:t>
            </w:r>
          </w:p>
        </w:tc>
        <w:tc>
          <w:tcPr>
            <w:tcW w:w="1800" w:type="dxa"/>
            <w:vAlign w:val="bottom"/>
          </w:tcPr>
          <w:p>
            <w:pPr>
              <w:spacing w:after="0"/>
              <w:rPr>
                <w:sz w:val="17"/>
                <w:szCs w:val="17"/>
                <w:color w:val="auto"/>
              </w:rPr>
            </w:pPr>
          </w:p>
        </w:tc>
      </w:tr>
      <w:tr>
        <w:trPr>
          <w:trHeight w:val="463"/>
        </w:trPr>
        <w:tc>
          <w:tcPr>
            <w:tcW w:w="130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4100" w:type="dxa"/>
            <w:vAlign w:val="bottom"/>
            <w:gridSpan w:val="5"/>
          </w:tcPr>
          <w:p>
            <w:pPr>
              <w:ind w:left="440"/>
              <w:spacing w:after="0"/>
              <w:rPr>
                <w:sz w:val="20"/>
                <w:szCs w:val="20"/>
                <w:color w:val="auto"/>
              </w:rPr>
            </w:pPr>
            <w:r>
              <w:rPr>
                <w:rFonts w:ascii="Arial" w:cs="Arial" w:eastAsia="Arial" w:hAnsi="Arial"/>
                <w:sz w:val="20"/>
                <w:szCs w:val="20"/>
                <w:b w:val="1"/>
                <w:bCs w:val="1"/>
                <w:color w:val="auto"/>
              </w:rPr>
              <w:t>CUSIP Number.</w:t>
            </w:r>
          </w:p>
        </w:tc>
        <w:tc>
          <w:tcPr>
            <w:tcW w:w="5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1300" w:type="dxa"/>
            <w:vAlign w:val="bottom"/>
          </w:tcPr>
          <w:p>
            <w:pPr>
              <w:spacing w:after="0"/>
              <w:rPr>
                <w:sz w:val="21"/>
                <w:szCs w:val="21"/>
                <w:color w:val="auto"/>
              </w:rPr>
            </w:pPr>
          </w:p>
        </w:tc>
        <w:tc>
          <w:tcPr>
            <w:tcW w:w="4100" w:type="dxa"/>
            <w:vAlign w:val="bottom"/>
            <w:gridSpan w:val="5"/>
          </w:tcPr>
          <w:p>
            <w:pPr>
              <w:ind w:left="440"/>
              <w:spacing w:after="0"/>
              <w:rPr>
                <w:sz w:val="20"/>
                <w:szCs w:val="20"/>
                <w:color w:val="auto"/>
              </w:rPr>
            </w:pPr>
            <w:r>
              <w:rPr>
                <w:rFonts w:ascii="Arial" w:cs="Arial" w:eastAsia="Arial" w:hAnsi="Arial"/>
                <w:sz w:val="20"/>
                <w:szCs w:val="20"/>
                <w:color w:val="auto"/>
              </w:rPr>
              <w:t>M6372Q113</w:t>
            </w: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800" w:type="dxa"/>
            <w:vAlign w:val="bottom"/>
          </w:tcPr>
          <w:p>
            <w:pPr>
              <w:spacing w:after="0"/>
              <w:rPr>
                <w:sz w:val="21"/>
                <w:szCs w:val="21"/>
                <w:color w:val="auto"/>
              </w:rPr>
            </w:pPr>
          </w:p>
        </w:tc>
      </w:tr>
    </w:tbl>
    <w:p>
      <w:pPr>
        <w:sectPr>
          <w:pgSz w:w="11900" w:h="16838" w:orient="portrait"/>
          <w:cols w:equalWidth="0" w:num="1">
            <w:col w:w="11560"/>
          </w:cols>
          <w:pgMar w:left="160" w:top="145" w:right="179" w:bottom="1440" w:gutter="0" w:footer="0" w:header="0"/>
        </w:sectPr>
      </w:pPr>
    </w:p>
    <w:bookmarkStart w:id="4" w:name="page5"/>
    <w:bookmarkEnd w:id="4"/>
    <w:p>
      <w:pPr>
        <w:spacing w:after="0"/>
        <w:tabs>
          <w:tab w:leader="none" w:pos="5520" w:val="left"/>
          <w:tab w:leader="none" w:pos="1022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M6372Q113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7 Pages</w:t>
      </w:r>
    </w:p>
    <w:p>
      <w:pPr>
        <w:spacing w:after="0" w:line="349"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1180" w:type="dxa"/>
            <w:vAlign w:val="bottom"/>
          </w:tcPr>
          <w:p>
            <w:pPr>
              <w:spacing w:after="0"/>
              <w:rPr>
                <w:sz w:val="24"/>
                <w:szCs w:val="24"/>
                <w:color w:val="auto"/>
              </w:rPr>
            </w:pPr>
          </w:p>
        </w:tc>
        <w:tc>
          <w:tcPr>
            <w:tcW w:w="1140" w:type="dxa"/>
            <w:vAlign w:val="bottom"/>
          </w:tcPr>
          <w:p>
            <w:pPr>
              <w:ind w:left="560"/>
              <w:spacing w:after="0"/>
              <w:rPr>
                <w:sz w:val="20"/>
                <w:szCs w:val="20"/>
                <w:color w:val="auto"/>
              </w:rPr>
            </w:pPr>
            <w:r>
              <w:rPr>
                <w:rFonts w:ascii="Arial" w:cs="Arial" w:eastAsia="Arial" w:hAnsi="Arial"/>
                <w:sz w:val="20"/>
                <w:szCs w:val="20"/>
                <w:color w:val="auto"/>
              </w:rPr>
              <w:t>(a)</w:t>
            </w:r>
          </w:p>
        </w:tc>
        <w:tc>
          <w:tcPr>
            <w:tcW w:w="66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8580" w:type="dxa"/>
            <w:vAlign w:val="bottom"/>
            <w:gridSpan w:val="3"/>
          </w:tcPr>
          <w:p>
            <w:pPr>
              <w:ind w:left="140"/>
              <w:spacing w:after="0"/>
              <w:rPr>
                <w:sz w:val="20"/>
                <w:szCs w:val="20"/>
                <w:color w:val="auto"/>
              </w:rPr>
            </w:pPr>
            <w:r>
              <w:rPr>
                <w:rFonts w:ascii="Arial" w:cs="Arial" w:eastAsia="Arial" w:hAnsi="Arial"/>
                <w:sz w:val="20"/>
                <w:szCs w:val="20"/>
                <w:color w:val="auto"/>
              </w:rPr>
              <w:t>Broker or dealer registered under section 15 of the Act (15 U.S.C. 78o);</w:t>
            </w:r>
          </w:p>
        </w:tc>
      </w:tr>
      <w:tr>
        <w:trPr>
          <w:trHeight w:val="459"/>
        </w:trPr>
        <w:tc>
          <w:tcPr>
            <w:tcW w:w="1180" w:type="dxa"/>
            <w:vAlign w:val="bottom"/>
          </w:tcPr>
          <w:p>
            <w:pPr>
              <w:spacing w:after="0"/>
              <w:rPr>
                <w:sz w:val="24"/>
                <w:szCs w:val="24"/>
                <w:color w:val="auto"/>
              </w:rPr>
            </w:pPr>
          </w:p>
        </w:tc>
        <w:tc>
          <w:tcPr>
            <w:tcW w:w="1140" w:type="dxa"/>
            <w:vAlign w:val="bottom"/>
          </w:tcPr>
          <w:p>
            <w:pPr>
              <w:ind w:left="560"/>
              <w:spacing w:after="0"/>
              <w:rPr>
                <w:sz w:val="20"/>
                <w:szCs w:val="20"/>
                <w:color w:val="auto"/>
              </w:rPr>
            </w:pPr>
            <w:r>
              <w:rPr>
                <w:rFonts w:ascii="Arial" w:cs="Arial" w:eastAsia="Arial" w:hAnsi="Arial"/>
                <w:sz w:val="20"/>
                <w:szCs w:val="20"/>
                <w:color w:val="auto"/>
              </w:rPr>
              <w:t>(b)</w:t>
            </w:r>
          </w:p>
        </w:tc>
        <w:tc>
          <w:tcPr>
            <w:tcW w:w="66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8580" w:type="dxa"/>
            <w:vAlign w:val="bottom"/>
            <w:gridSpan w:val="3"/>
          </w:tcPr>
          <w:p>
            <w:pPr>
              <w:ind w:left="140"/>
              <w:spacing w:after="0"/>
              <w:rPr>
                <w:sz w:val="20"/>
                <w:szCs w:val="20"/>
                <w:color w:val="auto"/>
              </w:rPr>
            </w:pPr>
            <w:r>
              <w:rPr>
                <w:rFonts w:ascii="Arial" w:cs="Arial" w:eastAsia="Arial" w:hAnsi="Arial"/>
                <w:sz w:val="20"/>
                <w:szCs w:val="20"/>
                <w:color w:val="auto"/>
              </w:rPr>
              <w:t>Bank as defined in section 3(a)(6) of the Act (15 U.S.C. 78c);</w:t>
            </w:r>
          </w:p>
        </w:tc>
      </w:tr>
      <w:tr>
        <w:trPr>
          <w:trHeight w:val="459"/>
        </w:trPr>
        <w:tc>
          <w:tcPr>
            <w:tcW w:w="1180" w:type="dxa"/>
            <w:vAlign w:val="bottom"/>
          </w:tcPr>
          <w:p>
            <w:pPr>
              <w:spacing w:after="0"/>
              <w:rPr>
                <w:sz w:val="24"/>
                <w:szCs w:val="24"/>
                <w:color w:val="auto"/>
              </w:rPr>
            </w:pPr>
          </w:p>
        </w:tc>
        <w:tc>
          <w:tcPr>
            <w:tcW w:w="1140" w:type="dxa"/>
            <w:vAlign w:val="bottom"/>
          </w:tcPr>
          <w:p>
            <w:pPr>
              <w:ind w:left="560"/>
              <w:spacing w:after="0"/>
              <w:rPr>
                <w:sz w:val="20"/>
                <w:szCs w:val="20"/>
                <w:color w:val="auto"/>
              </w:rPr>
            </w:pPr>
            <w:r>
              <w:rPr>
                <w:rFonts w:ascii="Arial" w:cs="Arial" w:eastAsia="Arial" w:hAnsi="Arial"/>
                <w:sz w:val="20"/>
                <w:szCs w:val="20"/>
                <w:color w:val="auto"/>
              </w:rPr>
              <w:t>(c)</w:t>
            </w:r>
          </w:p>
        </w:tc>
        <w:tc>
          <w:tcPr>
            <w:tcW w:w="66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8580" w:type="dxa"/>
            <w:vAlign w:val="bottom"/>
            <w:gridSpan w:val="3"/>
          </w:tcPr>
          <w:p>
            <w:pPr>
              <w:ind w:left="140"/>
              <w:spacing w:after="0"/>
              <w:rPr>
                <w:sz w:val="20"/>
                <w:szCs w:val="20"/>
                <w:color w:val="auto"/>
              </w:rPr>
            </w:pPr>
            <w:r>
              <w:rPr>
                <w:rFonts w:ascii="Arial" w:cs="Arial" w:eastAsia="Arial" w:hAnsi="Arial"/>
                <w:sz w:val="20"/>
                <w:szCs w:val="20"/>
                <w:color w:val="auto"/>
              </w:rPr>
              <w:t>Insurance company as defined in section 3(a)(19) of the Act (15 U.S.C. 78c);</w:t>
            </w:r>
          </w:p>
        </w:tc>
      </w:tr>
      <w:tr>
        <w:trPr>
          <w:trHeight w:val="403"/>
        </w:trPr>
        <w:tc>
          <w:tcPr>
            <w:tcW w:w="1180" w:type="dxa"/>
            <w:vAlign w:val="bottom"/>
          </w:tcPr>
          <w:p>
            <w:pPr>
              <w:spacing w:after="0"/>
              <w:rPr>
                <w:sz w:val="24"/>
                <w:szCs w:val="24"/>
                <w:color w:val="auto"/>
              </w:rPr>
            </w:pPr>
          </w:p>
        </w:tc>
        <w:tc>
          <w:tcPr>
            <w:tcW w:w="1140" w:type="dxa"/>
            <w:vAlign w:val="bottom"/>
          </w:tcPr>
          <w:p>
            <w:pPr>
              <w:ind w:left="560"/>
              <w:spacing w:after="0"/>
              <w:rPr>
                <w:sz w:val="20"/>
                <w:szCs w:val="20"/>
                <w:color w:val="auto"/>
              </w:rPr>
            </w:pPr>
            <w:r>
              <w:rPr>
                <w:rFonts w:ascii="Arial" w:cs="Arial" w:eastAsia="Arial" w:hAnsi="Arial"/>
                <w:sz w:val="20"/>
                <w:szCs w:val="20"/>
                <w:color w:val="auto"/>
              </w:rPr>
              <w:t>(d)</w:t>
            </w:r>
          </w:p>
        </w:tc>
        <w:tc>
          <w:tcPr>
            <w:tcW w:w="66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8580" w:type="dxa"/>
            <w:vAlign w:val="bottom"/>
            <w:gridSpan w:val="3"/>
          </w:tcPr>
          <w:p>
            <w:pPr>
              <w:ind w:left="140"/>
              <w:spacing w:after="0"/>
              <w:rPr>
                <w:sz w:val="20"/>
                <w:szCs w:val="20"/>
                <w:color w:val="auto"/>
              </w:rPr>
            </w:pPr>
            <w:r>
              <w:rPr>
                <w:rFonts w:ascii="Arial" w:cs="Arial" w:eastAsia="Arial" w:hAnsi="Arial"/>
                <w:sz w:val="20"/>
                <w:szCs w:val="20"/>
                <w:color w:val="auto"/>
                <w:w w:val="91"/>
              </w:rPr>
              <w:t>Investment company registered under section 8 of the Investment Company Act of 1940 (15 U.S.C. 80a-</w:t>
            </w:r>
          </w:p>
        </w:tc>
      </w:tr>
      <w:tr>
        <w:trPr>
          <w:trHeight w:val="250"/>
        </w:trPr>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40" w:type="dxa"/>
            <w:vAlign w:val="bottom"/>
          </w:tcPr>
          <w:p>
            <w:pPr>
              <w:ind w:left="140"/>
              <w:spacing w:after="0"/>
              <w:rPr>
                <w:sz w:val="20"/>
                <w:szCs w:val="20"/>
                <w:color w:val="auto"/>
              </w:rPr>
            </w:pPr>
            <w:r>
              <w:rPr>
                <w:rFonts w:ascii="Arial" w:cs="Arial" w:eastAsia="Arial" w:hAnsi="Arial"/>
                <w:sz w:val="20"/>
                <w:szCs w:val="20"/>
                <w:color w:val="auto"/>
              </w:rPr>
              <w:t>8);</w:t>
            </w:r>
          </w:p>
        </w:tc>
        <w:tc>
          <w:tcPr>
            <w:tcW w:w="392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481"/>
        </w:trPr>
        <w:tc>
          <w:tcPr>
            <w:tcW w:w="1180" w:type="dxa"/>
            <w:vAlign w:val="bottom"/>
          </w:tcPr>
          <w:p>
            <w:pPr>
              <w:spacing w:after="0"/>
              <w:rPr>
                <w:sz w:val="24"/>
                <w:szCs w:val="24"/>
                <w:color w:val="auto"/>
              </w:rPr>
            </w:pPr>
          </w:p>
        </w:tc>
        <w:tc>
          <w:tcPr>
            <w:tcW w:w="1140" w:type="dxa"/>
            <w:vAlign w:val="bottom"/>
          </w:tcPr>
          <w:p>
            <w:pPr>
              <w:ind w:left="560"/>
              <w:spacing w:after="0"/>
              <w:rPr>
                <w:sz w:val="20"/>
                <w:szCs w:val="20"/>
                <w:color w:val="auto"/>
              </w:rPr>
            </w:pPr>
            <w:r>
              <w:rPr>
                <w:rFonts w:ascii="Arial" w:cs="Arial" w:eastAsia="Arial" w:hAnsi="Arial"/>
                <w:sz w:val="20"/>
                <w:szCs w:val="20"/>
                <w:color w:val="auto"/>
              </w:rPr>
              <w:t>(e)</w:t>
            </w:r>
          </w:p>
        </w:tc>
        <w:tc>
          <w:tcPr>
            <w:tcW w:w="66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8580" w:type="dxa"/>
            <w:vAlign w:val="bottom"/>
            <w:gridSpan w:val="3"/>
          </w:tcPr>
          <w:p>
            <w:pPr>
              <w:ind w:left="140"/>
              <w:spacing w:after="0"/>
              <w:rPr>
                <w:sz w:val="20"/>
                <w:szCs w:val="20"/>
                <w:color w:val="auto"/>
              </w:rPr>
            </w:pPr>
            <w:r>
              <w:rPr>
                <w:rFonts w:ascii="Arial" w:cs="Arial" w:eastAsia="Arial" w:hAnsi="Arial"/>
                <w:sz w:val="20"/>
                <w:szCs w:val="20"/>
                <w:color w:val="auto"/>
              </w:rPr>
              <w:t>An investment adviser in accordance with § 240.13d-1(b)(1)(ii)(E);</w:t>
            </w:r>
          </w:p>
        </w:tc>
      </w:tr>
      <w:tr>
        <w:trPr>
          <w:trHeight w:val="459"/>
        </w:trPr>
        <w:tc>
          <w:tcPr>
            <w:tcW w:w="1180" w:type="dxa"/>
            <w:vAlign w:val="bottom"/>
          </w:tcPr>
          <w:p>
            <w:pPr>
              <w:spacing w:after="0"/>
              <w:rPr>
                <w:sz w:val="24"/>
                <w:szCs w:val="24"/>
                <w:color w:val="auto"/>
              </w:rPr>
            </w:pPr>
          </w:p>
        </w:tc>
        <w:tc>
          <w:tcPr>
            <w:tcW w:w="1140" w:type="dxa"/>
            <w:vAlign w:val="bottom"/>
          </w:tcPr>
          <w:p>
            <w:pPr>
              <w:ind w:left="560"/>
              <w:spacing w:after="0"/>
              <w:rPr>
                <w:sz w:val="20"/>
                <w:szCs w:val="20"/>
                <w:color w:val="auto"/>
              </w:rPr>
            </w:pPr>
            <w:r>
              <w:rPr>
                <w:rFonts w:ascii="Arial" w:cs="Arial" w:eastAsia="Arial" w:hAnsi="Arial"/>
                <w:sz w:val="20"/>
                <w:szCs w:val="20"/>
                <w:color w:val="auto"/>
              </w:rPr>
              <w:t>(f)</w:t>
            </w:r>
          </w:p>
        </w:tc>
        <w:tc>
          <w:tcPr>
            <w:tcW w:w="66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8580" w:type="dxa"/>
            <w:vAlign w:val="bottom"/>
            <w:gridSpan w:val="3"/>
          </w:tcPr>
          <w:p>
            <w:pPr>
              <w:ind w:left="180"/>
              <w:spacing w:after="0"/>
              <w:rPr>
                <w:sz w:val="20"/>
                <w:szCs w:val="20"/>
                <w:color w:val="auto"/>
              </w:rPr>
            </w:pPr>
            <w:r>
              <w:rPr>
                <w:rFonts w:ascii="Arial" w:cs="Arial" w:eastAsia="Arial" w:hAnsi="Arial"/>
                <w:sz w:val="20"/>
                <w:szCs w:val="20"/>
                <w:color w:val="auto"/>
              </w:rPr>
              <w:t>An employee benefit plan or endowment fund in accordance with § 240.13d-1(b)(1)(ii)(F);</w:t>
            </w:r>
          </w:p>
        </w:tc>
      </w:tr>
      <w:tr>
        <w:trPr>
          <w:trHeight w:val="459"/>
        </w:trPr>
        <w:tc>
          <w:tcPr>
            <w:tcW w:w="1180" w:type="dxa"/>
            <w:vAlign w:val="bottom"/>
          </w:tcPr>
          <w:p>
            <w:pPr>
              <w:spacing w:after="0"/>
              <w:rPr>
                <w:sz w:val="24"/>
                <w:szCs w:val="24"/>
                <w:color w:val="auto"/>
              </w:rPr>
            </w:pPr>
          </w:p>
        </w:tc>
        <w:tc>
          <w:tcPr>
            <w:tcW w:w="1140" w:type="dxa"/>
            <w:vAlign w:val="bottom"/>
          </w:tcPr>
          <w:p>
            <w:pPr>
              <w:ind w:left="560"/>
              <w:spacing w:after="0"/>
              <w:rPr>
                <w:sz w:val="20"/>
                <w:szCs w:val="20"/>
                <w:color w:val="auto"/>
              </w:rPr>
            </w:pPr>
            <w:r>
              <w:rPr>
                <w:rFonts w:ascii="Arial" w:cs="Arial" w:eastAsia="Arial" w:hAnsi="Arial"/>
                <w:sz w:val="20"/>
                <w:szCs w:val="20"/>
                <w:color w:val="auto"/>
              </w:rPr>
              <w:t>(g)</w:t>
            </w:r>
          </w:p>
        </w:tc>
        <w:tc>
          <w:tcPr>
            <w:tcW w:w="66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8580" w:type="dxa"/>
            <w:vAlign w:val="bottom"/>
            <w:gridSpan w:val="3"/>
          </w:tcPr>
          <w:p>
            <w:pPr>
              <w:ind w:left="180"/>
              <w:spacing w:after="0"/>
              <w:rPr>
                <w:sz w:val="20"/>
                <w:szCs w:val="20"/>
                <w:color w:val="auto"/>
              </w:rPr>
            </w:pPr>
            <w:r>
              <w:rPr>
                <w:rFonts w:ascii="Arial" w:cs="Arial" w:eastAsia="Arial" w:hAnsi="Arial"/>
                <w:sz w:val="20"/>
                <w:szCs w:val="20"/>
                <w:color w:val="auto"/>
              </w:rPr>
              <w:t>A parent holding company or control person in accordance with §240.13d-1(b)(1)(ii)(G);</w:t>
            </w:r>
          </w:p>
        </w:tc>
      </w:tr>
      <w:tr>
        <w:trPr>
          <w:trHeight w:val="459"/>
        </w:trPr>
        <w:tc>
          <w:tcPr>
            <w:tcW w:w="1180" w:type="dxa"/>
            <w:vAlign w:val="bottom"/>
          </w:tcPr>
          <w:p>
            <w:pPr>
              <w:spacing w:after="0"/>
              <w:rPr>
                <w:sz w:val="24"/>
                <w:szCs w:val="24"/>
                <w:color w:val="auto"/>
              </w:rPr>
            </w:pPr>
          </w:p>
        </w:tc>
        <w:tc>
          <w:tcPr>
            <w:tcW w:w="1140" w:type="dxa"/>
            <w:vAlign w:val="bottom"/>
          </w:tcPr>
          <w:p>
            <w:pPr>
              <w:ind w:left="560"/>
              <w:spacing w:after="0"/>
              <w:rPr>
                <w:sz w:val="20"/>
                <w:szCs w:val="20"/>
                <w:color w:val="auto"/>
              </w:rPr>
            </w:pPr>
            <w:r>
              <w:rPr>
                <w:rFonts w:ascii="Arial" w:cs="Arial" w:eastAsia="Arial" w:hAnsi="Arial"/>
                <w:sz w:val="20"/>
                <w:szCs w:val="20"/>
                <w:color w:val="auto"/>
              </w:rPr>
              <w:t>(h)</w:t>
            </w:r>
          </w:p>
        </w:tc>
        <w:tc>
          <w:tcPr>
            <w:tcW w:w="66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8580" w:type="dxa"/>
            <w:vAlign w:val="bottom"/>
            <w:gridSpan w:val="3"/>
          </w:tcPr>
          <w:p>
            <w:pPr>
              <w:ind w:left="140"/>
              <w:spacing w:after="0"/>
              <w:rPr>
                <w:sz w:val="20"/>
                <w:szCs w:val="20"/>
                <w:color w:val="auto"/>
              </w:rPr>
            </w:pPr>
            <w:r>
              <w:rPr>
                <w:rFonts w:ascii="Arial" w:cs="Arial" w:eastAsia="Arial" w:hAnsi="Arial"/>
                <w:sz w:val="20"/>
                <w:szCs w:val="20"/>
                <w:color w:val="auto"/>
                <w:w w:val="92"/>
              </w:rPr>
              <w:t>A savings association as defined in Section 3(b) of the Federal Deposit Insurance Act (12 U.S.C.1813);</w:t>
            </w:r>
          </w:p>
        </w:tc>
      </w:tr>
      <w:tr>
        <w:trPr>
          <w:trHeight w:val="403"/>
        </w:trPr>
        <w:tc>
          <w:tcPr>
            <w:tcW w:w="1180" w:type="dxa"/>
            <w:vAlign w:val="bottom"/>
          </w:tcPr>
          <w:p>
            <w:pPr>
              <w:spacing w:after="0"/>
              <w:rPr>
                <w:sz w:val="24"/>
                <w:szCs w:val="24"/>
                <w:color w:val="auto"/>
              </w:rPr>
            </w:pPr>
          </w:p>
        </w:tc>
        <w:tc>
          <w:tcPr>
            <w:tcW w:w="1140" w:type="dxa"/>
            <w:vAlign w:val="bottom"/>
          </w:tcPr>
          <w:p>
            <w:pPr>
              <w:ind w:left="560"/>
              <w:spacing w:after="0"/>
              <w:rPr>
                <w:sz w:val="20"/>
                <w:szCs w:val="20"/>
                <w:color w:val="auto"/>
              </w:rPr>
            </w:pPr>
            <w:r>
              <w:rPr>
                <w:rFonts w:ascii="Arial" w:cs="Arial" w:eastAsia="Arial" w:hAnsi="Arial"/>
                <w:sz w:val="20"/>
                <w:szCs w:val="20"/>
                <w:color w:val="auto"/>
              </w:rPr>
              <w:t>(i)</w:t>
            </w:r>
          </w:p>
        </w:tc>
        <w:tc>
          <w:tcPr>
            <w:tcW w:w="66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8580" w:type="dxa"/>
            <w:vAlign w:val="bottom"/>
            <w:gridSpan w:val="3"/>
          </w:tcPr>
          <w:p>
            <w:pPr>
              <w:ind w:left="140"/>
              <w:spacing w:after="0"/>
              <w:rPr>
                <w:sz w:val="20"/>
                <w:szCs w:val="20"/>
                <w:color w:val="auto"/>
              </w:rPr>
            </w:pPr>
            <w:r>
              <w:rPr>
                <w:rFonts w:ascii="Arial" w:cs="Arial" w:eastAsia="Arial" w:hAnsi="Arial"/>
                <w:sz w:val="20"/>
                <w:szCs w:val="20"/>
                <w:color w:val="auto"/>
                <w:w w:val="94"/>
              </w:rPr>
              <w:t>A church plan that is excluded from the definition of an investment company under section 3(c)(14) of</w:t>
            </w:r>
          </w:p>
        </w:tc>
      </w:tr>
      <w:tr>
        <w:trPr>
          <w:trHeight w:val="250"/>
        </w:trPr>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580" w:type="dxa"/>
            <w:vAlign w:val="bottom"/>
            <w:gridSpan w:val="3"/>
          </w:tcPr>
          <w:p>
            <w:pPr>
              <w:ind w:left="140"/>
              <w:spacing w:after="0"/>
              <w:rPr>
                <w:sz w:val="20"/>
                <w:szCs w:val="20"/>
                <w:color w:val="auto"/>
              </w:rPr>
            </w:pPr>
            <w:r>
              <w:rPr>
                <w:rFonts w:ascii="Arial" w:cs="Arial" w:eastAsia="Arial" w:hAnsi="Arial"/>
                <w:sz w:val="20"/>
                <w:szCs w:val="20"/>
                <w:color w:val="auto"/>
              </w:rPr>
              <w:t>the Investment Company Act of 1940 (15 U.S.C. 80a-3);</w:t>
            </w:r>
          </w:p>
        </w:tc>
      </w:tr>
      <w:tr>
        <w:trPr>
          <w:trHeight w:val="494"/>
        </w:trPr>
        <w:tc>
          <w:tcPr>
            <w:tcW w:w="1180" w:type="dxa"/>
            <w:vAlign w:val="bottom"/>
          </w:tcPr>
          <w:p>
            <w:pPr>
              <w:spacing w:after="0"/>
              <w:rPr>
                <w:sz w:val="24"/>
                <w:szCs w:val="24"/>
                <w:color w:val="auto"/>
              </w:rPr>
            </w:pPr>
          </w:p>
        </w:tc>
        <w:tc>
          <w:tcPr>
            <w:tcW w:w="1140" w:type="dxa"/>
            <w:vAlign w:val="bottom"/>
          </w:tcPr>
          <w:p>
            <w:pPr>
              <w:ind w:left="560"/>
              <w:spacing w:after="0"/>
              <w:rPr>
                <w:sz w:val="20"/>
                <w:szCs w:val="20"/>
                <w:color w:val="auto"/>
              </w:rPr>
            </w:pPr>
            <w:r>
              <w:rPr>
                <w:rFonts w:ascii="Arial" w:cs="Arial" w:eastAsia="Arial" w:hAnsi="Arial"/>
                <w:sz w:val="20"/>
                <w:szCs w:val="20"/>
                <w:color w:val="auto"/>
              </w:rPr>
              <w:t>(j)</w:t>
            </w:r>
          </w:p>
        </w:tc>
        <w:tc>
          <w:tcPr>
            <w:tcW w:w="66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8580" w:type="dxa"/>
            <w:vAlign w:val="bottom"/>
            <w:gridSpan w:val="3"/>
          </w:tcPr>
          <w:p>
            <w:pPr>
              <w:ind w:left="140"/>
              <w:spacing w:after="0"/>
              <w:rPr>
                <w:sz w:val="20"/>
                <w:szCs w:val="20"/>
                <w:color w:val="auto"/>
              </w:rPr>
            </w:pPr>
            <w:r>
              <w:rPr>
                <w:rFonts w:ascii="Arial" w:cs="Arial" w:eastAsia="Arial" w:hAnsi="Arial"/>
                <w:sz w:val="20"/>
                <w:szCs w:val="20"/>
                <w:color w:val="auto"/>
              </w:rPr>
              <w:t>A non-U.S. institution in accordance with §240.13d-1(b)(1)(ii)(J);</w:t>
            </w:r>
          </w:p>
        </w:tc>
      </w:tr>
      <w:tr>
        <w:trPr>
          <w:trHeight w:val="459"/>
        </w:trPr>
        <w:tc>
          <w:tcPr>
            <w:tcW w:w="1180" w:type="dxa"/>
            <w:vAlign w:val="bottom"/>
          </w:tcPr>
          <w:p>
            <w:pPr>
              <w:spacing w:after="0"/>
              <w:rPr>
                <w:sz w:val="24"/>
                <w:szCs w:val="24"/>
                <w:color w:val="auto"/>
              </w:rPr>
            </w:pPr>
          </w:p>
        </w:tc>
        <w:tc>
          <w:tcPr>
            <w:tcW w:w="1140" w:type="dxa"/>
            <w:vAlign w:val="bottom"/>
          </w:tcPr>
          <w:p>
            <w:pPr>
              <w:ind w:left="560"/>
              <w:spacing w:after="0"/>
              <w:rPr>
                <w:sz w:val="20"/>
                <w:szCs w:val="20"/>
                <w:color w:val="auto"/>
              </w:rPr>
            </w:pPr>
            <w:r>
              <w:rPr>
                <w:rFonts w:ascii="Arial" w:cs="Arial" w:eastAsia="Arial" w:hAnsi="Arial"/>
                <w:sz w:val="20"/>
                <w:szCs w:val="20"/>
                <w:color w:val="auto"/>
              </w:rPr>
              <w:t>(k)</w:t>
            </w:r>
          </w:p>
        </w:tc>
        <w:tc>
          <w:tcPr>
            <w:tcW w:w="66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8580" w:type="dxa"/>
            <w:vAlign w:val="bottom"/>
            <w:gridSpan w:val="3"/>
          </w:tcPr>
          <w:p>
            <w:pPr>
              <w:ind w:left="140"/>
              <w:spacing w:after="0"/>
              <w:rPr>
                <w:sz w:val="20"/>
                <w:szCs w:val="20"/>
                <w:color w:val="auto"/>
              </w:rPr>
            </w:pPr>
            <w:r>
              <w:rPr>
                <w:rFonts w:ascii="Arial" w:cs="Arial" w:eastAsia="Arial" w:hAnsi="Arial"/>
                <w:sz w:val="20"/>
                <w:szCs w:val="20"/>
                <w:color w:val="auto"/>
              </w:rPr>
              <w:t>Group, in accordance with §240.13d-1(b)(1)(ii)(K).</w:t>
            </w:r>
          </w:p>
        </w:tc>
      </w:tr>
      <w:tr>
        <w:trPr>
          <w:trHeight w:val="416"/>
        </w:trPr>
        <w:tc>
          <w:tcPr>
            <w:tcW w:w="1180" w:type="dxa"/>
            <w:vAlign w:val="bottom"/>
          </w:tcPr>
          <w:p>
            <w:pPr>
              <w:spacing w:after="0"/>
              <w:rPr>
                <w:sz w:val="24"/>
                <w:szCs w:val="24"/>
                <w:color w:val="auto"/>
              </w:rPr>
            </w:pPr>
          </w:p>
        </w:tc>
        <w:tc>
          <w:tcPr>
            <w:tcW w:w="10380" w:type="dxa"/>
            <w:vAlign w:val="bottom"/>
            <w:gridSpan w:val="5"/>
          </w:tcPr>
          <w:p>
            <w:pPr>
              <w:ind w:left="560"/>
              <w:spacing w:after="0"/>
              <w:rPr>
                <w:sz w:val="20"/>
                <w:szCs w:val="20"/>
                <w:color w:val="auto"/>
              </w:rPr>
            </w:pPr>
            <w:r>
              <w:rPr>
                <w:rFonts w:ascii="Arial" w:cs="Arial" w:eastAsia="Arial" w:hAnsi="Arial"/>
                <w:sz w:val="20"/>
                <w:szCs w:val="20"/>
                <w:color w:val="auto"/>
              </w:rPr>
              <w:t>If filing as a non-U.S. institution in accordance with Rule 13d-1(b)(1)(ii)(J), please</w:t>
            </w:r>
          </w:p>
        </w:tc>
      </w:tr>
      <w:tr>
        <w:trPr>
          <w:trHeight w:val="246"/>
        </w:trPr>
        <w:tc>
          <w:tcPr>
            <w:tcW w:w="1180" w:type="dxa"/>
            <w:vAlign w:val="bottom"/>
          </w:tcPr>
          <w:p>
            <w:pPr>
              <w:spacing w:after="0"/>
              <w:rPr>
                <w:sz w:val="21"/>
                <w:szCs w:val="21"/>
                <w:color w:val="auto"/>
              </w:rPr>
            </w:pPr>
          </w:p>
        </w:tc>
        <w:tc>
          <w:tcPr>
            <w:tcW w:w="10380" w:type="dxa"/>
            <w:vAlign w:val="bottom"/>
            <w:gridSpan w:val="5"/>
          </w:tcPr>
          <w:p>
            <w:pPr>
              <w:ind w:left="560"/>
              <w:spacing w:after="0"/>
              <w:rPr>
                <w:sz w:val="20"/>
                <w:szCs w:val="20"/>
                <w:color w:val="auto"/>
              </w:rPr>
            </w:pPr>
            <w:r>
              <w:rPr>
                <w:rFonts w:ascii="Arial" w:cs="Arial" w:eastAsia="Arial" w:hAnsi="Arial"/>
                <w:sz w:val="20"/>
                <w:szCs w:val="20"/>
                <w:color w:val="auto"/>
              </w:rPr>
              <w:t>specify the type of institution:</w:t>
            </w:r>
          </w:p>
        </w:tc>
      </w:tr>
      <w:tr>
        <w:trPr>
          <w:trHeight w:val="436"/>
        </w:trPr>
        <w:tc>
          <w:tcPr>
            <w:tcW w:w="1180" w:type="dxa"/>
            <w:vAlign w:val="bottom"/>
          </w:tcPr>
          <w:p>
            <w:pPr>
              <w:spacing w:after="0"/>
              <w:rPr>
                <w:sz w:val="20"/>
                <w:szCs w:val="20"/>
                <w:color w:val="auto"/>
              </w:rPr>
            </w:pPr>
            <w:r>
              <w:rPr>
                <w:rFonts w:ascii="Arial" w:cs="Arial" w:eastAsia="Arial" w:hAnsi="Arial"/>
                <w:sz w:val="20"/>
                <w:szCs w:val="20"/>
                <w:b w:val="1"/>
                <w:bCs w:val="1"/>
                <w:color w:val="auto"/>
              </w:rPr>
              <w:t>Item 4.</w:t>
            </w:r>
          </w:p>
        </w:tc>
        <w:tc>
          <w:tcPr>
            <w:tcW w:w="1800" w:type="dxa"/>
            <w:vAlign w:val="bottom"/>
            <w:gridSpan w:val="2"/>
          </w:tcPr>
          <w:p>
            <w:pPr>
              <w:ind w:left="560"/>
              <w:spacing w:after="0"/>
              <w:rPr>
                <w:sz w:val="20"/>
                <w:szCs w:val="20"/>
                <w:color w:val="auto"/>
              </w:rPr>
            </w:pPr>
            <w:r>
              <w:rPr>
                <w:rFonts w:ascii="Arial" w:cs="Arial" w:eastAsia="Arial" w:hAnsi="Arial"/>
                <w:sz w:val="20"/>
                <w:szCs w:val="20"/>
                <w:b w:val="1"/>
                <w:bCs w:val="1"/>
                <w:color w:val="auto"/>
              </w:rPr>
              <w:t>Ownership.</w:t>
            </w:r>
          </w:p>
        </w:tc>
        <w:tc>
          <w:tcPr>
            <w:tcW w:w="2240" w:type="dxa"/>
            <w:vAlign w:val="bottom"/>
          </w:tcPr>
          <w:p>
            <w:pPr>
              <w:spacing w:after="0"/>
              <w:rPr>
                <w:sz w:val="24"/>
                <w:szCs w:val="24"/>
                <w:color w:val="auto"/>
              </w:rPr>
            </w:pPr>
          </w:p>
        </w:tc>
        <w:tc>
          <w:tcPr>
            <w:tcW w:w="392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r>
      <w:tr>
        <w:trPr>
          <w:trHeight w:val="229"/>
        </w:trPr>
        <w:tc>
          <w:tcPr>
            <w:tcW w:w="1180" w:type="dxa"/>
            <w:vAlign w:val="bottom"/>
          </w:tcPr>
          <w:p>
            <w:pPr>
              <w:spacing w:after="0"/>
              <w:rPr>
                <w:sz w:val="19"/>
                <w:szCs w:val="19"/>
                <w:color w:val="auto"/>
              </w:rPr>
            </w:pPr>
          </w:p>
        </w:tc>
        <w:tc>
          <w:tcPr>
            <w:tcW w:w="10380" w:type="dxa"/>
            <w:vAlign w:val="bottom"/>
            <w:gridSpan w:val="5"/>
          </w:tcPr>
          <w:p>
            <w:pPr>
              <w:ind w:left="560"/>
              <w:spacing w:after="0"/>
              <w:rPr>
                <w:sz w:val="20"/>
                <w:szCs w:val="20"/>
                <w:color w:val="auto"/>
              </w:rPr>
            </w:pPr>
            <w:r>
              <w:rPr>
                <w:rFonts w:ascii="Arial" w:cs="Arial" w:eastAsia="Arial" w:hAnsi="Arial"/>
                <w:sz w:val="20"/>
                <w:szCs w:val="20"/>
                <w:color w:val="auto"/>
                <w:w w:val="93"/>
              </w:rPr>
              <w:t>The information required by Items 4(a) – (c) is set forth in Rows (5) – (11) of the cover page for each Reporting Person</w:t>
            </w:r>
          </w:p>
        </w:tc>
      </w:tr>
      <w:tr>
        <w:trPr>
          <w:trHeight w:val="230"/>
        </w:trPr>
        <w:tc>
          <w:tcPr>
            <w:tcW w:w="1180" w:type="dxa"/>
            <w:vAlign w:val="bottom"/>
          </w:tcPr>
          <w:p>
            <w:pPr>
              <w:spacing w:after="0"/>
              <w:rPr>
                <w:sz w:val="19"/>
                <w:szCs w:val="19"/>
                <w:color w:val="auto"/>
              </w:rPr>
            </w:pPr>
          </w:p>
        </w:tc>
        <w:tc>
          <w:tcPr>
            <w:tcW w:w="10380" w:type="dxa"/>
            <w:vAlign w:val="bottom"/>
            <w:gridSpan w:val="5"/>
          </w:tcPr>
          <w:p>
            <w:pPr>
              <w:ind w:left="560"/>
              <w:spacing w:after="0"/>
              <w:rPr>
                <w:sz w:val="20"/>
                <w:szCs w:val="20"/>
                <w:color w:val="auto"/>
              </w:rPr>
            </w:pPr>
            <w:r>
              <w:rPr>
                <w:rFonts w:ascii="Arial" w:cs="Arial" w:eastAsia="Arial" w:hAnsi="Arial"/>
                <w:sz w:val="20"/>
                <w:szCs w:val="20"/>
                <w:color w:val="auto"/>
                <w:w w:val="90"/>
              </w:rPr>
              <w:t>hereto and is incorporated herein by reference for each such Reporting Person. The percentages set forth in this Schedule</w:t>
            </w:r>
          </w:p>
        </w:tc>
      </w:tr>
      <w:tr>
        <w:trPr>
          <w:trHeight w:val="230"/>
        </w:trPr>
        <w:tc>
          <w:tcPr>
            <w:tcW w:w="1180" w:type="dxa"/>
            <w:vAlign w:val="bottom"/>
          </w:tcPr>
          <w:p>
            <w:pPr>
              <w:spacing w:after="0"/>
              <w:rPr>
                <w:sz w:val="19"/>
                <w:szCs w:val="19"/>
                <w:color w:val="auto"/>
              </w:rPr>
            </w:pPr>
          </w:p>
        </w:tc>
        <w:tc>
          <w:tcPr>
            <w:tcW w:w="10380" w:type="dxa"/>
            <w:vAlign w:val="bottom"/>
            <w:gridSpan w:val="5"/>
          </w:tcPr>
          <w:p>
            <w:pPr>
              <w:ind w:left="560"/>
              <w:spacing w:after="0"/>
              <w:rPr>
                <w:sz w:val="20"/>
                <w:szCs w:val="20"/>
                <w:color w:val="auto"/>
              </w:rPr>
            </w:pPr>
            <w:r>
              <w:rPr>
                <w:rFonts w:ascii="Arial" w:cs="Arial" w:eastAsia="Arial" w:hAnsi="Arial"/>
                <w:sz w:val="20"/>
                <w:szCs w:val="20"/>
                <w:color w:val="auto"/>
                <w:w w:val="91"/>
              </w:rPr>
              <w:t>13G/A are calculated based upon an aggregate of 34,837,914 Ordinary Shares outstanding as of September 30, 2018 as</w:t>
            </w:r>
          </w:p>
        </w:tc>
      </w:tr>
      <w:tr>
        <w:trPr>
          <w:trHeight w:val="230"/>
        </w:trPr>
        <w:tc>
          <w:tcPr>
            <w:tcW w:w="1180" w:type="dxa"/>
            <w:vAlign w:val="bottom"/>
          </w:tcPr>
          <w:p>
            <w:pPr>
              <w:spacing w:after="0"/>
              <w:rPr>
                <w:sz w:val="19"/>
                <w:szCs w:val="19"/>
                <w:color w:val="auto"/>
              </w:rPr>
            </w:pPr>
          </w:p>
        </w:tc>
        <w:tc>
          <w:tcPr>
            <w:tcW w:w="10380" w:type="dxa"/>
            <w:vAlign w:val="bottom"/>
            <w:gridSpan w:val="5"/>
          </w:tcPr>
          <w:p>
            <w:pPr>
              <w:ind w:left="560"/>
              <w:spacing w:after="0"/>
              <w:rPr>
                <w:sz w:val="20"/>
                <w:szCs w:val="20"/>
                <w:color w:val="auto"/>
              </w:rPr>
            </w:pPr>
            <w:r>
              <w:rPr>
                <w:rFonts w:ascii="Arial" w:cs="Arial" w:eastAsia="Arial" w:hAnsi="Arial"/>
                <w:sz w:val="20"/>
                <w:szCs w:val="20"/>
                <w:color w:val="auto"/>
                <w:w w:val="93"/>
              </w:rPr>
              <w:t>reported in the Issuer's Prospectus Supplement filed pursuant to Rule 424(b)(5) filed with the Securities and Exchange</w:t>
            </w:r>
          </w:p>
        </w:tc>
      </w:tr>
      <w:tr>
        <w:trPr>
          <w:trHeight w:val="250"/>
        </w:trPr>
        <w:tc>
          <w:tcPr>
            <w:tcW w:w="1180" w:type="dxa"/>
            <w:vAlign w:val="bottom"/>
          </w:tcPr>
          <w:p>
            <w:pPr>
              <w:spacing w:after="0"/>
              <w:rPr>
                <w:sz w:val="21"/>
                <w:szCs w:val="21"/>
                <w:color w:val="auto"/>
              </w:rPr>
            </w:pPr>
          </w:p>
        </w:tc>
        <w:tc>
          <w:tcPr>
            <w:tcW w:w="10380" w:type="dxa"/>
            <w:vAlign w:val="bottom"/>
            <w:gridSpan w:val="5"/>
          </w:tcPr>
          <w:p>
            <w:pPr>
              <w:ind w:left="560"/>
              <w:spacing w:after="0"/>
              <w:rPr>
                <w:sz w:val="20"/>
                <w:szCs w:val="20"/>
                <w:color w:val="auto"/>
              </w:rPr>
            </w:pPr>
            <w:r>
              <w:rPr>
                <w:rFonts w:ascii="Arial" w:cs="Arial" w:eastAsia="Arial" w:hAnsi="Arial"/>
                <w:sz w:val="20"/>
                <w:szCs w:val="20"/>
                <w:color w:val="auto"/>
              </w:rPr>
              <w:t>Commission on December 6, 2018.</w:t>
            </w:r>
          </w:p>
        </w:tc>
      </w:tr>
      <w:tr>
        <w:trPr>
          <w:trHeight w:val="438"/>
        </w:trPr>
        <w:tc>
          <w:tcPr>
            <w:tcW w:w="118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10380" w:type="dxa"/>
            <w:vAlign w:val="bottom"/>
            <w:gridSpan w:val="5"/>
          </w:tcPr>
          <w:p>
            <w:pPr>
              <w:ind w:left="560"/>
              <w:spacing w:after="0"/>
              <w:rPr>
                <w:sz w:val="20"/>
                <w:szCs w:val="20"/>
                <w:color w:val="auto"/>
              </w:rPr>
            </w:pPr>
            <w:r>
              <w:rPr>
                <w:rFonts w:ascii="Arial" w:cs="Arial" w:eastAsia="Arial" w:hAnsi="Arial"/>
                <w:sz w:val="20"/>
                <w:szCs w:val="20"/>
                <w:b w:val="1"/>
                <w:bCs w:val="1"/>
                <w:color w:val="auto"/>
              </w:rPr>
              <w:t>Ownership of Five Percent or Less of a Class.</w:t>
            </w:r>
          </w:p>
        </w:tc>
      </w:tr>
      <w:tr>
        <w:trPr>
          <w:trHeight w:val="230"/>
        </w:trPr>
        <w:tc>
          <w:tcPr>
            <w:tcW w:w="1180" w:type="dxa"/>
            <w:vAlign w:val="bottom"/>
          </w:tcPr>
          <w:p>
            <w:pPr>
              <w:spacing w:after="0"/>
              <w:rPr>
                <w:sz w:val="19"/>
                <w:szCs w:val="19"/>
                <w:color w:val="auto"/>
              </w:rPr>
            </w:pPr>
          </w:p>
        </w:tc>
        <w:tc>
          <w:tcPr>
            <w:tcW w:w="10380" w:type="dxa"/>
            <w:vAlign w:val="bottom"/>
            <w:gridSpan w:val="5"/>
          </w:tcPr>
          <w:p>
            <w:pPr>
              <w:ind w:left="560"/>
              <w:spacing w:after="0"/>
              <w:rPr>
                <w:sz w:val="20"/>
                <w:szCs w:val="20"/>
                <w:color w:val="auto"/>
              </w:rPr>
            </w:pPr>
            <w:r>
              <w:rPr>
                <w:rFonts w:ascii="Arial" w:cs="Arial" w:eastAsia="Arial" w:hAnsi="Arial"/>
                <w:sz w:val="20"/>
                <w:szCs w:val="20"/>
                <w:color w:val="auto"/>
                <w:w w:val="96"/>
              </w:rPr>
              <w:t>If this statement is being filed to report the fact that as of the date hereof the reporting person has ceased to be the</w:t>
            </w:r>
          </w:p>
        </w:tc>
      </w:tr>
      <w:tr>
        <w:trPr>
          <w:trHeight w:val="250"/>
        </w:trPr>
        <w:tc>
          <w:tcPr>
            <w:tcW w:w="1180" w:type="dxa"/>
            <w:vAlign w:val="bottom"/>
          </w:tcPr>
          <w:p>
            <w:pPr>
              <w:spacing w:after="0"/>
              <w:rPr>
                <w:sz w:val="21"/>
                <w:szCs w:val="21"/>
                <w:color w:val="auto"/>
              </w:rPr>
            </w:pPr>
          </w:p>
        </w:tc>
        <w:tc>
          <w:tcPr>
            <w:tcW w:w="10380" w:type="dxa"/>
            <w:vAlign w:val="bottom"/>
            <w:gridSpan w:val="5"/>
          </w:tcPr>
          <w:p>
            <w:pPr>
              <w:ind w:left="560"/>
              <w:spacing w:after="0"/>
              <w:rPr>
                <w:sz w:val="20"/>
                <w:szCs w:val="20"/>
                <w:color w:val="auto"/>
              </w:rPr>
            </w:pPr>
            <w:r>
              <w:rPr>
                <w:rFonts w:ascii="Arial" w:cs="Arial" w:eastAsia="Arial" w:hAnsi="Arial"/>
                <w:sz w:val="20"/>
                <w:szCs w:val="20"/>
                <w:color w:val="auto"/>
              </w:rPr>
              <w:t>beneficial owner of more than five percent of the class of securities, check the following: ý</w:t>
            </w:r>
          </w:p>
        </w:tc>
      </w:tr>
    </w:tbl>
    <w:p>
      <w:pPr>
        <w:sectPr>
          <w:pgSz w:w="11900" w:h="16838" w:orient="portrait"/>
          <w:cols w:equalWidth="0" w:num="1">
            <w:col w:w="11560"/>
          </w:cols>
          <w:pgMar w:left="160" w:top="145" w:right="179" w:bottom="1440" w:gutter="0" w:footer="0" w:header="0"/>
        </w:sectPr>
      </w:pPr>
    </w:p>
    <w:bookmarkStart w:id="5" w:name="page6"/>
    <w:bookmarkEnd w:id="5"/>
    <w:p>
      <w:pPr>
        <w:spacing w:after="0"/>
        <w:tabs>
          <w:tab w:leader="none" w:pos="5520" w:val="left"/>
          <w:tab w:leader="none" w:pos="1022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M6372Q113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7 Pages</w:t>
      </w:r>
    </w:p>
    <w:p>
      <w:pPr>
        <w:sectPr>
          <w:pgSz w:w="11900" w:h="16838" w:orient="portrait"/>
          <w:cols w:equalWidth="0" w:num="1">
            <w:col w:w="11560"/>
          </w:cols>
          <w:pgMar w:left="160" w:top="145" w:right="179" w:bottom="1440" w:gutter="0" w:footer="0" w:header="0"/>
        </w:sect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Ownership of More Than Five Percent on Behalf of Another Person.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Vehicles have the right to receive and the power to direct the receipt of dividends from, and the proceeds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from the sale of, the Ordinary Shares.</w:t>
      </w:r>
    </w:p>
    <w:p>
      <w:pPr>
        <w:spacing w:after="0" w:line="200" w:lineRule="exact"/>
        <w:rPr>
          <w:sz w:val="20"/>
          <w:szCs w:val="20"/>
          <w:color w:val="auto"/>
        </w:rPr>
      </w:pPr>
    </w:p>
    <w:p>
      <w:pPr>
        <w:sectPr>
          <w:pgSz w:w="11900" w:h="16838" w:orient="portrait"/>
          <w:cols w:equalWidth="0" w:num="2">
            <w:col w:w="1020" w:space="720"/>
            <w:col w:w="9820"/>
          </w:cols>
          <w:pgMar w:left="160" w:top="145" w:right="1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the Subsidiary Which Acquired the Security Being Reported on by the Parent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Holding Company or Control Person.</w:t>
      </w: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ectPr>
          <w:pgSz w:w="11900" w:h="16838" w:orient="portrait"/>
          <w:cols w:equalWidth="0" w:num="2">
            <w:col w:w="1020" w:space="720"/>
            <w:col w:w="9820"/>
          </w:cols>
          <w:pgMar w:left="160" w:top="145" w:right="1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Identification and Classification of Members of the Group.</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ectPr>
          <w:pgSz w:w="11900" w:h="16838" w:orient="portrait"/>
          <w:cols w:equalWidth="0" w:num="2">
            <w:col w:w="1020" w:space="720"/>
            <w:col w:w="9820"/>
          </w:cols>
          <w:pgMar w:left="160" w:top="145" w:right="1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ectPr>
          <w:pgSz w:w="11900" w:h="16838" w:orient="portrait"/>
          <w:cols w:equalWidth="0" w:num="2">
            <w:col w:w="1020" w:space="720"/>
            <w:col w:w="9820"/>
          </w:cols>
          <w:pgMar w:left="160" w:top="145" w:right="1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Certification.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 referred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above were not acquired and are not held for the purpose of or with the effect of changing or influencing the control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issuer of the securities and were not acquired and are not held in connection with or as a participant in any transaction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having that purpose or effect.</w:t>
      </w:r>
    </w:p>
    <w:p>
      <w:pPr>
        <w:sectPr>
          <w:pgSz w:w="11900" w:h="16838" w:orient="portrait"/>
          <w:cols w:equalWidth="0" w:num="2">
            <w:col w:w="1020" w:space="720"/>
            <w:col w:w="9820"/>
          </w:cols>
          <w:pgMar w:left="160" w:top="145" w:right="179" w:bottom="1440" w:gutter="0" w:footer="0" w:header="0"/>
          <w:type w:val="continuous"/>
        </w:sectPr>
      </w:pPr>
    </w:p>
    <w:bookmarkStart w:id="6" w:name="page7"/>
    <w:bookmarkEnd w:id="6"/>
    <w:p>
      <w:pPr>
        <w:spacing w:after="0"/>
        <w:tabs>
          <w:tab w:leader="none" w:pos="5520" w:val="left"/>
          <w:tab w:leader="none" w:pos="1022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M6372Q113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7 Pages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SIGNATURE</w:t>
      </w:r>
    </w:p>
    <w:p>
      <w:pPr>
        <w:spacing w:after="0" w:line="222" w:lineRule="exact"/>
        <w:rPr>
          <w:sz w:val="20"/>
          <w:szCs w:val="20"/>
          <w:color w:val="auto"/>
        </w:rPr>
      </w:pPr>
    </w:p>
    <w:p>
      <w:pPr>
        <w:ind w:right="30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each of the undersigned certifies that the information set forth in this statement is true, complete and correct.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 February 8, 2019</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SENVEST MANAGEMENT, LLC</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Bobby Trahanas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Name: Bobby Trahanas</w:t>
      </w:r>
    </w:p>
    <w:p>
      <w:pPr>
        <w:ind w:left="5660"/>
        <w:spacing w:after="0"/>
        <w:tabs>
          <w:tab w:leader="none" w:pos="62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660"/>
        <w:spacing w:after="0"/>
        <w:rPr>
          <w:sz w:val="20"/>
          <w:szCs w:val="20"/>
          <w:color w:val="auto"/>
        </w:rPr>
      </w:pPr>
      <w:r>
        <w:rPr>
          <w:rFonts w:ascii="Arial" w:cs="Arial" w:eastAsia="Arial" w:hAnsi="Arial"/>
          <w:sz w:val="20"/>
          <w:szCs w:val="20"/>
          <w:u w:val="single" w:color="auto"/>
          <w:color w:val="auto"/>
        </w:rPr>
        <w:t>/s/ Richard Mashaal</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RICHARD MASHAAL</w:t>
      </w:r>
    </w:p>
    <w:sectPr>
      <w:pgSz w:w="11900" w:h="16838" w:orient="portrait"/>
      <w:cols w:equalWidth="0" w:num="1">
        <w:col w:w="11560"/>
      </w:cols>
      <w:pgMar w:left="160" w:top="145"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2019-12-15T18:12:56Z</dcterms:created>
  <dcterms:modified xsi:type="dcterms:W3CDTF">2019-12-15T18:12:56Z</dcterms:modified>
</cp:coreProperties>
</file>