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142875</wp:posOffset>
            </wp:positionV>
            <wp:extent cx="1260475"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047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24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Israel</w:t>
            </w:r>
          </w:p>
        </w:tc>
        <w:tc>
          <w:tcPr>
            <w:tcW w:w="2960" w:type="dxa"/>
            <w:vAlign w:val="bottom"/>
            <w:gridSpan w:val="3"/>
          </w:tcPr>
          <w:p>
            <w:pPr>
              <w:jc w:val="center"/>
              <w:ind w:left="1930"/>
              <w:spacing w:after="0"/>
              <w:rPr>
                <w:sz w:val="20"/>
                <w:szCs w:val="20"/>
                <w:color w:val="auto"/>
              </w:rPr>
            </w:pPr>
            <w:r>
              <w:rPr>
                <w:rFonts w:ascii="Arial" w:cs="Arial" w:eastAsia="Arial" w:hAnsi="Arial"/>
                <w:sz w:val="18"/>
                <w:szCs w:val="18"/>
                <w:b w:val="1"/>
                <w:bCs w:val="1"/>
                <w:color w:val="auto"/>
                <w:w w:val="90"/>
              </w:rPr>
              <w:t>001-36903</w:t>
            </w: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20" w:type="dxa"/>
            <w:vAlign w:val="bottom"/>
          </w:tcPr>
          <w:p>
            <w:pPr>
              <w:jc w:val="center"/>
              <w:ind w:right="530"/>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240" w:type="dxa"/>
            <w:vAlign w:val="bottom"/>
            <w:tcBorders>
              <w:top w:val="single" w:sz="8" w:color="auto"/>
            </w:tcBorders>
          </w:tcPr>
          <w:p>
            <w:pPr>
              <w:jc w:val="center"/>
              <w:ind w:left="350"/>
              <w:spacing w:after="0" w:line="201" w:lineRule="exact"/>
              <w:rPr>
                <w:sz w:val="20"/>
                <w:szCs w:val="20"/>
                <w:color w:val="auto"/>
              </w:rPr>
            </w:pPr>
            <w:r>
              <w:rPr>
                <w:rFonts w:ascii="Arial" w:cs="Arial" w:eastAsia="Arial" w:hAnsi="Arial"/>
                <w:sz w:val="18"/>
                <w:szCs w:val="18"/>
                <w:color w:val="auto"/>
                <w:w w:val="92"/>
              </w:rPr>
              <w:t>(State or other jurisdiction of</w:t>
            </w: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tcPr>
          <w:p>
            <w:pPr>
              <w:jc w:val="center"/>
              <w:ind w:right="5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240" w:type="dxa"/>
            <w:vAlign w:val="bottom"/>
          </w:tcPr>
          <w:p>
            <w:pPr>
              <w:jc w:val="center"/>
              <w:ind w:left="350"/>
              <w:spacing w:after="0"/>
              <w:rPr>
                <w:sz w:val="20"/>
                <w:szCs w:val="20"/>
                <w:color w:val="auto"/>
              </w:rPr>
            </w:pPr>
            <w:r>
              <w:rPr>
                <w:rFonts w:ascii="Arial" w:cs="Arial" w:eastAsia="Arial" w:hAnsi="Arial"/>
                <w:sz w:val="18"/>
                <w:szCs w:val="18"/>
                <w:color w:val="auto"/>
                <w:w w:val="92"/>
              </w:rPr>
              <w:t>incorporation or organization)</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2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5"/>
          </w:tcPr>
          <w:p>
            <w:pPr>
              <w:jc w:val="center"/>
              <w:ind w:right="880"/>
              <w:spacing w:after="0"/>
              <w:rPr>
                <w:sz w:val="20"/>
                <w:szCs w:val="20"/>
                <w:color w:val="auto"/>
              </w:rPr>
            </w:pPr>
            <w:r>
              <w:rPr>
                <w:rFonts w:ascii="Arial" w:cs="Arial" w:eastAsia="Arial" w:hAnsi="Arial"/>
                <w:sz w:val="18"/>
                <w:szCs w:val="18"/>
                <w:b w:val="1"/>
                <w:bCs w:val="1"/>
                <w:color w:val="auto"/>
                <w:w w:val="96"/>
              </w:rPr>
              <w:t>Kornit Digital Ltd.</w:t>
            </w:r>
          </w:p>
        </w:tc>
        <w:tc>
          <w:tcPr>
            <w:tcW w:w="302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5160" w:type="dxa"/>
            <w:vAlign w:val="bottom"/>
            <w:gridSpan w:val="7"/>
          </w:tcPr>
          <w:p>
            <w:pPr>
              <w:jc w:val="center"/>
              <w:ind w:right="220"/>
              <w:spacing w:after="0"/>
              <w:rPr>
                <w:sz w:val="20"/>
                <w:szCs w:val="20"/>
                <w:color w:val="auto"/>
              </w:rPr>
            </w:pPr>
            <w:r>
              <w:rPr>
                <w:rFonts w:ascii="Arial" w:cs="Arial" w:eastAsia="Arial" w:hAnsi="Arial"/>
                <w:sz w:val="18"/>
                <w:szCs w:val="18"/>
                <w:color w:val="auto"/>
                <w:w w:val="93"/>
              </w:rPr>
              <w:t xml:space="preserve">12 Ha’Amal St., Afek Park, Rosh-Ha’Ayin 4809246, </w:t>
            </w:r>
            <w:r>
              <w:rPr>
                <w:rFonts w:ascii="Arial" w:cs="Arial" w:eastAsia="Arial" w:hAnsi="Arial"/>
                <w:sz w:val="18"/>
                <w:szCs w:val="18"/>
                <w:b w:val="1"/>
                <w:bCs w:val="1"/>
                <w:color w:val="auto"/>
                <w:w w:val="93"/>
              </w:rPr>
              <w:t>Israel</w:t>
            </w:r>
          </w:p>
        </w:tc>
        <w:tc>
          <w:tcPr>
            <w:tcW w:w="30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gridSpan w:val="5"/>
          </w:tcPr>
          <w:p>
            <w:pPr>
              <w:jc w:val="center"/>
              <w:ind w:right="880"/>
              <w:spacing w:after="0"/>
              <w:rPr>
                <w:sz w:val="20"/>
                <w:szCs w:val="20"/>
                <w:color w:val="auto"/>
              </w:rPr>
            </w:pPr>
            <w:r>
              <w:rPr>
                <w:rFonts w:ascii="Arial" w:cs="Arial" w:eastAsia="Arial" w:hAnsi="Arial"/>
                <w:sz w:val="18"/>
                <w:szCs w:val="18"/>
                <w:b w:val="1"/>
                <w:bCs w:val="1"/>
                <w:color w:val="auto"/>
                <w:w w:val="90"/>
              </w:rPr>
              <w:t>Tel</w:t>
            </w:r>
            <w:r>
              <w:rPr>
                <w:rFonts w:ascii="Arial" w:cs="Arial" w:eastAsia="Arial" w:hAnsi="Arial"/>
                <w:sz w:val="18"/>
                <w:szCs w:val="18"/>
                <w:color w:val="auto"/>
                <w:w w:val="90"/>
              </w:rPr>
              <w:t>: +972.3.908.5800,</w:t>
            </w:r>
            <w:r>
              <w:rPr>
                <w:rFonts w:ascii="Arial" w:cs="Arial" w:eastAsia="Arial" w:hAnsi="Arial"/>
                <w:sz w:val="18"/>
                <w:szCs w:val="18"/>
                <w:b w:val="1"/>
                <w:bCs w:val="1"/>
                <w:color w:val="auto"/>
                <w:w w:val="90"/>
              </w:rPr>
              <w:t xml:space="preserve"> Fax</w:t>
            </w:r>
            <w:r>
              <w:rPr>
                <w:rFonts w:ascii="Arial" w:cs="Arial" w:eastAsia="Arial" w:hAnsi="Arial"/>
                <w:sz w:val="18"/>
                <w:szCs w:val="18"/>
                <w:color w:val="auto"/>
                <w:w w:val="90"/>
              </w:rPr>
              <w:t>: +972.3.908.0280</w:t>
            </w:r>
          </w:p>
        </w:tc>
        <w:tc>
          <w:tcPr>
            <w:tcW w:w="3020" w:type="dxa"/>
            <w:vAlign w:val="bottom"/>
          </w:tcPr>
          <w:p>
            <w:pPr>
              <w:spacing w:after="0"/>
              <w:rPr>
                <w:sz w:val="18"/>
                <w:szCs w:val="18"/>
                <w:color w:val="auto"/>
              </w:rPr>
            </w:pPr>
          </w:p>
        </w:tc>
      </w:tr>
      <w:tr>
        <w:trPr>
          <w:trHeight w:val="194"/>
        </w:trPr>
        <w:tc>
          <w:tcPr>
            <w:tcW w:w="3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740" w:type="dxa"/>
            <w:vAlign w:val="bottom"/>
            <w:gridSpan w:val="6"/>
          </w:tcPr>
          <w:p>
            <w:pPr>
              <w:jc w:val="center"/>
              <w:ind w:right="620"/>
              <w:spacing w:after="0" w:line="194" w:lineRule="exact"/>
              <w:rPr>
                <w:sz w:val="20"/>
                <w:szCs w:val="20"/>
                <w:color w:val="auto"/>
              </w:rPr>
            </w:pPr>
            <w:r>
              <w:rPr>
                <w:rFonts w:ascii="Arial" w:cs="Arial" w:eastAsia="Arial" w:hAnsi="Arial"/>
                <w:sz w:val="18"/>
                <w:szCs w:val="18"/>
                <w:b w:val="1"/>
                <w:bCs w:val="1"/>
                <w:color w:val="auto"/>
                <w:w w:val="94"/>
              </w:rPr>
              <w:t xml:space="preserve">Web </w:t>
            </w:r>
            <w:r>
              <w:rPr>
                <w:rFonts w:ascii="Arial" w:cs="Arial" w:eastAsia="Arial" w:hAnsi="Arial"/>
                <w:sz w:val="18"/>
                <w:szCs w:val="18"/>
                <w:color w:val="auto"/>
                <w:w w:val="94"/>
              </w:rPr>
              <w:t>: www.kornit.com,</w:t>
            </w:r>
            <w:r>
              <w:rPr>
                <w:rFonts w:ascii="Arial" w:cs="Arial" w:eastAsia="Arial" w:hAnsi="Arial"/>
                <w:sz w:val="18"/>
                <w:szCs w:val="18"/>
                <w:b w:val="1"/>
                <w:bCs w:val="1"/>
                <w:color w:val="auto"/>
                <w:w w:val="94"/>
              </w:rPr>
              <w:t xml:space="preserve"> Email</w:t>
            </w:r>
            <w:r>
              <w:rPr>
                <w:rFonts w:ascii="Arial" w:cs="Arial" w:eastAsia="Arial" w:hAnsi="Arial"/>
                <w:sz w:val="18"/>
                <w:szCs w:val="18"/>
                <w:color w:val="auto"/>
                <w:w w:val="94"/>
              </w:rPr>
              <w:t>: kornit@kornit.com</w:t>
            </w:r>
          </w:p>
        </w:tc>
        <w:tc>
          <w:tcPr>
            <w:tcW w:w="3020" w:type="dxa"/>
            <w:vAlign w:val="bottom"/>
          </w:tcPr>
          <w:p>
            <w:pPr>
              <w:spacing w:after="0"/>
              <w:rPr>
                <w:sz w:val="16"/>
                <w:szCs w:val="16"/>
                <w:color w:val="auto"/>
              </w:rPr>
            </w:pPr>
          </w:p>
        </w:tc>
      </w:tr>
      <w:tr>
        <w:trPr>
          <w:trHeight w:val="20"/>
        </w:trPr>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gridSpan w:val="5"/>
          </w:tcPr>
          <w:p>
            <w:pPr>
              <w:jc w:val="center"/>
              <w:ind w:right="88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Guy Avidan, Chief Financial Officer, +97239085866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Conflict Minerals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copy of Kornit Digital Ltd. (the “Company”) Conflict Minerals Report is provided as Exhibit 1.01 to this Form SD and is publicly available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http://www.kornit.com/conflict-minerals-policy/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Exhibits</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1.01 -</w:t>
      </w:r>
      <w:r>
        <w:rPr>
          <w:sz w:val="20"/>
          <w:szCs w:val="20"/>
          <w:color w:val="auto"/>
        </w:rPr>
        <w:tab/>
      </w:r>
      <w:r>
        <w:rPr>
          <w:rFonts w:ascii="Arial" w:cs="Arial" w:eastAsia="Arial" w:hAnsi="Arial"/>
          <w:sz w:val="16"/>
          <w:szCs w:val="16"/>
          <w:u w:val="single" w:color="auto"/>
          <w:color w:val="0000EE"/>
        </w:rPr>
        <w:t>Conflict Minerals Report is attached per Section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00"/>
          </w:cols>
          <w:pgMar w:left="240" w:top="904" w:right="11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Kornit Digital Ltd.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(Registrant)</w:t>
      </w:r>
    </w:p>
    <w:p>
      <w:pPr>
        <w:spacing w:after="0" w:line="11"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i w:val="1"/>
          <w:iCs w:val="1"/>
          <w:color w:val="auto"/>
        </w:rPr>
        <w:t>/s/ Guy Avidan</w:t>
      </w:r>
      <w:r>
        <w:rPr>
          <w:sz w:val="20"/>
          <w:szCs w:val="20"/>
          <w:color w:val="auto"/>
        </w:rPr>
        <w:tab/>
      </w:r>
      <w:r>
        <w:rPr>
          <w:rFonts w:ascii="Arial" w:cs="Arial" w:eastAsia="Arial" w:hAnsi="Arial"/>
          <w:sz w:val="24"/>
          <w:szCs w:val="24"/>
          <w:color w:val="auto"/>
          <w:vertAlign w:val="subscript"/>
        </w:rPr>
        <w:t>May 31</w:t>
      </w:r>
      <w:r>
        <w:rPr>
          <w:rFonts w:ascii="Arial" w:cs="Arial" w:eastAsia="Arial" w:hAnsi="Arial"/>
          <w:sz w:val="20"/>
          <w:szCs w:val="20"/>
          <w:color w:val="auto"/>
          <w:vertAlign w:val="superscript"/>
        </w:rPr>
        <w:t>ST</w:t>
      </w:r>
      <w:r>
        <w:rPr>
          <w:rFonts w:ascii="Arial" w:cs="Arial" w:eastAsia="Arial" w:hAnsi="Arial"/>
          <w:sz w:val="24"/>
          <w:szCs w:val="24"/>
          <w:color w:val="auto"/>
          <w:vertAlign w:val="subscript"/>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Guy Avidan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right="4640" w:firstLine="8"/>
        <w:spacing w:after="0" w:line="258" w:lineRule="auto"/>
        <w:tabs>
          <w:tab w:leader="none" w:pos="1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Source: Securities and Exchange Commission 17 CFR Parts 240 and 249b (SEC final rule) www.sec.gov/rules/final/2012/34-67716.pdf</w:t>
      </w:r>
    </w:p>
    <w:p>
      <w:pPr>
        <w:spacing w:after="0" w:line="1"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Pages 344-348</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Print name and title of the registrant’s signing executive officer</w:t>
      </w:r>
      <w:r>
        <w:rPr>
          <w:rFonts w:ascii="Arial" w:cs="Arial" w:eastAsia="Arial" w:hAnsi="Arial"/>
          <w:sz w:val="30"/>
          <w:szCs w:val="30"/>
          <w:i w:val="1"/>
          <w:iCs w:val="1"/>
          <w:color w:val="auto"/>
          <w:vertAlign w:val="superscript"/>
        </w:rPr>
        <w:t>1</w:t>
      </w:r>
      <w:r>
        <w:rPr>
          <w:rFonts w:ascii="Arial" w:cs="Arial" w:eastAsia="Arial" w:hAnsi="Arial"/>
          <w:sz w:val="18"/>
          <w:szCs w:val="18"/>
          <w:i w:val="1"/>
          <w:iCs w:val="1"/>
          <w:color w:val="auto"/>
        </w:rPr>
        <w:t xml:space="preserve"> under his or her signature.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INSTRUCTIONS as per the SEC rule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1809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8"/>
        <w:spacing w:after="0" w:line="249" w:lineRule="auto"/>
        <w:tabs>
          <w:tab w:leader="none" w:pos="12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 xml:space="preserve">The term </w:t>
      </w:r>
      <w:r>
        <w:rPr>
          <w:rFonts w:ascii="Arial" w:cs="Arial" w:eastAsia="Arial" w:hAnsi="Arial"/>
          <w:sz w:val="16"/>
          <w:szCs w:val="16"/>
          <w:i w:val="1"/>
          <w:iCs w:val="1"/>
          <w:color w:val="auto"/>
        </w:rPr>
        <w:t>executive officer,</w:t>
      </w:r>
      <w:r>
        <w:rPr>
          <w:rFonts w:ascii="Arial" w:cs="Arial" w:eastAsia="Arial" w:hAnsi="Arial"/>
          <w:sz w:val="16"/>
          <w:szCs w:val="16"/>
          <w:color w:val="auto"/>
        </w:rPr>
        <w:t xml:space="preserve"> when used with reference to a registrant, means its president, any vice president of the registrant in charge of a principal business unit, division or function (such as sales, administration or finance), any other officer who performs a policy making function or any other person who performs similar policy making functions for the registrant. Executive officers of subsidiaries may be deemed executive officers of the registrant if they perform such policy making functions for the registrant (Source: 47 FR 11464, Mar. 16, 1982, as amended at 56 FR 7265, Feb. 21, 1991).</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Conflict Minerals Report of Kornit Digital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Kornit develops, manufactures and markets industrial and commercial printing solutions for the garment, apparel and textile industries. Leading the digital textile printing industry with our revolutionary NeoPigmentTM process including an integrated pretreatment solution, Kornit caters directly to the needs of both designers and manufacturers</w:t>
      </w:r>
      <w:r>
        <w:rPr>
          <w:rFonts w:ascii="Arial" w:cs="Arial" w:eastAsia="Arial" w:hAnsi="Arial"/>
          <w:sz w:val="18"/>
          <w:szCs w:val="18"/>
          <w:i w:val="1"/>
          <w:iCs w:val="1"/>
          <w:color w:val="auto"/>
        </w:rPr>
        <w: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Founded in 2002 by seasoned professionals with extensive experience in the digital printing industry, we are the only company to provide our customers with a complete digital printing solution, from start to finish. We insist that customers should enjoy the best of the best – software, support and high-end technology, all in an environmentally sustainable way.</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Based on our proprietary ground-breaking technology and our in-house chemistry development, Kornit introduces the Kornit’s line of high-speed DTG printers, known to be the first industrial digital printers offering direct to garment printing. With our immense experience in the direct to garment market, we are revolutionizing the roll fabric industry with our single step solution that enables printing with one ink set on all types of fabric and with no additional finishing process.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product portfolio consists of two series of systems and the consumables used in those systems. These series are the DTG printers and the Roll to Roll printer. Collectively, this portfolio offers a variety of performance options for our customers, depending on their desired application, as well as on the nature and size of the designs. Our wide range of systems allows us to offer our customers systems at a number of different price points, depending on the features that our customers desire.</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an issuer that offers products that include tin, tungsten, tantalum and gold (“Conflict Minerals”) necessary in our manufactured products, we are subject to Dodd-Frank Wall Street Reform and Consumer Protection Act of 2010 Section 1502 reporting requirements associated with Conflict Minerals, and the SEC’s Rule 13p-1.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overview and scope:</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Rule imposes certain reporting obligations on SEC registrants whose manufactured products contain conflict minerals which are necessary to the functionality or production of their products. “Conflict minerals” are defined as cassiterite, columbite- tantalite, gold, wolframite, and their derivatives, which are limited to tin, tantalum, tungsten and gold for the purpose of this assessment.</w:t>
      </w:r>
    </w:p>
    <w:p>
      <w:pPr>
        <w:spacing w:after="0" w:line="18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If a registrant can establish that the conflict minerals in its products originated from sources other than the Democratic Republic of the Congo (DRC) or an adjoining country (the “Covered Countries”), or from recycled and scrap sources, the registrant must submit a specialized disclosure report under Form SD that describes the steps that the registrant took to determine the origin of the conflict minerals in its products.</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If a registrant has reason to believe that any of the conflict minerals in its supply chain may have originated in a Covered Country, or if the registrant is unable to determine the country of origin of those conflict minerals, then the registrant must exercise due diligence on the conflict minerals’ source and chain of custody, and the registrant must annually submit a Conflict Minerals Report to the SEC that includes a description of those due diligence measures.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Reasonable Country of Origin Inquiry (RCOI)</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Kornit is committed to ethical practices and compliance with all applicable laws and regulations. We are committed to working with our customers and suppliers to responsibly source the materials and components we use in manufacturing our customers’ products which may contain these minerals.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our Conflict Minerals Policy, which can be viewed at:</w:t>
      </w:r>
    </w:p>
    <w:p>
      <w:pPr>
        <w:spacing w:after="0" w:line="22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u w:val="single" w:color="auto"/>
          <w:color w:val="auto"/>
        </w:rPr>
        <w:t>http://www.kornit.com/conflict-minerals-policy/</w:t>
      </w:r>
      <w:r>
        <w:rPr>
          <w:rFonts w:ascii="Arial" w:cs="Arial" w:eastAsia="Arial" w:hAnsi="Arial"/>
          <w:sz w:val="18"/>
          <w:szCs w:val="18"/>
          <w:color w:val="auto"/>
        </w:rPr>
        <w:t>, Kornit has concluded in good faith that during the 2017 calendar year, we have manufactured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contracted to manufacture products containing all four Conflict Minerals and have determined that the use of these minerals is necessary to the functionality or production of these products.</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performed a reasonable country of origin inquiry (“RCOI”) simultaneously with the due diligence phase in which we engaged to determine whether the Conflict Minerals necessary to the functionality or production of our products were or were not “DRC conflict free.” This was done simultaneously due to the large number of applicable suppliers from which we source materials that we surveyed and the time frame in which we needed to complete both the RCOI and due diligence. Our RCOI employed several methods to assess whether the necessary Conflict Minerals in our products originated from the Democratic Republic of the Congo or a country that shares an internationally recognized border with the Democratic Republic of the Congo (collectively, “Covered Countries”).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steps were performed to determine the applicable suppliers list:</w:t>
      </w:r>
    </w:p>
    <w:p>
      <w:pPr>
        <w:spacing w:after="0" w:line="225" w:lineRule="exact"/>
        <w:rPr>
          <w:sz w:val="20"/>
          <w:szCs w:val="20"/>
          <w:color w:val="auto"/>
        </w:rPr>
      </w:pPr>
    </w:p>
    <w:p>
      <w:pPr>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suppliers list, which Kornit purchased from during the calendar year 2017, was issued using the ERP Priority system by the purchasing department manager. As part of our risk based approach we identified suppliers from which we purchased goods directly (“Tier 1 Suppliers”), as well as electronic manufacturers that our Tier 1 Suppliers contracted for in order to supply us the goods. In order to reduce the risk of not getting full information we have decided not to rely solely on our Tier 1 Suppliers to provide information on their entire supply chain, and to approach directly also the electronic manufacturers, even though we have not purchased from them directly. The total number of the suppliers and manufacturers in the list was </w:t>
      </w:r>
      <w:r>
        <w:rPr>
          <w:rFonts w:ascii="Arial" w:cs="Arial" w:eastAsia="Arial" w:hAnsi="Arial"/>
          <w:sz w:val="18"/>
          <w:szCs w:val="18"/>
          <w:b w:val="1"/>
          <w:bCs w:val="1"/>
          <w:u w:val="single" w:color="auto"/>
          <w:color w:val="auto"/>
        </w:rPr>
        <w:t>274</w:t>
      </w:r>
      <w:r>
        <w:rPr>
          <w:rFonts w:ascii="Arial" w:cs="Arial" w:eastAsia="Arial" w:hAnsi="Arial"/>
          <w:sz w:val="18"/>
          <w:szCs w:val="18"/>
          <w:color w:val="auto"/>
        </w:rPr>
        <w:t>. The list was then segmented according to the type of material the supplier provides. Some of the categories were excluded since they were not necessary to the functionality or production of the products. The categories that were excluded are: “Papers”, “Chemicals”, “Plastic”, “Metal”, Motion, Software and “Rubber”.</w:t>
      </w:r>
    </w:p>
    <w:p>
      <w:pPr>
        <w:spacing w:after="0" w:line="188" w:lineRule="exact"/>
        <w:rPr>
          <w:rFonts w:ascii="Arial" w:cs="Arial" w:eastAsia="Arial" w:hAnsi="Arial"/>
          <w:sz w:val="18"/>
          <w:szCs w:val="18"/>
          <w:color w:val="auto"/>
        </w:rPr>
      </w:pPr>
    </w:p>
    <w:p>
      <w:pPr>
        <w:ind w:left="660" w:right="220"/>
        <w:spacing w:after="0" w:line="266" w:lineRule="auto"/>
        <w:rPr>
          <w:rFonts w:ascii="Arial" w:cs="Arial" w:eastAsia="Arial" w:hAnsi="Arial"/>
          <w:sz w:val="18"/>
          <w:szCs w:val="18"/>
          <w:color w:val="auto"/>
        </w:rPr>
      </w:pPr>
      <w:r>
        <w:rPr>
          <w:rFonts w:ascii="Arial" w:cs="Arial" w:eastAsia="Arial" w:hAnsi="Arial"/>
          <w:sz w:val="18"/>
          <w:szCs w:val="18"/>
          <w:u w:val="single" w:color="auto"/>
          <w:color w:val="auto"/>
        </w:rPr>
        <w:t>The final list included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214</w:t>
      </w:r>
      <w:r>
        <w:rPr>
          <w:rFonts w:ascii="Arial" w:cs="Arial" w:eastAsia="Arial" w:hAnsi="Arial"/>
          <w:sz w:val="18"/>
          <w:szCs w:val="18"/>
          <w:color w:val="auto"/>
        </w:rPr>
        <w:t xml:space="preserve"> suppliers and manufacturers related to the “Electronics” category. Currently Kornit’s response rate is </w:t>
      </w:r>
      <w:r>
        <w:rPr>
          <w:rFonts w:ascii="Arial" w:cs="Arial" w:eastAsia="Arial" w:hAnsi="Arial"/>
          <w:sz w:val="18"/>
          <w:szCs w:val="18"/>
          <w:b w:val="1"/>
          <w:bCs w:val="1"/>
          <w:color w:val="auto"/>
        </w:rPr>
        <w:t>78.1%</w:t>
      </w:r>
      <w:r>
        <w:rPr>
          <w:rFonts w:ascii="Arial" w:cs="Arial" w:eastAsia="Arial" w:hAnsi="Arial"/>
          <w:sz w:val="18"/>
          <w:szCs w:val="18"/>
          <w:color w:val="auto"/>
        </w:rPr>
        <w:t xml:space="preserve"> . Although the number of Kornit’s suppliers in the final list increased since RY2106, the response rate has improved by approximately 20%, due to Kornit’s enhanced efforts in collecting the data from the suppliers.</w:t>
      </w:r>
    </w:p>
    <w:p>
      <w:pPr>
        <w:spacing w:after="0" w:line="180" w:lineRule="exact"/>
        <w:rPr>
          <w:rFonts w:ascii="Arial" w:cs="Arial" w:eastAsia="Arial" w:hAnsi="Arial"/>
          <w:sz w:val="18"/>
          <w:szCs w:val="18"/>
          <w:color w:val="auto"/>
        </w:rPr>
      </w:pPr>
    </w:p>
    <w:p>
      <w:pPr>
        <w:ind w:left="660" w:right="380"/>
        <w:spacing w:after="0" w:line="342" w:lineRule="auto"/>
        <w:rPr>
          <w:rFonts w:ascii="Arial" w:cs="Arial" w:eastAsia="Arial" w:hAnsi="Arial"/>
          <w:sz w:val="18"/>
          <w:szCs w:val="18"/>
          <w:color w:val="auto"/>
        </w:rPr>
      </w:pPr>
      <w:r>
        <w:rPr>
          <w:rFonts w:ascii="Arial" w:cs="Arial" w:eastAsia="Arial" w:hAnsi="Arial"/>
          <w:sz w:val="16"/>
          <w:szCs w:val="16"/>
          <w:color w:val="auto"/>
        </w:rPr>
        <w:t>Since our supply chain includes multiple tiers between our company and the relevant smelters and refineries, we rely on our direct suppliers and manufacturers to provide information on the origin of the conflict minerals contained in components which are included in our products.</w:t>
      </w:r>
    </w:p>
    <w:p>
      <w:pPr>
        <w:spacing w:after="0" w:line="123"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Solicited survey responses using the Conflict Minerals Reporting Template (CMRT) version 5.10 designed by the Responsible Minerals Initiative (RMI) formerly the Conflict Free Sourcing Initiative (CFSI). We engaged our supply chain to respond to the Conflict Minerals Reporting Template by referring suppliers to training materials that included an overview of the law and instructions on how to complete the Conflict Minerals Reporting Template.</w:t>
      </w:r>
    </w:p>
    <w:p>
      <w:pPr>
        <w:spacing w:after="0" w:line="18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Assessment of responses received for information that would identify as inconsistent, incomplete, or inaccurate responses. Responses that failed any of the “red flag” review tests were identified for additional follow up.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non-responsive suppliers, we sent periodic reminders to provide surveys or updated responses.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Based on the RCOI conducted, Kornit has reason to believe that a portion of the Conflict Minerals necessary to the functionality of its products originated in the Democratic Republic of the Congo or an adjoining country and knows, or has reason to believe, that those necessary Conflict Minerals may not be from recycled or scrap sources. Kornit seeks not to eliminate conflict minerals originating in the DRC but rather to obtain those from sources that do not directly or indirectly finance or benefit armed groups in the Covered Countries. Based on this result, Kornit conducted due diligence activities and details these efforts in this Conflict Minerals Report.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Due Diligence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Due Diligence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accordance with Rule 13p-1 and Form SD, we undertook due diligence to determine whether the Conflict Minerals necessary to the functionality or production of our products were or were not “DRC conflict free.” We designed our due diligence measures to be in conformity, in all material respects, with the internationally recognized due diligence framework as set forth in the Organization for Economic Cooperation and Development (OECD) Due Diligence Guidance for Responsible Supply Chains of Minerals from Conflict-Affected and High-Risk Areas (OECD, 2016) (“OECD Framework” </w:t>
      </w:r>
      <w:r>
        <w:rPr>
          <w:rFonts w:ascii="Arial" w:cs="Arial" w:eastAsia="Arial" w:hAnsi="Arial"/>
          <w:sz w:val="18"/>
          <w:szCs w:val="18"/>
          <w:u w:val="single" w:color="auto"/>
          <w:color w:val="auto"/>
        </w:rPr>
        <w:t>http://www.oecd.org/corporate/mne/mining.htm</w:t>
      </w:r>
      <w:r>
        <w:rPr>
          <w:rFonts w:ascii="Arial" w:cs="Arial" w:eastAsia="Arial" w:hAnsi="Arial"/>
          <w:sz w:val="18"/>
          <w:szCs w:val="18"/>
          <w:color w:val="auto"/>
        </w:rPr>
        <w:t>) and related supplements for Conflict Minerals.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5 steps defined in the OECD Due Diligence Guidance are: (1) establishment of strong internal company management systems; (2) identification and assessment of risks in the supply chain; (3) design and implementation of a strategy to respond to risks as they are identified; (4) carry out independent third-party audits of smelters’ and refiners’ due diligence practices; and (5) report annually on supply chain due diligence.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Performed</w:t>
      </w:r>
    </w:p>
    <w:p>
      <w:pPr>
        <w:spacing w:after="0" w:line="229" w:lineRule="exact"/>
        <w:rPr>
          <w:sz w:val="20"/>
          <w:szCs w:val="20"/>
          <w:color w:val="auto"/>
        </w:rPr>
      </w:pPr>
    </w:p>
    <w:p>
      <w:pPr>
        <w:jc w:val="center"/>
        <w:ind w:right="6600"/>
        <w:spacing w:after="0"/>
        <w:rPr>
          <w:sz w:val="20"/>
          <w:szCs w:val="20"/>
          <w:color w:val="auto"/>
        </w:rPr>
      </w:pPr>
      <w:r>
        <w:rPr>
          <w:rFonts w:ascii="Arial" w:cs="Arial" w:eastAsia="Arial" w:hAnsi="Arial"/>
          <w:sz w:val="16"/>
          <w:szCs w:val="16"/>
          <w:color w:val="auto"/>
        </w:rPr>
        <w:t>The due diligence measures we undertook consisted primarily of:</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Established strong company management systems.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reviewed and maintained the company management systems previously established through the following actions:</w:t>
      </w:r>
    </w:p>
    <w:p>
      <w:pPr>
        <w:spacing w:after="0" w:line="225" w:lineRule="exact"/>
        <w:rPr>
          <w:sz w:val="20"/>
          <w:szCs w:val="20"/>
          <w:color w:val="auto"/>
        </w:rPr>
      </w:pPr>
    </w:p>
    <w:p>
      <w:pPr>
        <w:ind w:left="980" w:right="360" w:hanging="324"/>
        <w:spacing w:after="0" w:line="25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As part of our policy Kornit strives to only use 3TG minerals from smelters that have been audited and verified as conflict free by the Responsible Minerals Assurance Process (RMAP), formerly the CFS Program and requires its suppliers to only source 3TG minerals from conflict-free smelters. The policy is available at: </w:t>
      </w:r>
      <w:r>
        <w:rPr>
          <w:rFonts w:ascii="Arial" w:cs="Arial" w:eastAsia="Arial" w:hAnsi="Arial"/>
          <w:sz w:val="18"/>
          <w:szCs w:val="18"/>
          <w:b w:val="1"/>
          <w:bCs w:val="1"/>
          <w:u w:val="single" w:color="auto"/>
          <w:color w:val="auto"/>
        </w:rPr>
        <w:t>http://www.kornit.com/conflict-minerals-policy/</w:t>
      </w:r>
    </w:p>
    <w:p>
      <w:pPr>
        <w:ind w:left="980" w:right="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Updated Conflict Minerals Governance Charter to set the Conflict Minerals annual work plan including: Kornit’s steps for compliance, objectives, time lines, internal management and cross functional team with identified roles and responsibilities, all to support supply chain due diligence.</w:t>
      </w:r>
    </w:p>
    <w:p>
      <w:pPr>
        <w:spacing w:after="0" w:line="1" w:lineRule="exact"/>
        <w:rPr>
          <w:rFonts w:ascii="Arial" w:cs="Arial" w:eastAsia="Arial" w:hAnsi="Arial"/>
          <w:sz w:val="18"/>
          <w:szCs w:val="18"/>
          <w:color w:val="auto"/>
        </w:rPr>
      </w:pPr>
    </w:p>
    <w:p>
      <w:pPr>
        <w:ind w:left="980" w:right="580" w:hanging="324"/>
        <w:spacing w:after="0" w:line="28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Established periodic meetings, on a quarterly basis, of the cross functional team, which includes the supply chain, configuration control department, for the purpose of sharing best practices and monitoring our progress regarding the various steps required for compliance.</w:t>
      </w:r>
    </w:p>
    <w:p>
      <w:pPr>
        <w:spacing w:after="0" w:line="1" w:lineRule="exact"/>
        <w:rPr>
          <w:rFonts w:ascii="Arial" w:cs="Arial" w:eastAsia="Arial" w:hAnsi="Arial"/>
          <w:sz w:val="16"/>
          <w:szCs w:val="16"/>
          <w:color w:val="auto"/>
        </w:rPr>
      </w:pPr>
    </w:p>
    <w:p>
      <w:pPr>
        <w:ind w:left="980" w:right="6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a process whereby we engage with suppliers and refer them to training materials on line, which materials include an overview of relevant Conflict Minerals regulation and provide instructions on how to respond to the due diligence survey (which was based on the Conflict Minerals Reporting Template).</w:t>
      </w:r>
    </w:p>
    <w:p>
      <w:pPr>
        <w:spacing w:after="0" w:line="1"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Maintained a Conflict Minerals provision to our standard Terms and Conditions of Purchase to require suppliers to comply with our Conflict Minerals Policy and requirements.</w:t>
      </w:r>
    </w:p>
    <w:p>
      <w:pPr>
        <w:ind w:left="980" w:right="86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Maintained a process whereby we communicate the due diligence efforts to customers, suppliers and other relevant functions in our organization, as applicable.</w:t>
      </w:r>
    </w:p>
    <w:p>
      <w:pPr>
        <w:ind w:left="980" w:right="44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Maintained a grievance mechanism whereby concerns and violations of the Conflict Minerals Policy should be reported to Kornit’s Chief Financial Officer and/or Director of global product compliance (at kornit@kornit.com).</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Maintained a records retention method in which all the relevant records are kept for a minimum of five years.</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 Identified and assessed risks in the supply chain</w:t>
      </w:r>
    </w:p>
    <w:p>
      <w:pPr>
        <w:spacing w:after="0" w:line="229" w:lineRule="exact"/>
        <w:rPr>
          <w:sz w:val="20"/>
          <w:szCs w:val="20"/>
          <w:color w:val="auto"/>
        </w:rPr>
      </w:pPr>
    </w:p>
    <w:p>
      <w:pPr>
        <w:ind w:left="320" w:right="40" w:firstLine="324"/>
        <w:spacing w:after="0" w:line="264" w:lineRule="auto"/>
        <w:rPr>
          <w:sz w:val="20"/>
          <w:szCs w:val="20"/>
          <w:color w:val="auto"/>
        </w:rPr>
      </w:pPr>
      <w:r>
        <w:rPr>
          <w:rFonts w:ascii="Arial" w:cs="Arial" w:eastAsia="Arial" w:hAnsi="Arial"/>
          <w:sz w:val="18"/>
          <w:szCs w:val="18"/>
          <w:color w:val="auto"/>
        </w:rPr>
        <w:t>As part of our risk-based approach we have decided to focus on suppliers and electronics manufactures. We assessed two primary risks in our supply chain: (1) the risk of not receiving on time and accurate information from the supplier; and (2) the risk of not being able to replace a supplier while trying to move towards the goal of being a conflict free company.</w:t>
      </w:r>
    </w:p>
    <w:p>
      <w:pPr>
        <w:spacing w:after="0" w:line="181" w:lineRule="exact"/>
        <w:rPr>
          <w:sz w:val="20"/>
          <w:szCs w:val="20"/>
          <w:color w:val="auto"/>
        </w:rPr>
      </w:pPr>
    </w:p>
    <w:p>
      <w:pPr>
        <w:ind w:left="320" w:right="160" w:firstLine="324"/>
        <w:spacing w:after="0" w:line="259" w:lineRule="auto"/>
        <w:rPr>
          <w:sz w:val="20"/>
          <w:szCs w:val="20"/>
          <w:color w:val="auto"/>
        </w:rPr>
      </w:pPr>
      <w:r>
        <w:rPr>
          <w:rFonts w:ascii="Arial" w:cs="Arial" w:eastAsia="Arial" w:hAnsi="Arial"/>
          <w:sz w:val="18"/>
          <w:szCs w:val="18"/>
          <w:color w:val="auto"/>
        </w:rPr>
        <w:t>As a result of this assessment, we segmented our suppliers into three risk levels (high, medium and low). In order to allow us to invest our risk management efforts according to the supplier level of risk, we have referred to Conflict Minerals-related risks based on supplier’s characteristics, such as: the volume of spending during 2017 and the extent to which the company is dependent upon any particular supplier or, conversely, the availability of alternative suppliers.</w:t>
      </w:r>
    </w:p>
    <w:p>
      <w:pPr>
        <w:spacing w:after="0" w:line="183" w:lineRule="exact"/>
        <w:rPr>
          <w:sz w:val="20"/>
          <w:szCs w:val="20"/>
          <w:color w:val="auto"/>
        </w:rPr>
      </w:pPr>
    </w:p>
    <w:p>
      <w:pPr>
        <w:ind w:left="320" w:firstLine="324"/>
        <w:spacing w:after="0" w:line="261" w:lineRule="auto"/>
        <w:rPr>
          <w:sz w:val="20"/>
          <w:szCs w:val="20"/>
          <w:color w:val="auto"/>
        </w:rPr>
      </w:pPr>
      <w:r>
        <w:rPr>
          <w:rFonts w:ascii="Arial" w:cs="Arial" w:eastAsia="Arial" w:hAnsi="Arial"/>
          <w:sz w:val="18"/>
          <w:szCs w:val="18"/>
          <w:color w:val="auto"/>
        </w:rPr>
        <w:t xml:space="preserve">As part of the risk assessment phase, we have identified that from the responses received, </w:t>
      </w:r>
      <w:r>
        <w:rPr>
          <w:rFonts w:ascii="Arial" w:cs="Arial" w:eastAsia="Arial" w:hAnsi="Arial"/>
          <w:sz w:val="18"/>
          <w:szCs w:val="18"/>
          <w:b w:val="1"/>
          <w:bCs w:val="1"/>
          <w:color w:val="auto"/>
        </w:rPr>
        <w:t>53.2%</w:t>
      </w:r>
      <w:r>
        <w:rPr>
          <w:rFonts w:ascii="Arial" w:cs="Arial" w:eastAsia="Arial" w:hAnsi="Arial"/>
          <w:sz w:val="18"/>
          <w:szCs w:val="18"/>
          <w:color w:val="auto"/>
        </w:rPr>
        <w:t xml:space="preserve"> of Kornit’s level 1 suppliers and manufacturers list have policy in place which addresses the conflict minerals sourcing.</w:t>
      </w:r>
    </w:p>
    <w:p>
      <w:pPr>
        <w:ind w:left="320" w:right="40"/>
        <w:spacing w:after="0" w:line="252" w:lineRule="auto"/>
        <w:rPr>
          <w:sz w:val="20"/>
          <w:szCs w:val="20"/>
          <w:color w:val="auto"/>
        </w:rPr>
      </w:pPr>
      <w:r>
        <w:rPr>
          <w:rFonts w:ascii="Arial" w:cs="Arial" w:eastAsia="Arial" w:hAnsi="Arial"/>
          <w:sz w:val="18"/>
          <w:szCs w:val="18"/>
          <w:color w:val="auto"/>
        </w:rPr>
        <w:t>We sent periodic reminders to non-responsive in scope suppliers to provide surveys or updated responses. We have identified, to the best of our efforts, the smelters/refiners in the supply chain by conducting a supply chain survey using the CMRT, which requests suppliers and manufactures to identify smelters and refiners and the country of origin of the conflict minerals in products they supply to Kornit. In addition, Kornit compared smelters and refiners identified by the supply chain survey against the list of facilities that have received a “conflict free” designation from the Responsible Minerals Assurance Process (“RMAP”), formerly the Conflict Free Smelter Program (“CFSP”) or other independent third-party audit program. We documented country of origin information for the smelters and refiners identified by the supply chain survey as provided from the different 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Designed and implemented a strategy to respond to identified risks</w:t>
      </w:r>
    </w:p>
    <w:p>
      <w:pPr>
        <w:spacing w:after="0" w:line="229" w:lineRule="exact"/>
        <w:rPr>
          <w:sz w:val="20"/>
          <w:szCs w:val="20"/>
          <w:color w:val="auto"/>
        </w:rPr>
      </w:pPr>
    </w:p>
    <w:p>
      <w:pPr>
        <w:ind w:left="320" w:right="200" w:firstLine="324"/>
        <w:spacing w:after="0" w:line="264" w:lineRule="auto"/>
        <w:rPr>
          <w:sz w:val="20"/>
          <w:szCs w:val="20"/>
          <w:color w:val="auto"/>
        </w:rPr>
      </w:pPr>
      <w:r>
        <w:rPr>
          <w:rFonts w:ascii="Arial" w:cs="Arial" w:eastAsia="Arial" w:hAnsi="Arial"/>
          <w:sz w:val="18"/>
          <w:szCs w:val="18"/>
          <w:color w:val="auto"/>
        </w:rPr>
        <w:t>The findings of the supply chain risk assessment are reported to designated members of our senior management which are being updated with report findings. As part of our risk management strategy we continue to conduct business with the suppliers while Kornit invests efforts to investigate its supply chain.</w:t>
      </w:r>
    </w:p>
    <w:p>
      <w:pPr>
        <w:spacing w:after="0" w:line="181" w:lineRule="exact"/>
        <w:rPr>
          <w:sz w:val="20"/>
          <w:szCs w:val="20"/>
          <w:color w:val="auto"/>
        </w:rPr>
      </w:pPr>
    </w:p>
    <w:p>
      <w:pPr>
        <w:ind w:left="320" w:right="180" w:firstLine="324"/>
        <w:spacing w:after="0" w:line="312" w:lineRule="auto"/>
        <w:rPr>
          <w:sz w:val="20"/>
          <w:szCs w:val="20"/>
          <w:color w:val="auto"/>
        </w:rPr>
      </w:pPr>
      <w:r>
        <w:rPr>
          <w:rFonts w:ascii="Arial" w:cs="Arial" w:eastAsia="Arial" w:hAnsi="Arial"/>
          <w:sz w:val="16"/>
          <w:szCs w:val="16"/>
          <w:color w:val="auto"/>
        </w:rPr>
        <w:t>Kornit contacts suppliers whose responses are identified as incomplete, inconsistent or inaccurate. Kornit also reviews supplier responses to track smelters and refiners in our supply chain that supply us with Conflict Minerals and have not received a conflict-free designation based on the Responsible Minerals Initiative’s Responsible Mineral Assurance Process or other independent third-party validation program.</w:t>
      </w:r>
    </w:p>
    <w:p>
      <w:pPr>
        <w:spacing w:after="0" w:line="147" w:lineRule="exact"/>
        <w:rPr>
          <w:sz w:val="20"/>
          <w:szCs w:val="20"/>
          <w:color w:val="auto"/>
        </w:rPr>
      </w:pPr>
    </w:p>
    <w:p>
      <w:pPr>
        <w:ind w:left="320" w:right="200" w:firstLine="324"/>
        <w:spacing w:after="0" w:line="259" w:lineRule="auto"/>
        <w:rPr>
          <w:sz w:val="20"/>
          <w:szCs w:val="20"/>
          <w:color w:val="auto"/>
        </w:rPr>
      </w:pPr>
      <w:r>
        <w:rPr>
          <w:rFonts w:ascii="Arial" w:cs="Arial" w:eastAsia="Arial" w:hAnsi="Arial"/>
          <w:sz w:val="18"/>
          <w:szCs w:val="18"/>
          <w:color w:val="auto"/>
        </w:rPr>
        <w:t>Kornit referred suppliers to training materials on line that included an overview of the law and instructions on how to complete the Conflict Minerals Reporting Template. We also sent follow up letters to high risk non-responsive suppliers, and to suppliers who declared the existence of Conflict Minerals in their supply chain from the DRC or adjoining countries from non-certified smelters, according to the RMI’s Standard Smelter List.</w:t>
      </w:r>
    </w:p>
    <w:p>
      <w:pPr>
        <w:spacing w:after="0" w:line="187" w:lineRule="exact"/>
        <w:rPr>
          <w:sz w:val="20"/>
          <w:szCs w:val="20"/>
          <w:color w:val="auto"/>
        </w:rPr>
      </w:pPr>
    </w:p>
    <w:p>
      <w:pPr>
        <w:ind w:left="320" w:right="600" w:firstLine="324"/>
        <w:spacing w:after="0" w:line="308" w:lineRule="auto"/>
        <w:rPr>
          <w:sz w:val="20"/>
          <w:szCs w:val="20"/>
          <w:color w:val="auto"/>
        </w:rPr>
      </w:pPr>
      <w:r>
        <w:rPr>
          <w:rFonts w:ascii="Arial" w:cs="Arial" w:eastAsia="Arial" w:hAnsi="Arial"/>
          <w:sz w:val="17"/>
          <w:szCs w:val="17"/>
          <w:color w:val="auto"/>
        </w:rPr>
        <w:t>Kornit’s supply chain Due Diligence is a dynamic process and requires on-going risk monitoring. Therefore, after implementing our risk mitigation strategy, then Kornit goes back to Step 2 of the OECD guidelines to ensure effective management of risks.</w:t>
      </w:r>
    </w:p>
    <w:p>
      <w:pPr>
        <w:spacing w:after="0" w:line="36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580" w:top="90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 Reviewed independent third-party audit of smelter/refiner due diligence practices</w:t>
      </w:r>
    </w:p>
    <w:p>
      <w:pPr>
        <w:spacing w:after="0" w:line="229" w:lineRule="exact"/>
        <w:rPr>
          <w:sz w:val="20"/>
          <w:szCs w:val="20"/>
          <w:color w:val="auto"/>
        </w:rPr>
      </w:pPr>
    </w:p>
    <w:p>
      <w:pPr>
        <w:ind w:left="320" w:firstLine="324"/>
        <w:spacing w:after="0" w:line="286" w:lineRule="auto"/>
        <w:rPr>
          <w:sz w:val="20"/>
          <w:szCs w:val="20"/>
          <w:color w:val="auto"/>
        </w:rPr>
      </w:pPr>
      <w:r>
        <w:rPr>
          <w:rFonts w:ascii="Arial" w:cs="Arial" w:eastAsia="Arial" w:hAnsi="Arial"/>
          <w:sz w:val="17"/>
          <w:szCs w:val="17"/>
          <w:color w:val="auto"/>
        </w:rPr>
        <w:t>Kornit is a downstream company of necessary Conflict Minerals and is many steps removed from smelters and refiners who provide minerals and ores. Therefore, Kornit does not perform audits of smelters and refiners within the supply chain. As a result, Kornit’s due diligence efforts relied on reviewing cross-industry initiatives such as those led by the RMI. to conduct smelter and refiner due diligence.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Prepared this annual report on supply chain due diligence</w:t>
      </w:r>
    </w:p>
    <w:p>
      <w:pPr>
        <w:spacing w:after="0" w:line="229" w:lineRule="exact"/>
        <w:rPr>
          <w:sz w:val="20"/>
          <w:szCs w:val="20"/>
          <w:color w:val="auto"/>
        </w:rPr>
      </w:pPr>
    </w:p>
    <w:p>
      <w:pPr>
        <w:ind w:left="320" w:right="80" w:firstLine="324"/>
        <w:spacing w:after="0" w:line="308" w:lineRule="auto"/>
        <w:rPr>
          <w:sz w:val="20"/>
          <w:szCs w:val="20"/>
          <w:color w:val="auto"/>
        </w:rPr>
      </w:pPr>
      <w:r>
        <w:rPr>
          <w:rFonts w:ascii="Arial" w:cs="Arial" w:eastAsia="Arial" w:hAnsi="Arial"/>
          <w:sz w:val="17"/>
          <w:szCs w:val="17"/>
          <w:color w:val="auto"/>
        </w:rPr>
        <w:t xml:space="preserve">Kornit’s Conflict Mineral Policy states that we will comply with Section 1502 of the Dodd Frank Act which includes filing a Form SD and this Conflict Minerals report with the SEC and posting publicly on the Internet at: </w:t>
      </w:r>
      <w:r>
        <w:rPr>
          <w:rFonts w:ascii="Arial" w:cs="Arial" w:eastAsia="Arial" w:hAnsi="Arial"/>
          <w:sz w:val="17"/>
          <w:szCs w:val="17"/>
          <w:b w:val="1"/>
          <w:bCs w:val="1"/>
          <w:color w:val="auto"/>
        </w:rPr>
        <w:t>http://www.kornit.com/conflict-minerals-policy/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Assessment</w:t>
      </w:r>
    </w:p>
    <w:p>
      <w:pPr>
        <w:spacing w:after="0" w:line="225"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color w:val="auto"/>
        </w:rPr>
        <w:t xml:space="preserve">We conducted a supply-chain survey of the </w:t>
      </w:r>
      <w:r>
        <w:rPr>
          <w:rFonts w:ascii="Arial" w:cs="Arial" w:eastAsia="Arial" w:hAnsi="Arial"/>
          <w:sz w:val="18"/>
          <w:szCs w:val="18"/>
          <w:b w:val="1"/>
          <w:bCs w:val="1"/>
          <w:color w:val="auto"/>
        </w:rPr>
        <w:t>214</w:t>
      </w:r>
      <w:r>
        <w:rPr>
          <w:rFonts w:ascii="Arial" w:cs="Arial" w:eastAsia="Arial" w:hAnsi="Arial"/>
          <w:sz w:val="18"/>
          <w:szCs w:val="18"/>
          <w:color w:val="auto"/>
        </w:rPr>
        <w:t xml:space="preserve"> direct suppliers and manufacturers that we identified which may contribute necessary conflict minerals to our products. The overall response rate to this survey was approximately </w:t>
      </w:r>
      <w:r>
        <w:rPr>
          <w:rFonts w:ascii="Arial" w:cs="Arial" w:eastAsia="Arial" w:hAnsi="Arial"/>
          <w:sz w:val="18"/>
          <w:szCs w:val="18"/>
          <w:b w:val="1"/>
          <w:bCs w:val="1"/>
          <w:color w:val="auto"/>
        </w:rPr>
        <w:t>53.2%</w:t>
      </w:r>
      <w:r>
        <w:rPr>
          <w:rFonts w:ascii="Arial" w:cs="Arial" w:eastAsia="Arial" w:hAnsi="Arial"/>
          <w:sz w:val="18"/>
          <w:szCs w:val="18"/>
          <w:color w:val="auto"/>
        </w:rPr>
        <w:t xml:space="preserve"> containing the names and locations of smelters and refiners (see Annex 1) and country of origin see (Annex 2) which process Conflict Minerals.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this response rate:</w:t>
      </w:r>
    </w:p>
    <w:p>
      <w:pPr>
        <w:spacing w:after="0" w:line="221" w:lineRule="exact"/>
        <w:rPr>
          <w:sz w:val="20"/>
          <w:szCs w:val="20"/>
          <w:color w:val="auto"/>
        </w:rPr>
      </w:pPr>
    </w:p>
    <w:p>
      <w:pPr>
        <w:ind w:left="640" w:hanging="32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53.2% </w:t>
      </w:r>
      <w:r>
        <w:rPr>
          <w:rFonts w:ascii="Arial" w:cs="Arial" w:eastAsia="Arial" w:hAnsi="Arial"/>
          <w:sz w:val="18"/>
          <w:szCs w:val="18"/>
          <w:color w:val="auto"/>
        </w:rPr>
        <w:t>suppliers delivered completed CMRT - (114 from 214 suppliers)</w:t>
      </w:r>
    </w:p>
    <w:p>
      <w:pPr>
        <w:spacing w:after="0" w:line="27" w:lineRule="exact"/>
        <w:rPr>
          <w:rFonts w:ascii="Arial" w:cs="Arial" w:eastAsia="Arial" w:hAnsi="Arial"/>
          <w:sz w:val="18"/>
          <w:szCs w:val="18"/>
          <w:color w:val="auto"/>
        </w:rPr>
      </w:pPr>
    </w:p>
    <w:p>
      <w:pPr>
        <w:ind w:left="640" w:hanging="32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9.8% </w:t>
      </w:r>
      <w:r>
        <w:rPr>
          <w:rFonts w:ascii="Arial" w:cs="Arial" w:eastAsia="Arial" w:hAnsi="Arial"/>
          <w:sz w:val="18"/>
          <w:szCs w:val="18"/>
          <w:color w:val="auto"/>
        </w:rPr>
        <w:t>suppliers were classified as “DRC conflict free” - (21 from 214 suppliers)</w:t>
      </w:r>
    </w:p>
    <w:p>
      <w:pPr>
        <w:spacing w:after="0" w:line="9" w:lineRule="exact"/>
        <w:rPr>
          <w:rFonts w:ascii="Arial" w:cs="Arial" w:eastAsia="Arial" w:hAnsi="Arial"/>
          <w:sz w:val="18"/>
          <w:szCs w:val="18"/>
          <w:color w:val="auto"/>
        </w:rPr>
      </w:pPr>
    </w:p>
    <w:p>
      <w:pPr>
        <w:ind w:left="640" w:hanging="32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7.01% </w:t>
      </w:r>
      <w:r>
        <w:rPr>
          <w:rFonts w:ascii="Arial" w:cs="Arial" w:eastAsia="Arial" w:hAnsi="Arial"/>
          <w:sz w:val="18"/>
          <w:szCs w:val="18"/>
          <w:color w:val="auto"/>
        </w:rPr>
        <w:t>suppliers were classified as “Free no 3TG” - (15 from 214 suppliers)</w:t>
      </w:r>
    </w:p>
    <w:p>
      <w:pPr>
        <w:spacing w:after="0" w:line="9" w:lineRule="exact"/>
        <w:rPr>
          <w:rFonts w:ascii="Arial" w:cs="Arial" w:eastAsia="Arial" w:hAnsi="Arial"/>
          <w:sz w:val="18"/>
          <w:szCs w:val="18"/>
          <w:color w:val="auto"/>
        </w:rPr>
      </w:pPr>
    </w:p>
    <w:p>
      <w:pPr>
        <w:ind w:left="640" w:hanging="32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suppliers were classified as “Undetermined not from DRC” - (9 from 214 suppliers)</w:t>
      </w:r>
    </w:p>
    <w:p>
      <w:pPr>
        <w:spacing w:after="0" w:line="9" w:lineRule="exact"/>
        <w:rPr>
          <w:rFonts w:ascii="Arial" w:cs="Arial" w:eastAsia="Arial" w:hAnsi="Arial"/>
          <w:sz w:val="18"/>
          <w:szCs w:val="18"/>
          <w:color w:val="auto"/>
        </w:rPr>
      </w:pPr>
    </w:p>
    <w:p>
      <w:pPr>
        <w:ind w:left="640" w:hanging="32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suppliers were classified as “Undetermined from DRC” - (54 from 214 suppliers)</w:t>
      </w:r>
    </w:p>
    <w:p>
      <w:pPr>
        <w:spacing w:after="0" w:line="9" w:lineRule="exact"/>
        <w:rPr>
          <w:rFonts w:ascii="Arial" w:cs="Arial" w:eastAsia="Arial" w:hAnsi="Arial"/>
          <w:sz w:val="18"/>
          <w:szCs w:val="18"/>
          <w:color w:val="auto"/>
        </w:rPr>
      </w:pPr>
    </w:p>
    <w:p>
      <w:pPr>
        <w:ind w:left="640" w:hanging="32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3.73% </w:t>
      </w:r>
      <w:r>
        <w:rPr>
          <w:rFonts w:ascii="Arial" w:cs="Arial" w:eastAsia="Arial" w:hAnsi="Arial"/>
          <w:sz w:val="18"/>
          <w:szCs w:val="18"/>
          <w:color w:val="auto"/>
        </w:rPr>
        <w:t>suppliers were classified as “Not from DRC” - (8 from 214 suppliers)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terms above have the following meaning as part of our due diligence efforts:</w:t>
      </w:r>
    </w:p>
    <w:p>
      <w:pPr>
        <w:spacing w:after="0" w:line="221" w:lineRule="exact"/>
        <w:rPr>
          <w:sz w:val="20"/>
          <w:szCs w:val="20"/>
          <w:color w:val="auto"/>
        </w:rPr>
      </w:pPr>
    </w:p>
    <w:p>
      <w:pPr>
        <w:ind w:left="640" w:right="20" w:hanging="324"/>
        <w:spacing w:after="0" w:line="282"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“DRC conflict free” </w:t>
      </w:r>
      <w:r>
        <w:rPr>
          <w:rFonts w:ascii="Arial" w:cs="Arial" w:eastAsia="Arial" w:hAnsi="Arial"/>
          <w:sz w:val="18"/>
          <w:szCs w:val="18"/>
          <w:color w:val="auto"/>
        </w:rPr>
        <w:t>indicates that the in-scope suppliers that reported that the Conflict Minerals being used in. the products provided to Kornit</w:t>
      </w:r>
      <w:r>
        <w:rPr>
          <w:rFonts w:ascii="Arial" w:cs="Arial" w:eastAsia="Arial" w:hAnsi="Arial"/>
          <w:sz w:val="18"/>
          <w:szCs w:val="18"/>
          <w:b w:val="1"/>
          <w:bCs w:val="1"/>
          <w:color w:val="auto"/>
        </w:rPr>
        <w:t xml:space="preserve"> </w:t>
      </w:r>
      <w:r>
        <w:rPr>
          <w:rFonts w:ascii="Arial" w:cs="Arial" w:eastAsia="Arial" w:hAnsi="Arial"/>
          <w:sz w:val="18"/>
          <w:szCs w:val="18"/>
          <w:color w:val="auto"/>
        </w:rPr>
        <w:t>originate from Covered Countries, but the smelters are approved by the RMI Conflict Free Smelter Program.</w:t>
      </w:r>
    </w:p>
    <w:p>
      <w:pPr>
        <w:spacing w:after="0" w:line="161" w:lineRule="exact"/>
        <w:rPr>
          <w:rFonts w:ascii="Arial" w:cs="Arial" w:eastAsia="Arial" w:hAnsi="Arial"/>
          <w:sz w:val="18"/>
          <w:szCs w:val="18"/>
          <w:color w:val="auto"/>
        </w:rPr>
      </w:pPr>
    </w:p>
    <w:p>
      <w:pPr>
        <w:ind w:left="640" w:right="160" w:hanging="324"/>
        <w:spacing w:after="0" w:line="282"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“Free no 3TG” </w:t>
      </w:r>
      <w:r>
        <w:rPr>
          <w:rFonts w:ascii="Arial" w:cs="Arial" w:eastAsia="Arial" w:hAnsi="Arial"/>
          <w:sz w:val="18"/>
          <w:szCs w:val="18"/>
          <w:color w:val="auto"/>
        </w:rPr>
        <w:t>indicates that the in-scope suppliers that reported that Conflict Minerals are not contained in the product, or are not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functionality or are not included in the production of the products provided to Kornit.</w:t>
      </w:r>
    </w:p>
    <w:p>
      <w:pPr>
        <w:spacing w:after="0" w:line="161" w:lineRule="exact"/>
        <w:rPr>
          <w:rFonts w:ascii="Arial" w:cs="Arial" w:eastAsia="Arial" w:hAnsi="Arial"/>
          <w:sz w:val="18"/>
          <w:szCs w:val="18"/>
          <w:color w:val="auto"/>
        </w:rPr>
      </w:pPr>
    </w:p>
    <w:p>
      <w:pPr>
        <w:ind w:left="640" w:right="20" w:hanging="324"/>
        <w:spacing w:after="0" w:line="289"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“Undetermined not from DRC” </w:t>
      </w:r>
      <w:r>
        <w:rPr>
          <w:rFonts w:ascii="Arial" w:cs="Arial" w:eastAsia="Arial" w:hAnsi="Arial"/>
          <w:sz w:val="17"/>
          <w:szCs w:val="17"/>
          <w:color w:val="auto"/>
        </w:rPr>
        <w:t>indicates that the in-scope suppliers that reported the Conflict Minerals being used in the products do not</w:t>
      </w:r>
      <w:r>
        <w:rPr>
          <w:rFonts w:ascii="Arial" w:cs="Arial" w:eastAsia="Arial" w:hAnsi="Arial"/>
          <w:sz w:val="17"/>
          <w:szCs w:val="17"/>
          <w:b w:val="1"/>
          <w:bCs w:val="1"/>
          <w:color w:val="auto"/>
        </w:rPr>
        <w:t xml:space="preserve"> </w:t>
      </w:r>
      <w:r>
        <w:rPr>
          <w:rFonts w:ascii="Arial" w:cs="Arial" w:eastAsia="Arial" w:hAnsi="Arial"/>
          <w:sz w:val="17"/>
          <w:szCs w:val="17"/>
          <w:color w:val="auto"/>
        </w:rPr>
        <w:t>originate from Covered Countries but they have not yet concluded their due diligence process so this determination can potentially change. Due diligence for these in scope suppliers will continue until the status changes or is confirmed.</w:t>
      </w:r>
    </w:p>
    <w:p>
      <w:pPr>
        <w:spacing w:after="0" w:line="158" w:lineRule="exact"/>
        <w:rPr>
          <w:rFonts w:ascii="Arial" w:cs="Arial" w:eastAsia="Arial" w:hAnsi="Arial"/>
          <w:sz w:val="17"/>
          <w:szCs w:val="17"/>
          <w:color w:val="auto"/>
        </w:rPr>
      </w:pPr>
    </w:p>
    <w:p>
      <w:pPr>
        <w:ind w:left="640" w:right="40" w:hanging="324"/>
        <w:spacing w:after="0" w:line="289"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“Undetermined from DRC” </w:t>
      </w:r>
      <w:r>
        <w:rPr>
          <w:rFonts w:ascii="Arial" w:cs="Arial" w:eastAsia="Arial" w:hAnsi="Arial"/>
          <w:sz w:val="17"/>
          <w:szCs w:val="17"/>
          <w:color w:val="auto"/>
        </w:rPr>
        <w:t>indicates that the in-scope suppliers that reported the Conflict Minerals being used originate from Covered</w:t>
      </w:r>
      <w:r>
        <w:rPr>
          <w:rFonts w:ascii="Arial" w:cs="Arial" w:eastAsia="Arial" w:hAnsi="Arial"/>
          <w:sz w:val="17"/>
          <w:szCs w:val="17"/>
          <w:b w:val="1"/>
          <w:bCs w:val="1"/>
          <w:color w:val="auto"/>
        </w:rPr>
        <w:t xml:space="preserve"> </w:t>
      </w:r>
      <w:r>
        <w:rPr>
          <w:rFonts w:ascii="Arial" w:cs="Arial" w:eastAsia="Arial" w:hAnsi="Arial"/>
          <w:sz w:val="17"/>
          <w:szCs w:val="17"/>
          <w:color w:val="auto"/>
        </w:rPr>
        <w:t>Countries and the smelters are approved by the RMI program, but they have not yet concluded their due diligence process so this determination can potentially change. Due diligence for these in scope suppliers will continue until the status changes or is confirmed.</w:t>
      </w:r>
    </w:p>
    <w:p>
      <w:pPr>
        <w:spacing w:after="0" w:line="158" w:lineRule="exact"/>
        <w:rPr>
          <w:rFonts w:ascii="Arial" w:cs="Arial" w:eastAsia="Arial" w:hAnsi="Arial"/>
          <w:sz w:val="17"/>
          <w:szCs w:val="17"/>
          <w:color w:val="auto"/>
        </w:rPr>
      </w:pPr>
    </w:p>
    <w:p>
      <w:pPr>
        <w:ind w:left="640" w:right="40" w:hanging="324"/>
        <w:spacing w:after="0" w:line="282"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“Not from DRC” </w:t>
      </w:r>
      <w:r>
        <w:rPr>
          <w:rFonts w:ascii="Arial" w:cs="Arial" w:eastAsia="Arial" w:hAnsi="Arial"/>
          <w:sz w:val="18"/>
          <w:szCs w:val="18"/>
          <w:color w:val="auto"/>
        </w:rPr>
        <w:t>indicates that the in-scope suppliers that reported that they were sourcing Conflict Minerals but from countries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Countries.</w:t>
      </w:r>
    </w:p>
    <w:p>
      <w:pPr>
        <w:spacing w:after="0" w:line="38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580" w:top="904" w:right="299" w:bottom="1440" w:gutter="0" w:footer="0" w:header="0"/>
        </w:sectPr>
      </w:pPr>
    </w:p>
    <w:bookmarkStart w:id="8" w:name="page9"/>
    <w:bookmarkEnd w:id="8"/>
    <w:p>
      <w:pPr>
        <w:ind w:left="660" w:right="320" w:firstLine="324"/>
        <w:spacing w:after="0" w:line="277" w:lineRule="auto"/>
        <w:rPr>
          <w:sz w:val="20"/>
          <w:szCs w:val="20"/>
          <w:color w:val="auto"/>
        </w:rPr>
      </w:pPr>
      <w:r>
        <w:rPr>
          <w:rFonts w:ascii="Arial" w:cs="Arial" w:eastAsia="Arial" w:hAnsi="Arial"/>
          <w:sz w:val="18"/>
          <w:szCs w:val="18"/>
          <w:color w:val="auto"/>
        </w:rPr>
        <w:t>We cannot be certain about our conclusions regarding the source and chain of custody of the necessary Conflict Minerals, as the information comes from direct and secondary suppliers and independent third-party audit programs.</w:t>
      </w:r>
    </w:p>
    <w:p>
      <w:pPr>
        <w:spacing w:after="0" w:line="170" w:lineRule="exact"/>
        <w:rPr>
          <w:sz w:val="20"/>
          <w:szCs w:val="20"/>
          <w:color w:val="auto"/>
        </w:rPr>
      </w:pPr>
    </w:p>
    <w:p>
      <w:pPr>
        <w:ind w:left="660" w:right="180" w:firstLine="324"/>
        <w:spacing w:after="0" w:line="297" w:lineRule="auto"/>
        <w:rPr>
          <w:sz w:val="20"/>
          <w:szCs w:val="20"/>
          <w:color w:val="auto"/>
        </w:rPr>
      </w:pPr>
      <w:r>
        <w:rPr>
          <w:rFonts w:ascii="Arial" w:cs="Arial" w:eastAsia="Arial" w:hAnsi="Arial"/>
          <w:sz w:val="16"/>
          <w:szCs w:val="16"/>
          <w:color w:val="auto"/>
        </w:rPr>
        <w:t>Despite suppliers indicating that they source from the Covered Countries, these suppliers were unable to accurately report which specific smelters/refiners were part of the supply chain of the components that were sold to Kornit in 2017. As a result of this lack of information, Kornit is unable to determine the full list of facilities used to process those necessary Conflict Minerals or their country of origin and to conclude whether or not the Conflict Minerals used in its products may have directly or indirectly financed armed groups in the Covered Countries. Kornit’s efforts to determine the mine(s) or location of origin included the use of the due diligence measures described above.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Smelters and refiners verified as conflict free or in the audit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11480"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1480" cy="68580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Tin</w:t>
            </w:r>
          </w:p>
        </w:tc>
        <w:tc>
          <w:tcPr>
            <w:tcW w:w="17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2"/>
              </w:rPr>
              <w:t>73 of 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(87.95%)</w:t>
            </w: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(72 compliant and 1 active smelters)</w:t>
            </w:r>
          </w:p>
        </w:tc>
      </w:tr>
      <w:tr>
        <w:trPr>
          <w:trHeight w:val="216"/>
        </w:trPr>
        <w:tc>
          <w:tcPr>
            <w:tcW w:w="2480" w:type="dxa"/>
            <w:vAlign w:val="bottom"/>
            <w:gridSpan w:val="3"/>
          </w:tcPr>
          <w:p>
            <w:pPr>
              <w:ind w:left="660"/>
              <w:spacing w:after="0"/>
              <w:rPr>
                <w:sz w:val="20"/>
                <w:szCs w:val="20"/>
                <w:color w:val="auto"/>
              </w:rPr>
            </w:pPr>
            <w:r>
              <w:rPr>
                <w:rFonts w:ascii="Arial" w:cs="Arial" w:eastAsia="Arial" w:hAnsi="Arial"/>
                <w:sz w:val="18"/>
                <w:szCs w:val="18"/>
                <w:color w:val="auto"/>
              </w:rPr>
              <w:t>Tantalum</w:t>
            </w:r>
          </w:p>
        </w:tc>
        <w:tc>
          <w:tcPr>
            <w:tcW w:w="1760" w:type="dxa"/>
            <w:vAlign w:val="bottom"/>
          </w:tcPr>
          <w:p>
            <w:pPr>
              <w:ind w:left="1140"/>
              <w:spacing w:after="0"/>
              <w:rPr>
                <w:sz w:val="20"/>
                <w:szCs w:val="20"/>
                <w:color w:val="auto"/>
              </w:rPr>
            </w:pPr>
            <w:r>
              <w:rPr>
                <w:rFonts w:ascii="Arial" w:cs="Arial" w:eastAsia="Arial" w:hAnsi="Arial"/>
                <w:sz w:val="18"/>
                <w:szCs w:val="18"/>
                <w:color w:val="auto"/>
                <w:w w:val="92"/>
              </w:rPr>
              <w:t>40 of 43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(93.02%)</w:t>
            </w:r>
          </w:p>
        </w:tc>
        <w:tc>
          <w:tcPr>
            <w:tcW w:w="6460" w:type="dxa"/>
            <w:vAlign w:val="bottom"/>
          </w:tcPr>
          <w:p>
            <w:pPr>
              <w:ind w:left="20"/>
              <w:spacing w:after="0"/>
              <w:rPr>
                <w:sz w:val="20"/>
                <w:szCs w:val="20"/>
                <w:color w:val="auto"/>
              </w:rPr>
            </w:pPr>
            <w:r>
              <w:rPr>
                <w:rFonts w:ascii="Arial" w:cs="Arial" w:eastAsia="Arial" w:hAnsi="Arial"/>
                <w:sz w:val="18"/>
                <w:szCs w:val="18"/>
                <w:color w:val="auto"/>
              </w:rPr>
              <w:t>- (40 compliant and 0 active smelters)</w:t>
            </w:r>
          </w:p>
        </w:tc>
      </w:tr>
      <w:tr>
        <w:trPr>
          <w:trHeight w:val="216"/>
        </w:trPr>
        <w:tc>
          <w:tcPr>
            <w:tcW w:w="24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Tungsten</w:t>
            </w:r>
          </w:p>
        </w:tc>
        <w:tc>
          <w:tcPr>
            <w:tcW w:w="17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2"/>
              </w:rPr>
              <w:t>42 of 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(91.30%)</w:t>
            </w: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(41 compliant and 1 active smelters)</w:t>
            </w:r>
          </w:p>
        </w:tc>
      </w:tr>
      <w:tr>
        <w:trPr>
          <w:trHeight w:val="216"/>
        </w:trPr>
        <w:tc>
          <w:tcPr>
            <w:tcW w:w="2480" w:type="dxa"/>
            <w:vAlign w:val="bottom"/>
            <w:gridSpan w:val="3"/>
          </w:tcPr>
          <w:p>
            <w:pPr>
              <w:ind w:left="660"/>
              <w:spacing w:after="0"/>
              <w:rPr>
                <w:sz w:val="20"/>
                <w:szCs w:val="20"/>
                <w:color w:val="auto"/>
              </w:rPr>
            </w:pPr>
            <w:r>
              <w:rPr>
                <w:rFonts w:ascii="Arial" w:cs="Arial" w:eastAsia="Arial" w:hAnsi="Arial"/>
                <w:sz w:val="18"/>
                <w:szCs w:val="18"/>
                <w:color w:val="auto"/>
              </w:rPr>
              <w:t>Gold</w:t>
            </w:r>
          </w:p>
        </w:tc>
        <w:tc>
          <w:tcPr>
            <w:tcW w:w="1940" w:type="dxa"/>
            <w:vAlign w:val="bottom"/>
            <w:gridSpan w:val="2"/>
          </w:tcPr>
          <w:p>
            <w:pPr>
              <w:ind w:left="1140"/>
              <w:spacing w:after="0"/>
              <w:rPr>
                <w:sz w:val="20"/>
                <w:szCs w:val="20"/>
                <w:color w:val="auto"/>
              </w:rPr>
            </w:pPr>
            <w:r>
              <w:rPr>
                <w:rFonts w:ascii="Arial" w:cs="Arial" w:eastAsia="Arial" w:hAnsi="Arial"/>
                <w:sz w:val="18"/>
                <w:szCs w:val="18"/>
                <w:color w:val="auto"/>
                <w:w w:val="91"/>
              </w:rPr>
              <w:t>108 of 150</w:t>
            </w: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(72%) – (101 compliant and 7 active smelters)</w:t>
            </w:r>
          </w:p>
        </w:tc>
      </w:tr>
      <w:tr>
        <w:trPr>
          <w:trHeight w:val="176"/>
        </w:trPr>
        <w:tc>
          <w:tcPr>
            <w:tcW w:w="2480" w:type="dxa"/>
            <w:vAlign w:val="bottom"/>
            <w:gridSpan w:val="3"/>
            <w:shd w:val="clear" w:color="auto" w:fill="CCEEFF"/>
          </w:tcPr>
          <w:p>
            <w:pPr>
              <w:ind w:left="660"/>
              <w:spacing w:after="0" w:line="176" w:lineRule="exact"/>
              <w:rPr>
                <w:sz w:val="20"/>
                <w:szCs w:val="20"/>
                <w:color w:val="auto"/>
              </w:rPr>
            </w:pPr>
            <w:r>
              <w:rPr>
                <w:rFonts w:ascii="Arial" w:cs="Arial" w:eastAsia="Arial" w:hAnsi="Arial"/>
                <w:sz w:val="18"/>
                <w:szCs w:val="18"/>
                <w:b w:val="1"/>
                <w:bCs w:val="1"/>
                <w:color w:val="auto"/>
              </w:rPr>
              <w:t>Total</w:t>
            </w:r>
          </w:p>
        </w:tc>
        <w:tc>
          <w:tcPr>
            <w:tcW w:w="1940" w:type="dxa"/>
            <w:vAlign w:val="bottom"/>
            <w:gridSpan w:val="2"/>
            <w:shd w:val="clear" w:color="auto" w:fill="CCEEFF"/>
          </w:tcPr>
          <w:p>
            <w:pPr>
              <w:ind w:left="1140"/>
              <w:spacing w:after="0" w:line="176" w:lineRule="exact"/>
              <w:rPr>
                <w:sz w:val="20"/>
                <w:szCs w:val="20"/>
                <w:color w:val="auto"/>
              </w:rPr>
            </w:pPr>
            <w:r>
              <w:rPr>
                <w:rFonts w:ascii="Arial" w:cs="Arial" w:eastAsia="Arial" w:hAnsi="Arial"/>
                <w:sz w:val="18"/>
                <w:szCs w:val="18"/>
                <w:color w:val="auto"/>
                <w:w w:val="91"/>
              </w:rPr>
              <w:t>263 of 322</w:t>
            </w:r>
          </w:p>
        </w:tc>
        <w:tc>
          <w:tcPr>
            <w:tcW w:w="70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(81.67%) – (254 compliant and 9 active smelters)</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8" w:right="239" w:bottom="1440" w:gutter="0" w:footer="0" w:header="0"/>
        </w:sectPr>
      </w:pPr>
    </w:p>
    <w:p>
      <w:pPr>
        <w:ind w:left="660"/>
        <w:spacing w:after="0"/>
        <w:rPr>
          <w:sz w:val="20"/>
          <w:szCs w:val="20"/>
          <w:color w:val="auto"/>
        </w:rPr>
      </w:pPr>
      <w:r>
        <w:rPr>
          <w:rFonts w:ascii="Arial" w:cs="Arial" w:eastAsia="Arial" w:hAnsi="Arial"/>
          <w:sz w:val="16"/>
          <w:szCs w:val="16"/>
          <w:b w:val="1"/>
          <w:bCs w:val="1"/>
          <w:color w:val="auto"/>
        </w:rPr>
        <w:t>Status of identified smelters and refiners:</w:t>
      </w: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Verified Conflict Free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Participating in an audit process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Participating</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Count of Smelter Identification</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Gold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Tantalum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Tungsten</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Grand 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3560" w:type="dxa"/>
        <w:tblCellMar>
          <w:top w:w="0" w:type="dxa"/>
          <w:left w:w="0" w:type="dxa"/>
          <w:bottom w:w="0" w:type="dxa"/>
          <w:right w:w="0" w:type="dxa"/>
        </w:tblCellMar>
      </w:tblPr>
      <w:tr>
        <w:trPr>
          <w:trHeight w:val="241"/>
        </w:trPr>
        <w:tc>
          <w:tcPr>
            <w:tcW w:w="11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2"/>
        </w:trPr>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254</w:t>
            </w:r>
          </w:p>
        </w:tc>
        <w:tc>
          <w:tcPr>
            <w:tcW w:w="700" w:type="dxa"/>
            <w:vAlign w:val="bottom"/>
            <w:gridSpan w:val="3"/>
          </w:tcPr>
          <w:p>
            <w:pPr>
              <w:jc w:val="right"/>
              <w:spacing w:after="0" w:line="201" w:lineRule="exact"/>
              <w:rPr>
                <w:sz w:val="20"/>
                <w:szCs w:val="20"/>
                <w:color w:val="auto"/>
              </w:rPr>
            </w:pPr>
            <w:r>
              <w:rPr>
                <w:rFonts w:ascii="Arial" w:cs="Arial" w:eastAsia="Arial" w:hAnsi="Arial"/>
                <w:sz w:val="18"/>
                <w:szCs w:val="18"/>
                <w:color w:val="auto"/>
                <w:w w:val="93"/>
              </w:rPr>
              <w:t>(78.88%)</w:t>
            </w:r>
          </w:p>
        </w:tc>
      </w:tr>
      <w:tr>
        <w:trPr>
          <w:trHeight w:val="216"/>
        </w:trPr>
        <w:tc>
          <w:tcPr>
            <w:tcW w:w="6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9"/>
              </w:rPr>
              <w:t>9 (2.8%)</w:t>
            </w:r>
          </w:p>
        </w:tc>
      </w:tr>
      <w:tr>
        <w:trPr>
          <w:trHeight w:val="251"/>
        </w:trPr>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3"/>
              </w:rPr>
              <w:t>(18.32%)</w:t>
            </w:r>
          </w:p>
        </w:tc>
      </w:tr>
      <w:tr>
        <w:trPr>
          <w:trHeight w:val="250"/>
        </w:trPr>
        <w:tc>
          <w:tcPr>
            <w:tcW w:w="11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322 (100</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81"/>
              </w:rPr>
              <w:t>%)</w:t>
            </w: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-796925</wp:posOffset>
            </wp:positionV>
            <wp:extent cx="7246620" cy="771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Count of</w:t>
            </w: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Count of</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Count of not</w:t>
            </w:r>
          </w:p>
        </w:tc>
      </w:tr>
      <w:tr>
        <w:trPr>
          <w:trHeight w:val="216"/>
        </w:trPr>
        <w:tc>
          <w:tcPr>
            <w:tcW w:w="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 of all</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compliant</w:t>
            </w: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active</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approved by</w:t>
            </w:r>
          </w:p>
        </w:tc>
      </w:tr>
      <w:tr>
        <w:trPr>
          <w:trHeight w:val="216"/>
        </w:trPr>
        <w:tc>
          <w:tcPr>
            <w:tcW w:w="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Smelter</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Smelter</w:t>
            </w: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Smelter</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8"/>
              </w:rPr>
              <w:t>RMI Smelter</w:t>
            </w:r>
          </w:p>
        </w:tc>
      </w:tr>
      <w:tr>
        <w:trPr>
          <w:trHeight w:val="241"/>
        </w:trPr>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Identification</w:t>
            </w: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Identification</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Identification</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2"/>
              </w:rPr>
              <w:t>Identification</w:t>
            </w:r>
          </w:p>
        </w:tc>
      </w:tr>
      <w:tr>
        <w:trPr>
          <w:trHeight w:val="202"/>
        </w:trPr>
        <w:tc>
          <w:tcPr>
            <w:tcW w:w="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w:t>
            </w:r>
          </w:p>
        </w:tc>
      </w:tr>
      <w:tr>
        <w:trPr>
          <w:trHeight w:val="216"/>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43</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83</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72</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322</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254</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59</w:t>
            </w: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-1337310</wp:posOffset>
            </wp:positionV>
            <wp:extent cx="7246620" cy="131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11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720"/>
            <w:col w:w="4920"/>
          </w:cols>
          <w:pgMar w:left="240" w:top="908"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Additional Risk Factors</w:t>
      </w:r>
    </w:p>
    <w:p>
      <w:pPr>
        <w:spacing w:after="0" w:line="229" w:lineRule="exact"/>
        <w:rPr>
          <w:sz w:val="20"/>
          <w:szCs w:val="20"/>
          <w:color w:val="auto"/>
        </w:rPr>
      </w:pPr>
    </w:p>
    <w:p>
      <w:pPr>
        <w:ind w:right="180" w:firstLine="384"/>
        <w:spacing w:after="0" w:line="342" w:lineRule="auto"/>
        <w:rPr>
          <w:sz w:val="20"/>
          <w:szCs w:val="20"/>
          <w:color w:val="auto"/>
        </w:rPr>
      </w:pPr>
      <w:r>
        <w:rPr>
          <w:rFonts w:ascii="Arial" w:cs="Arial" w:eastAsia="Arial" w:hAnsi="Arial"/>
          <w:sz w:val="16"/>
          <w:szCs w:val="16"/>
          <w:color w:val="auto"/>
        </w:rPr>
        <w:t>The statements above are based on the RCOI process and due diligence performed in good faith by Kornit. These statements are based on the infrastructure and information available at the time. A number of factors could introduce errors or otherwise affect our conclusions.</w:t>
      </w:r>
    </w:p>
    <w:p>
      <w:pPr>
        <w:spacing w:after="0" w:line="124" w:lineRule="exact"/>
        <w:rPr>
          <w:sz w:val="20"/>
          <w:szCs w:val="20"/>
          <w:color w:val="auto"/>
        </w:rPr>
      </w:pPr>
    </w:p>
    <w:p>
      <w:pPr>
        <w:ind w:right="100" w:firstLine="384"/>
        <w:spacing w:after="0" w:line="257" w:lineRule="auto"/>
        <w:rPr>
          <w:sz w:val="20"/>
          <w:szCs w:val="20"/>
          <w:color w:val="auto"/>
        </w:rPr>
      </w:pPr>
      <w:r>
        <w:rPr>
          <w:rFonts w:ascii="Arial" w:cs="Arial" w:eastAsia="Arial" w:hAnsi="Arial"/>
          <w:sz w:val="18"/>
          <w:szCs w:val="18"/>
          <w:color w:val="auto"/>
        </w:rPr>
        <w:t>These factors include, but are not limited to, gaps in product or product content information, gaps in supplier data, errors or omissions by or of suppliers, confusion over requirements of SEC final rules, gaps in supplier education and knowledge, lack of timeliness of data, public information not discovered during a reasonable search, errors in public data, language barriers and translation, supplier unfamiliarity with the protocol, conflict area sourced materials being declared secondary materials, companies going out of business in 2017, and smuggling of conflict area Conflict Minerals to countries beyond the Covered Countries.</w:t>
      </w:r>
    </w:p>
    <w:p>
      <w:pPr>
        <w:spacing w:after="0" w:line="188" w:lineRule="exact"/>
        <w:rPr>
          <w:sz w:val="20"/>
          <w:szCs w:val="20"/>
          <w:color w:val="auto"/>
        </w:rPr>
      </w:pPr>
    </w:p>
    <w:p>
      <w:pPr>
        <w:ind w:right="300" w:firstLine="384"/>
        <w:spacing w:after="0" w:line="259" w:lineRule="auto"/>
        <w:rPr>
          <w:sz w:val="20"/>
          <w:szCs w:val="20"/>
          <w:color w:val="auto"/>
        </w:rPr>
      </w:pPr>
      <w:r>
        <w:rPr>
          <w:rFonts w:ascii="Arial" w:cs="Arial" w:eastAsia="Arial" w:hAnsi="Arial"/>
          <w:sz w:val="18"/>
          <w:szCs w:val="18"/>
          <w:color w:val="auto"/>
        </w:rPr>
        <w:t>Information gathered from our suppliers is not on a continuous, real-time basis, but rather information gathered from suppliers’ information provided on the Conflict Mineral Reporting Template at that time. We cannot be certain about our conclusions regarding the source and chain of custody of the necessary Conflict Minerals, as the information comes from direct and secondary suppliers and independent third-party audit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improvement efforts to mitigate risk</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Kornit will continue working with its global supply chain to ensure responsible sourcing and assure compliance with international regulations.</w:t>
      </w:r>
    </w:p>
    <w:p>
      <w:pPr>
        <w:spacing w:after="0" w:line="248" w:lineRule="exact"/>
        <w:rPr>
          <w:sz w:val="20"/>
          <w:szCs w:val="20"/>
          <w:color w:val="auto"/>
        </w:rPr>
      </w:pPr>
    </w:p>
    <w:p>
      <w:pPr>
        <w:ind w:left="960" w:hanging="315"/>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international regulations.</w:t>
      </w:r>
    </w:p>
    <w:p>
      <w:pPr>
        <w:spacing w:after="0" w:line="23" w:lineRule="exact"/>
        <w:rPr>
          <w:rFonts w:ascii="Arial" w:cs="Arial" w:eastAsia="Arial" w:hAnsi="Arial"/>
          <w:sz w:val="18"/>
          <w:szCs w:val="18"/>
          <w:color w:val="auto"/>
        </w:rPr>
      </w:pPr>
    </w:p>
    <w:p>
      <w:pPr>
        <w:ind w:left="960" w:hanging="315"/>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Continue to conduct and report annually on supply chain due diligence for the applicable Conflict Minerals, as required by Rule 13p-1.</w:t>
      </w:r>
    </w:p>
    <w:p>
      <w:pPr>
        <w:spacing w:after="0" w:line="32" w:lineRule="exact"/>
        <w:rPr>
          <w:rFonts w:ascii="Arial" w:cs="Arial" w:eastAsia="Arial" w:hAnsi="Arial"/>
          <w:sz w:val="16"/>
          <w:szCs w:val="16"/>
          <w:color w:val="auto"/>
        </w:rPr>
      </w:pPr>
    </w:p>
    <w:p>
      <w:pPr>
        <w:ind w:left="960" w:hanging="315"/>
        <w:spacing w:after="0" w:line="250"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 with suppliers that did not respond to Kornit’s 2017 survey to help them understand the importance of this initiative to Kornit and to encourage their participation in 2018.</w:t>
      </w:r>
    </w:p>
    <w:p>
      <w:pPr>
        <w:ind w:left="960" w:right="180" w:hanging="315"/>
        <w:spacing w:after="0" w:line="250"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Attempt to validate supplier responses using information collected via independent, conflict-free smelter validation programs such as the Responsible Minerals Initiative(RMI) Conflict Free Smelter program.</w:t>
      </w:r>
    </w:p>
    <w:p>
      <w:pPr>
        <w:ind w:left="960" w:right="120" w:hanging="315"/>
        <w:spacing w:after="0" w:line="250"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Send follow up letters to high risk non-responsive suppliers, and to suppliers with Conflict Minerals from the Covered Countries from non-certified smelters.</w:t>
      </w:r>
    </w:p>
    <w:p>
      <w:pPr>
        <w:ind w:left="960" w:hanging="315"/>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implement CM policy.</w:t>
      </w:r>
    </w:p>
    <w:p>
      <w:pPr>
        <w:spacing w:after="0" w:line="9" w:lineRule="exact"/>
        <w:rPr>
          <w:rFonts w:ascii="Arial" w:cs="Arial" w:eastAsia="Arial" w:hAnsi="Arial"/>
          <w:sz w:val="18"/>
          <w:szCs w:val="18"/>
          <w:color w:val="auto"/>
        </w:rPr>
      </w:pPr>
    </w:p>
    <w:p>
      <w:pPr>
        <w:ind w:left="960" w:hanging="315"/>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 use of tools for improved tracking and evaluating.</w:t>
      </w:r>
    </w:p>
    <w:p>
      <w:pPr>
        <w:spacing w:after="0" w:line="200" w:lineRule="exact"/>
        <w:rPr>
          <w:sz w:val="20"/>
          <w:szCs w:val="20"/>
          <w:color w:val="auto"/>
        </w:rPr>
      </w:pPr>
    </w:p>
    <w:p>
      <w:pPr>
        <w:spacing w:after="0" w:line="22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900" w:top="904"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1"/>
              </w:rPr>
              <w:t>Annex 1</w:t>
            </w:r>
          </w:p>
        </w:tc>
        <w:tc>
          <w:tcPr>
            <w:tcW w:w="342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gridSpan w:val="2"/>
          </w:tcPr>
          <w:p>
            <w:pPr>
              <w:jc w:val="center"/>
              <w:ind w:left="1030"/>
              <w:spacing w:after="0"/>
              <w:rPr>
                <w:sz w:val="20"/>
                <w:szCs w:val="20"/>
                <w:color w:val="auto"/>
              </w:rPr>
            </w:pPr>
            <w:r>
              <w:rPr>
                <w:rFonts w:ascii="Arial" w:cs="Arial" w:eastAsia="Arial" w:hAnsi="Arial"/>
                <w:sz w:val="18"/>
                <w:szCs w:val="18"/>
                <w:color w:val="auto"/>
                <w:w w:val="90"/>
              </w:rPr>
              <w:t>Names And Locations of Smelters and Refiners</w:t>
            </w:r>
          </w:p>
        </w:tc>
        <w:tc>
          <w:tcPr>
            <w:tcW w:w="3420" w:type="dxa"/>
            <w:vAlign w:val="bottom"/>
          </w:tcPr>
          <w:p>
            <w:pPr>
              <w:spacing w:after="0"/>
              <w:rPr>
                <w:sz w:val="24"/>
                <w:szCs w:val="24"/>
                <w:color w:val="auto"/>
              </w:rPr>
            </w:pPr>
          </w:p>
        </w:tc>
      </w:tr>
      <w:tr>
        <w:trPr>
          <w:trHeight w:val="453"/>
        </w:trPr>
        <w:tc>
          <w:tcPr>
            <w:tcW w:w="2300" w:type="dxa"/>
            <w:vAlign w:val="bottom"/>
            <w:gridSpan w:val="2"/>
          </w:tcPr>
          <w:p>
            <w:pPr>
              <w:ind w:left="720"/>
              <w:spacing w:after="0"/>
              <w:rPr>
                <w:sz w:val="20"/>
                <w:szCs w:val="20"/>
                <w:color w:val="auto"/>
              </w:rPr>
            </w:pPr>
            <w:r>
              <w:rPr>
                <w:rFonts w:ascii="Arial" w:cs="Arial" w:eastAsia="Arial" w:hAnsi="Arial"/>
                <w:sz w:val="18"/>
                <w:szCs w:val="18"/>
                <w:b w:val="1"/>
                <w:bCs w:val="1"/>
                <w:color w:val="auto"/>
              </w:rPr>
              <w:t>METAL</w:t>
            </w:r>
          </w:p>
        </w:tc>
        <w:tc>
          <w:tcPr>
            <w:tcW w:w="5700" w:type="dxa"/>
            <w:vAlign w:val="bottom"/>
            <w:gridSpan w:val="2"/>
          </w:tcPr>
          <w:p>
            <w:pPr>
              <w:ind w:left="1440"/>
              <w:spacing w:after="0"/>
              <w:rPr>
                <w:sz w:val="20"/>
                <w:szCs w:val="20"/>
                <w:color w:val="auto"/>
              </w:rPr>
            </w:pPr>
            <w:r>
              <w:rPr>
                <w:rFonts w:ascii="Arial" w:cs="Arial" w:eastAsia="Arial" w:hAnsi="Arial"/>
                <w:sz w:val="18"/>
                <w:szCs w:val="18"/>
                <w:b w:val="1"/>
                <w:bCs w:val="1"/>
                <w:color w:val="auto"/>
              </w:rPr>
              <w:t>SMELTER OR REFINER NAME</w:t>
            </w:r>
          </w:p>
        </w:tc>
        <w:tc>
          <w:tcPr>
            <w:tcW w:w="3420" w:type="dxa"/>
            <w:vAlign w:val="bottom"/>
          </w:tcPr>
          <w:p>
            <w:pPr>
              <w:ind w:left="22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22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Advanced Chemical Company</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Aida Chemical Industries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Allgemeine Gold-und Silberscheideanstalt A.G.</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Almalyk Mining and Metallurgical Complex (AMMC)</w:t>
            </w:r>
          </w:p>
        </w:tc>
        <w:tc>
          <w:tcPr>
            <w:tcW w:w="3420" w:type="dxa"/>
            <w:vAlign w:val="bottom"/>
          </w:tcPr>
          <w:p>
            <w:pPr>
              <w:spacing w:after="0"/>
              <w:rPr>
                <w:sz w:val="20"/>
                <w:szCs w:val="20"/>
                <w:color w:val="auto"/>
              </w:rPr>
            </w:pPr>
            <w:r>
              <w:rPr>
                <w:rFonts w:ascii="Arial" w:cs="Arial" w:eastAsia="Arial" w:hAnsi="Arial"/>
                <w:sz w:val="18"/>
                <w:szCs w:val="18"/>
                <w:color w:val="auto"/>
              </w:rPr>
              <w:t>UZBEKISTAN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AngloGold Ashanti C?rrego do S?tio Minera??o</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Argor-Heraeus S.A.</w:t>
            </w:r>
          </w:p>
        </w:tc>
        <w:tc>
          <w:tcPr>
            <w:tcW w:w="342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Asahi Pretec Corp.</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Asaka Riken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Atasay Kuyumculuk Sanayi Ve Ticaret A.S.</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TURKEY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Aurubis AG</w:t>
            </w:r>
          </w:p>
        </w:tc>
        <w:tc>
          <w:tcPr>
            <w:tcW w:w="34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Bangko Sentral ng Pilipinas (Central Bank of the Philippines)</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Boliden AB</w:t>
            </w:r>
          </w:p>
        </w:tc>
        <w:tc>
          <w:tcPr>
            <w:tcW w:w="342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Hafner GmbH + Co. KG</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Caridad</w:t>
            </w:r>
          </w:p>
        </w:tc>
        <w:tc>
          <w:tcPr>
            <w:tcW w:w="342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Xstrata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Cendres + Metaux S.A.</w:t>
            </w:r>
          </w:p>
        </w:tc>
        <w:tc>
          <w:tcPr>
            <w:tcW w:w="342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Yunnan Copper Industry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Chimet S.p.A.</w:t>
            </w:r>
          </w:p>
        </w:tc>
        <w:tc>
          <w:tcPr>
            <w:tcW w:w="342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Chugai Mining</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Daejin Indus Co., Ltd.</w:t>
            </w:r>
          </w:p>
        </w:tc>
        <w:tc>
          <w:tcPr>
            <w:tcW w:w="342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Daye Non-Ferrous Metals Mining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Do Sung Corporation</w:t>
            </w:r>
          </w:p>
        </w:tc>
        <w:tc>
          <w:tcPr>
            <w:tcW w:w="342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DODUCO GmbH</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Dowa Metals &amp; Mining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Eco-System Recycling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OJSC Novosibirsk Refinery</w:t>
            </w:r>
          </w:p>
        </w:tc>
        <w:tc>
          <w:tcPr>
            <w:tcW w:w="34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Gansu Seemine Material Hi-Tech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Guoda Safina High-Tech Environmental Refinery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Hangzhou Fuchunjiang Smelting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HeeSung Metal Ltd.</w:t>
            </w:r>
          </w:p>
        </w:tc>
        <w:tc>
          <w:tcPr>
            <w:tcW w:w="342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Heimerle + Meule GmbH</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Heraeus Ltd. Hong Kong</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Heraeus Precious Metals GmbH &amp; Co. KG</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Hunan Chenzhou Mining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HwaSeong CJ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Inner Mongolia Qiankun Gold and Silver Refinery Share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Ishifuku Metal Industry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Istanbul Gold Refinery</w:t>
            </w:r>
          </w:p>
        </w:tc>
        <w:tc>
          <w:tcPr>
            <w:tcW w:w="3420" w:type="dxa"/>
            <w:vAlign w:val="bottom"/>
          </w:tcPr>
          <w:p>
            <w:pPr>
              <w:spacing w:after="0"/>
              <w:rPr>
                <w:sz w:val="20"/>
                <w:szCs w:val="20"/>
                <w:color w:val="auto"/>
              </w:rPr>
            </w:pPr>
            <w:r>
              <w:rPr>
                <w:rFonts w:ascii="Arial" w:cs="Arial" w:eastAsia="Arial" w:hAnsi="Arial"/>
                <w:sz w:val="18"/>
                <w:szCs w:val="18"/>
                <w:color w:val="auto"/>
              </w:rPr>
              <w:t>TURKEY</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 Mint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JCC</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Johnson Matthey Inc.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Asahi Refining Canada Ltd.</w:t>
            </w:r>
          </w:p>
        </w:tc>
        <w:tc>
          <w:tcPr>
            <w:tcW w:w="342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JSC Ekaterinburg Non-Ferrous Metal Processing Plant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JSC Uralelectromed</w:t>
            </w:r>
          </w:p>
        </w:tc>
        <w:tc>
          <w:tcPr>
            <w:tcW w:w="34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JX Nippon Mining &amp; Metals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Kazakhmys Smelting LLC</w:t>
            </w:r>
          </w:p>
        </w:tc>
        <w:tc>
          <w:tcPr>
            <w:tcW w:w="3420" w:type="dxa"/>
            <w:vAlign w:val="bottom"/>
          </w:tcPr>
          <w:p>
            <w:pPr>
              <w:spacing w:after="0"/>
              <w:rPr>
                <w:sz w:val="20"/>
                <w:szCs w:val="20"/>
                <w:color w:val="auto"/>
              </w:rPr>
            </w:pPr>
            <w:r>
              <w:rPr>
                <w:rFonts w:ascii="Arial" w:cs="Arial" w:eastAsia="Arial" w:hAnsi="Arial"/>
                <w:sz w:val="18"/>
                <w:szCs w:val="18"/>
                <w:color w:val="auto"/>
              </w:rPr>
              <w:t>KAZAKHSTAN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Kazzinc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KAZAKHSTAN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Kennecott Utah Copper LLC</w:t>
            </w:r>
          </w:p>
        </w:tc>
        <w:tc>
          <w:tcPr>
            <w:tcW w:w="342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Kojima Chemicals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Korea Zinc Co., Ltd.</w:t>
            </w:r>
          </w:p>
        </w:tc>
        <w:tc>
          <w:tcPr>
            <w:tcW w:w="342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668"/>
        </w:trPr>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jc w:val="center"/>
              <w:ind w:left="1270"/>
              <w:spacing w:after="0"/>
              <w:rPr>
                <w:sz w:val="20"/>
                <w:szCs w:val="20"/>
                <w:color w:val="auto"/>
              </w:rPr>
            </w:pPr>
            <w:r>
              <w:rPr>
                <w:rFonts w:ascii="Arial" w:cs="Arial" w:eastAsia="Arial" w:hAnsi="Arial"/>
                <w:sz w:val="18"/>
                <w:szCs w:val="18"/>
                <w:color w:val="auto"/>
                <w:w w:val="79"/>
              </w:rPr>
              <w:t>8</w:t>
            </w: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00" w:type="dxa"/>
            <w:vAlign w:val="bottom"/>
            <w:gridSpan w:val="2"/>
          </w:tcPr>
          <w:p>
            <w:pPr>
              <w:ind w:left="720"/>
              <w:spacing w:after="0"/>
              <w:rPr>
                <w:sz w:val="20"/>
                <w:szCs w:val="20"/>
                <w:color w:val="auto"/>
              </w:rPr>
            </w:pPr>
            <w:r>
              <w:rPr>
                <w:rFonts w:ascii="Arial" w:cs="Arial" w:eastAsia="Arial" w:hAnsi="Arial"/>
                <w:sz w:val="18"/>
                <w:szCs w:val="18"/>
                <w:b w:val="1"/>
                <w:bCs w:val="1"/>
                <w:color w:val="auto"/>
              </w:rPr>
              <w:t>METAL</w:t>
            </w:r>
          </w:p>
        </w:tc>
        <w:tc>
          <w:tcPr>
            <w:tcW w:w="5700" w:type="dxa"/>
            <w:vAlign w:val="bottom"/>
            <w:gridSpan w:val="2"/>
          </w:tcPr>
          <w:p>
            <w:pPr>
              <w:ind w:left="1440"/>
              <w:spacing w:after="0"/>
              <w:rPr>
                <w:sz w:val="20"/>
                <w:szCs w:val="20"/>
                <w:color w:val="auto"/>
              </w:rPr>
            </w:pPr>
            <w:r>
              <w:rPr>
                <w:rFonts w:ascii="Arial" w:cs="Arial" w:eastAsia="Arial" w:hAnsi="Arial"/>
                <w:sz w:val="18"/>
                <w:szCs w:val="18"/>
                <w:b w:val="1"/>
                <w:bCs w:val="1"/>
                <w:color w:val="auto"/>
              </w:rPr>
              <w:t>SMELTER OR REFINER NAME</w:t>
            </w:r>
          </w:p>
        </w:tc>
        <w:tc>
          <w:tcPr>
            <w:tcW w:w="3420" w:type="dxa"/>
            <w:vAlign w:val="bottom"/>
          </w:tcPr>
          <w:p>
            <w:pPr>
              <w:ind w:left="220"/>
              <w:spacing w:after="0"/>
              <w:rPr>
                <w:sz w:val="20"/>
                <w:szCs w:val="20"/>
                <w:color w:val="auto"/>
              </w:rPr>
            </w:pPr>
            <w:r>
              <w:rPr>
                <w:rFonts w:ascii="Arial" w:cs="Arial" w:eastAsia="Arial" w:hAnsi="Arial"/>
                <w:sz w:val="18"/>
                <w:szCs w:val="18"/>
                <w:b w:val="1"/>
                <w:bCs w:val="1"/>
                <w:color w:val="auto"/>
              </w:rPr>
              <w:t>SMELTER OR REFINER COUNTRY</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22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Kyrgyzaltyn JSC</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KYRGYZSTAN</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L’azurde Company For Jewelry</w:t>
            </w:r>
          </w:p>
        </w:tc>
        <w:tc>
          <w:tcPr>
            <w:tcW w:w="3420" w:type="dxa"/>
            <w:vAlign w:val="bottom"/>
          </w:tcPr>
          <w:p>
            <w:pPr>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Lingbao Gold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Lingbao Jinyuan Tonghui Refinery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LS-NIKKO Copper Inc.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Luoyang Zijin Yinhui Gold Refinery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Materion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Matsuda Sangyo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Metalor Technologies (Suzhou)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Metalor Technologies (Hong Kong) Ltd.</w:t>
            </w:r>
          </w:p>
        </w:tc>
        <w:tc>
          <w:tcPr>
            <w:tcW w:w="342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Metalor Technologies (Singapore) Pte.,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Metalor Technologies S.A.</w:t>
            </w:r>
          </w:p>
        </w:tc>
        <w:tc>
          <w:tcPr>
            <w:tcW w:w="3420" w:type="dxa"/>
            <w:vAlign w:val="bottom"/>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Metalor USA Refining Corporation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Metalurgica Met-Mex Penoles S.A. De C.V.</w:t>
            </w:r>
          </w:p>
        </w:tc>
        <w:tc>
          <w:tcPr>
            <w:tcW w:w="342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Materials Corporation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Mitsui Mining and Smelting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Moscow Special Alloys Processing Plant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Nadir Metal Rafineri San. Ve Tic. A.?.</w:t>
            </w:r>
          </w:p>
        </w:tc>
        <w:tc>
          <w:tcPr>
            <w:tcW w:w="3420" w:type="dxa"/>
            <w:vAlign w:val="bottom"/>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Navoi Mining and Metallurgical Combinat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Nihon Material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Elemetal Refining, LLC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Ohura Precious Metal Industry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02"/>
        </w:trPr>
        <w:tc>
          <w:tcPr>
            <w:tcW w:w="2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OJSC “The Gulidov Krasnoyarsk Non-Ferrous Metals</w:t>
            </w:r>
          </w:p>
        </w:tc>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122"/>
        </w:trPr>
        <w:tc>
          <w:tcPr>
            <w:tcW w:w="2300" w:type="dxa"/>
            <w:vAlign w:val="bottom"/>
            <w:gridSpan w:val="2"/>
            <w:vMerge w:val="continue"/>
            <w:shd w:val="clear" w:color="auto" w:fill="CCEEFF"/>
          </w:tcPr>
          <w:p>
            <w:pPr>
              <w:spacing w:after="0"/>
              <w:rPr>
                <w:sz w:val="10"/>
                <w:szCs w:val="10"/>
                <w:color w:val="auto"/>
              </w:rPr>
            </w:pPr>
          </w:p>
        </w:tc>
        <w:tc>
          <w:tcPr>
            <w:tcW w:w="5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Plant” (OJSC Krastsvetmet)</w:t>
            </w:r>
          </w:p>
        </w:tc>
        <w:tc>
          <w:tcPr>
            <w:tcW w:w="3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700" w:type="dxa"/>
            <w:vAlign w:val="bottom"/>
            <w:gridSpan w:val="2"/>
            <w:vMerge w:val="continue"/>
            <w:shd w:val="clear" w:color="auto" w:fill="CCEEFF"/>
          </w:tcPr>
          <w:p>
            <w:pPr>
              <w:spacing w:after="0"/>
              <w:rPr>
                <w:sz w:val="9"/>
                <w:szCs w:val="9"/>
                <w:color w:val="auto"/>
              </w:rPr>
            </w:pPr>
          </w:p>
        </w:tc>
        <w:tc>
          <w:tcPr>
            <w:tcW w:w="3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PAMP S.A.</w:t>
            </w:r>
          </w:p>
        </w:tc>
        <w:tc>
          <w:tcPr>
            <w:tcW w:w="3420" w:type="dxa"/>
            <w:vAlign w:val="bottom"/>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Penglai Penggang Gold Industry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Prioksky Plant of Non-Ferrous Metals</w:t>
            </w:r>
          </w:p>
        </w:tc>
        <w:tc>
          <w:tcPr>
            <w:tcW w:w="3420" w:type="dxa"/>
            <w:vAlign w:val="bottom"/>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Aneka Tambang (Persero) Tbk</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PX Precinox S.A.</w:t>
            </w:r>
          </w:p>
        </w:tc>
        <w:tc>
          <w:tcPr>
            <w:tcW w:w="3420" w:type="dxa"/>
            <w:vAlign w:val="bottom"/>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 Refinery (Pty)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Royal Canadian Mint</w:t>
            </w:r>
          </w:p>
        </w:tc>
        <w:tc>
          <w:tcPr>
            <w:tcW w:w="3420" w:type="dxa"/>
            <w:vAlign w:val="bottom"/>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Sabin Metal Corp.</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Samduck Precious Metals</w:t>
            </w:r>
          </w:p>
        </w:tc>
        <w:tc>
          <w:tcPr>
            <w:tcW w:w="3420" w:type="dxa"/>
            <w:vAlign w:val="bottom"/>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SAMWON Metals Corp.</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Schone Edelmetaal B.V.</w:t>
            </w:r>
          </w:p>
        </w:tc>
        <w:tc>
          <w:tcPr>
            <w:tcW w:w="342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SEMPSA Joyeria Plateria S.A.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Shandong Tiancheng Biological Gold Industrial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Shandong Zhaojin Gold &amp; Silver Refinery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Sichuan Tianze Precious Metals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 Accurate Group, Inc.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SOE Shyolkovsky Factory of Secondary Precious Metals</w:t>
            </w:r>
          </w:p>
        </w:tc>
        <w:tc>
          <w:tcPr>
            <w:tcW w:w="3420" w:type="dxa"/>
            <w:vAlign w:val="bottom"/>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Solar Applied Materials Technology Corp.</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Sumitomo Metal Mining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Tanaka Kikinzoku Kogyo K.K.</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The Great Wall Gold and Silver Refinery of China</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Shandong Gold Mine(Laizhou) Smelter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Tokuriki Honten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Tongling Nonferrous Metals Group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Torecom</w:t>
            </w:r>
          </w:p>
        </w:tc>
        <w:tc>
          <w:tcPr>
            <w:tcW w:w="3420" w:type="dxa"/>
            <w:vAlign w:val="bottom"/>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Umicore Brasil Ltda.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Umicore S.A. Business Unit Precious Metals Refining</w:t>
            </w:r>
          </w:p>
        </w:tc>
        <w:tc>
          <w:tcPr>
            <w:tcW w:w="3420" w:type="dxa"/>
            <w:vAlign w:val="bottom"/>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Precious Metal Refining, Inc.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Valcambi S.A.</w:t>
            </w:r>
          </w:p>
        </w:tc>
        <w:tc>
          <w:tcPr>
            <w:tcW w:w="3420" w:type="dxa"/>
            <w:vAlign w:val="bottom"/>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Australian Mint (T/a The Perth Mint)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Yamamoto Precious Metal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Yokohama Metal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China Henan Zhongyuan Gold Smelter</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Zijin Mining Group Co., Ltd. Gold Refinery</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Morris and Watson</w:t>
            </w:r>
          </w:p>
        </w:tc>
        <w:tc>
          <w:tcPr>
            <w:tcW w:w="3420" w:type="dxa"/>
            <w:vAlign w:val="bottom"/>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SAFINA A.S.</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Guangdong Jinding Gold Limited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Umicore Precious Metals Thailand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682"/>
        </w:trPr>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ind w:left="338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968"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00" w:type="dxa"/>
            <w:vAlign w:val="bottom"/>
            <w:gridSpan w:val="2"/>
          </w:tcPr>
          <w:p>
            <w:pPr>
              <w:ind w:left="720"/>
              <w:spacing w:after="0"/>
              <w:rPr>
                <w:sz w:val="20"/>
                <w:szCs w:val="20"/>
                <w:color w:val="auto"/>
              </w:rPr>
            </w:pPr>
            <w:r>
              <w:rPr>
                <w:rFonts w:ascii="Arial" w:cs="Arial" w:eastAsia="Arial" w:hAnsi="Arial"/>
                <w:sz w:val="18"/>
                <w:szCs w:val="18"/>
                <w:b w:val="1"/>
                <w:bCs w:val="1"/>
                <w:color w:val="auto"/>
              </w:rPr>
              <w:t>METAL</w:t>
            </w:r>
          </w:p>
        </w:tc>
        <w:tc>
          <w:tcPr>
            <w:tcW w:w="5700" w:type="dxa"/>
            <w:vAlign w:val="bottom"/>
            <w:gridSpan w:val="2"/>
          </w:tcPr>
          <w:p>
            <w:pPr>
              <w:ind w:left="1440"/>
              <w:spacing w:after="0"/>
              <w:rPr>
                <w:sz w:val="20"/>
                <w:szCs w:val="20"/>
                <w:color w:val="auto"/>
              </w:rPr>
            </w:pPr>
            <w:r>
              <w:rPr>
                <w:rFonts w:ascii="Arial" w:cs="Arial" w:eastAsia="Arial" w:hAnsi="Arial"/>
                <w:sz w:val="18"/>
                <w:szCs w:val="18"/>
                <w:b w:val="1"/>
                <w:bCs w:val="1"/>
                <w:color w:val="auto"/>
              </w:rPr>
              <w:t>SMELTER OR REFINER NAME</w:t>
            </w:r>
          </w:p>
        </w:tc>
        <w:tc>
          <w:tcPr>
            <w:tcW w:w="3420" w:type="dxa"/>
            <w:vAlign w:val="bottom"/>
          </w:tcPr>
          <w:p>
            <w:pPr>
              <w:ind w:left="220"/>
              <w:spacing w:after="0"/>
              <w:rPr>
                <w:sz w:val="20"/>
                <w:szCs w:val="20"/>
                <w:color w:val="auto"/>
              </w:rPr>
            </w:pPr>
            <w:r>
              <w:rPr>
                <w:rFonts w:ascii="Arial" w:cs="Arial" w:eastAsia="Arial" w:hAnsi="Arial"/>
                <w:sz w:val="18"/>
                <w:szCs w:val="18"/>
                <w:b w:val="1"/>
                <w:bCs w:val="1"/>
                <w:color w:val="auto"/>
              </w:rPr>
              <w:t>SMELTER OR REFINER COUNTRY</w:t>
            </w: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22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ITALY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Geib Refining Corporation</w:t>
            </w:r>
          </w:p>
        </w:tc>
        <w:tc>
          <w:tcPr>
            <w:tcW w:w="342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MMTC-PAMP India Pvt.,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Republic Metals Corporation</w:t>
            </w:r>
          </w:p>
        </w:tc>
        <w:tc>
          <w:tcPr>
            <w:tcW w:w="342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KGHM Polska Mied? Sp??ka Akcyjna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Fidelity Printers and Refiners Ltd.</w:t>
            </w:r>
          </w:p>
        </w:tc>
        <w:tc>
          <w:tcPr>
            <w:tcW w:w="3420" w:type="dxa"/>
            <w:vAlign w:val="bottom"/>
          </w:tcPr>
          <w:p>
            <w:pPr>
              <w:spacing w:after="0"/>
              <w:rPr>
                <w:sz w:val="20"/>
                <w:szCs w:val="20"/>
                <w:color w:val="auto"/>
              </w:rPr>
            </w:pPr>
            <w:r>
              <w:rPr>
                <w:rFonts w:ascii="Arial" w:cs="Arial" w:eastAsia="Arial" w:hAnsi="Arial"/>
                <w:sz w:val="18"/>
                <w:szCs w:val="18"/>
                <w:color w:val="auto"/>
              </w:rPr>
              <w:t>ZIMBABWE</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Singway Technology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Al Etihad Gold Refinery DMCC</w:t>
            </w:r>
          </w:p>
        </w:tc>
        <w:tc>
          <w:tcPr>
            <w:tcW w:w="342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Emirates Gold DMCC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Kaloti Precious Metals</w:t>
            </w:r>
          </w:p>
        </w:tc>
        <w:tc>
          <w:tcPr>
            <w:tcW w:w="342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Sudan Gold Refinery</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SUDAN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T.C.A S.p.A</w:t>
            </w:r>
          </w:p>
        </w:tc>
        <w:tc>
          <w:tcPr>
            <w:tcW w:w="342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Remondis Argentia B.V.</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Tony Goetz NV</w:t>
            </w:r>
          </w:p>
        </w:tc>
        <w:tc>
          <w:tcPr>
            <w:tcW w:w="342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Korea Zinc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Marsam Metals</w:t>
            </w: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TOO Tau-Ken-Altyn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KAZAKHSTAN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Abington Reldan Metals, LLC</w:t>
            </w:r>
          </w:p>
        </w:tc>
        <w:tc>
          <w:tcPr>
            <w:tcW w:w="342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SAAMP</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L’Orfebre S.A.</w:t>
            </w:r>
          </w:p>
        </w:tc>
        <w:tc>
          <w:tcPr>
            <w:tcW w:w="3420" w:type="dxa"/>
            <w:vAlign w:val="bottom"/>
          </w:tcPr>
          <w:p>
            <w:pPr>
              <w:spacing w:after="0"/>
              <w:rPr>
                <w:sz w:val="20"/>
                <w:szCs w:val="20"/>
                <w:color w:val="auto"/>
              </w:rPr>
            </w:pPr>
            <w:r>
              <w:rPr>
                <w:rFonts w:ascii="Arial" w:cs="Arial" w:eastAsia="Arial" w:hAnsi="Arial"/>
                <w:sz w:val="18"/>
                <w:szCs w:val="18"/>
                <w:color w:val="auto"/>
              </w:rPr>
              <w:t>ANDORRA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Italpreziosi</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SAXONIA Edelmetalle GmbH</w:t>
            </w:r>
          </w:p>
        </w:tc>
        <w:tc>
          <w:tcPr>
            <w:tcW w:w="34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WIELAND Edelmetalle GmbH</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?gussa ?sterreichische Gold- und Silber-Scheideanstalt GmbH</w:t>
            </w:r>
          </w:p>
        </w:tc>
        <w:tc>
          <w:tcPr>
            <w:tcW w:w="342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 Traders and Refiners</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GCC Gujrat Gold Centre Pvt. Ltd.</w:t>
            </w:r>
          </w:p>
        </w:tc>
        <w:tc>
          <w:tcPr>
            <w:tcW w:w="342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Sai Refinery</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Universal Precious Metals Refining Zambia</w:t>
            </w:r>
          </w:p>
        </w:tc>
        <w:tc>
          <w:tcPr>
            <w:tcW w:w="3420" w:type="dxa"/>
            <w:vAlign w:val="bottom"/>
          </w:tcPr>
          <w:p>
            <w:pPr>
              <w:spacing w:after="0"/>
              <w:rPr>
                <w:sz w:val="20"/>
                <w:szCs w:val="20"/>
                <w:color w:val="auto"/>
              </w:rPr>
            </w:pPr>
            <w:r>
              <w:rPr>
                <w:rFonts w:ascii="Arial" w:cs="Arial" w:eastAsia="Arial" w:hAnsi="Arial"/>
                <w:sz w:val="18"/>
                <w:szCs w:val="18"/>
                <w:color w:val="auto"/>
              </w:rPr>
              <w:t>ZAMBIA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Modeltech Sdn Bhd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Bangalore Refinery</w:t>
            </w:r>
          </w:p>
        </w:tc>
        <w:tc>
          <w:tcPr>
            <w:tcW w:w="342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Kyshtym Copper-Electrolytic Plant ZAO</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Morris and Watson Gold Coast</w:t>
            </w:r>
          </w:p>
        </w:tc>
        <w:tc>
          <w:tcPr>
            <w:tcW w:w="342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Degussa Sonne / Mond Goldhandel GmbH</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Pease &amp; Curren</w:t>
            </w:r>
          </w:p>
        </w:tc>
        <w:tc>
          <w:tcPr>
            <w:tcW w:w="342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SungEel HiTech</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Planta Recuperadora de Metales SpA</w:t>
            </w:r>
          </w:p>
        </w:tc>
        <w:tc>
          <w:tcPr>
            <w:tcW w:w="3420" w:type="dxa"/>
            <w:vAlign w:val="bottom"/>
          </w:tcPr>
          <w:p>
            <w:pPr>
              <w:spacing w:after="0"/>
              <w:rPr>
                <w:sz w:val="20"/>
                <w:szCs w:val="20"/>
                <w:color w:val="auto"/>
              </w:rPr>
            </w:pPr>
            <w:r>
              <w:rPr>
                <w:rFonts w:ascii="Arial" w:cs="Arial" w:eastAsia="Arial" w:hAnsi="Arial"/>
                <w:sz w:val="18"/>
                <w:szCs w:val="18"/>
                <w:color w:val="auto"/>
              </w:rPr>
              <w:t>CHILE</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Safimet S.p.A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State Research Institute Center for Physical Sciences and Technology</w:t>
            </w:r>
          </w:p>
        </w:tc>
        <w:tc>
          <w:tcPr>
            <w:tcW w:w="3420" w:type="dxa"/>
            <w:vAlign w:val="bottom"/>
          </w:tcPr>
          <w:p>
            <w:pPr>
              <w:spacing w:after="0"/>
              <w:rPr>
                <w:sz w:val="20"/>
                <w:szCs w:val="20"/>
                <w:color w:val="auto"/>
              </w:rPr>
            </w:pPr>
            <w:r>
              <w:rPr>
                <w:rFonts w:ascii="Arial" w:cs="Arial" w:eastAsia="Arial" w:hAnsi="Arial"/>
                <w:sz w:val="18"/>
                <w:szCs w:val="18"/>
                <w:color w:val="auto"/>
              </w:rPr>
              <w:t>LITHUANIA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African Gold Refinery</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UGANDA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NH Recytech Company</w:t>
            </w:r>
          </w:p>
        </w:tc>
        <w:tc>
          <w:tcPr>
            <w:tcW w:w="342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DS PRETECH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KAZAKHSTAN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HwaSeong CJ Co., Ltd.</w:t>
            </w:r>
          </w:p>
        </w:tc>
        <w:tc>
          <w:tcPr>
            <w:tcW w:w="342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Sabin Metal Corp.</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Samwon Metals Corp.</w:t>
            </w:r>
          </w:p>
        </w:tc>
        <w:tc>
          <w:tcPr>
            <w:tcW w:w="342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 Accurate Group, Inc.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TAIWAN, PROVINCE OF 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Asaka Riken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Changsha South Tantalum Niobium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Conghua Tantalum and Niobium Smeltry</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Duoluoshan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Exotech Inc.</w:t>
            </w:r>
          </w:p>
        </w:tc>
        <w:tc>
          <w:tcPr>
            <w:tcW w:w="342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F&amp;X Electro-Materials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Guangdong Zhiyuan New Material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Hi-Temp Specialty Metals, Inc.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JiuJiang JinXin Nonferrous Metals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668"/>
        </w:trPr>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gridSpan w:val="2"/>
          </w:tcPr>
          <w:p>
            <w:pPr>
              <w:ind w:left="720"/>
              <w:spacing w:after="0"/>
              <w:rPr>
                <w:sz w:val="20"/>
                <w:szCs w:val="20"/>
                <w:color w:val="auto"/>
              </w:rPr>
            </w:pPr>
            <w:r>
              <w:rPr>
                <w:rFonts w:ascii="Arial" w:cs="Arial" w:eastAsia="Arial" w:hAnsi="Arial"/>
                <w:sz w:val="18"/>
                <w:szCs w:val="18"/>
                <w:b w:val="1"/>
                <w:bCs w:val="1"/>
                <w:color w:val="auto"/>
              </w:rPr>
              <w:t>METAL</w:t>
            </w:r>
          </w:p>
        </w:tc>
        <w:tc>
          <w:tcPr>
            <w:tcW w:w="5700" w:type="dxa"/>
            <w:vAlign w:val="bottom"/>
            <w:gridSpan w:val="2"/>
          </w:tcPr>
          <w:p>
            <w:pPr>
              <w:ind w:left="1440"/>
              <w:spacing w:after="0"/>
              <w:rPr>
                <w:sz w:val="20"/>
                <w:szCs w:val="20"/>
                <w:color w:val="auto"/>
              </w:rPr>
            </w:pPr>
            <w:r>
              <w:rPr>
                <w:rFonts w:ascii="Arial" w:cs="Arial" w:eastAsia="Arial" w:hAnsi="Arial"/>
                <w:sz w:val="18"/>
                <w:szCs w:val="18"/>
                <w:b w:val="1"/>
                <w:bCs w:val="1"/>
                <w:color w:val="auto"/>
              </w:rPr>
              <w:t>SMELTER OR REFINER NAME</w:t>
            </w:r>
          </w:p>
        </w:tc>
        <w:tc>
          <w:tcPr>
            <w:tcW w:w="3420" w:type="dxa"/>
            <w:vAlign w:val="bottom"/>
          </w:tcPr>
          <w:p>
            <w:pPr>
              <w:ind w:left="22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Tantalum</w:t>
            </w:r>
          </w:p>
        </w:tc>
        <w:tc>
          <w:tcPr>
            <w:tcW w:w="22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Jiujiang Nonferrous Metals Smelting Company Limited</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King-Tan Tantalum Industry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LSM Brasil S.A.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Metallurgical Products India Pvt., Ltd.</w:t>
            </w:r>
          </w:p>
        </w:tc>
        <w:tc>
          <w:tcPr>
            <w:tcW w:w="342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Mineracao Taboca S.A.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Mitsui Mining and Smelting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NPM Silmet AS</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ESTONIA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Ningxia Orient Tantalum Industry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QuantumClean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RFH Tantalum Smeltry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Solikamsk Magnesium Works OAO</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Taki Chemical Co.,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Telex Metals</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Ulba Metallurgical Plant JSC</w:t>
            </w:r>
          </w:p>
        </w:tc>
        <w:tc>
          <w:tcPr>
            <w:tcW w:w="3420" w:type="dxa"/>
            <w:vAlign w:val="bottom"/>
          </w:tcPr>
          <w:p>
            <w:pPr>
              <w:spacing w:after="0"/>
              <w:rPr>
                <w:sz w:val="20"/>
                <w:szCs w:val="20"/>
                <w:color w:val="auto"/>
              </w:rPr>
            </w:pPr>
            <w:r>
              <w:rPr>
                <w:rFonts w:ascii="Arial" w:cs="Arial" w:eastAsia="Arial" w:hAnsi="Arial"/>
                <w:sz w:val="18"/>
                <w:szCs w:val="18"/>
                <w:color w:val="auto"/>
              </w:rPr>
              <w:t>KAZAKHSTAN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Zhuzhou Cemented Carbide Group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Yichun Jin Yang Rare Metal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Hengyang King Xing Lifeng New Materials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D Block Metals, LLC</w:t>
            </w:r>
          </w:p>
        </w:tc>
        <w:tc>
          <w:tcPr>
            <w:tcW w:w="342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 Metals &amp; Resource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Jiujiang Zhongao Tantalum &amp; Niobium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XinXing HaoRong Electronic Material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Jiangxi Dinghai Tantalum &amp; Niobium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KEMET Blue Metals</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H.C. Starck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H.C. Starck Tantalum and Niobium GmbH</w:t>
            </w:r>
          </w:p>
        </w:tc>
        <w:tc>
          <w:tcPr>
            <w:tcW w:w="34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H.C. Starck Hermsdorf GmbH</w:t>
            </w:r>
          </w:p>
        </w:tc>
        <w:tc>
          <w:tcPr>
            <w:tcW w:w="34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H.C. Starck Inc.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H.C. Starck Ltd.</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H.C. Starck Smelting GmbH &amp; Co. KG</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Advanced Metals Boyertown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Global Advanced Metals Aizu</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KEMET Blue Powder</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Tranzact, Inc.</w:t>
            </w:r>
          </w:p>
        </w:tc>
        <w:tc>
          <w:tcPr>
            <w:tcW w:w="342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Resind Industria e Comercio Ltda.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Jiangxi Tuohong New Raw Material</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02"/>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Power Resources Ltd.</w:t>
            </w: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MACEDONIA, THE FORMER YUGOSLAV</w:t>
            </w:r>
          </w:p>
        </w:tc>
      </w:tr>
      <w:tr>
        <w:trPr>
          <w:trHeight w:val="230"/>
        </w:trPr>
        <w:tc>
          <w:tcPr>
            <w:tcW w:w="2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REPUBLIC OF</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tcPr>
          <w:p>
            <w:pPr>
              <w:spacing w:after="0"/>
              <w:rPr>
                <w:sz w:val="20"/>
                <w:szCs w:val="20"/>
                <w:color w:val="auto"/>
              </w:rPr>
            </w:pPr>
            <w:r>
              <w:rPr>
                <w:rFonts w:ascii="Arial" w:cs="Arial" w:eastAsia="Arial" w:hAnsi="Arial"/>
                <w:sz w:val="18"/>
                <w:szCs w:val="18"/>
                <w:color w:val="auto"/>
              </w:rPr>
              <w:t>Jiujiang Janny New Material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Chenzhou Yunxiang Mining and Metallurgy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Rare Metal Material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CNMC (Guangxi) PGMA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Alent plc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Cooper Santa</w:t>
            </w: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 Gita Pesona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CV Justindo</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Aries Kencana Sejahtera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CV Serumpun Sebalai</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 United Smelting</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Dowa</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 Vinto</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BOLIVIA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Estanho de Rond?nia S.A.</w:t>
            </w: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Fenix Metals</w:t>
            </w:r>
          </w:p>
        </w:tc>
        <w:tc>
          <w:tcPr>
            <w:tcW w:w="342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Gejiu Non-Ferrous Metal Processing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Gejiu Zili Mining And Metallurgy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Huichang Jinshunda Tin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Gejiu Kai Meng Industry and Trade LLC</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682"/>
        </w:trPr>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981"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gridSpan w:val="2"/>
          </w:tcPr>
          <w:p>
            <w:pPr>
              <w:ind w:left="740"/>
              <w:spacing w:after="0"/>
              <w:rPr>
                <w:sz w:val="20"/>
                <w:szCs w:val="20"/>
                <w:color w:val="auto"/>
              </w:rPr>
            </w:pPr>
            <w:r>
              <w:rPr>
                <w:rFonts w:ascii="Arial" w:cs="Arial" w:eastAsia="Arial" w:hAnsi="Arial"/>
                <w:sz w:val="18"/>
                <w:szCs w:val="18"/>
                <w:b w:val="1"/>
                <w:bCs w:val="1"/>
                <w:color w:val="auto"/>
              </w:rPr>
              <w:t>METAL</w:t>
            </w:r>
          </w:p>
        </w:tc>
        <w:tc>
          <w:tcPr>
            <w:tcW w:w="5700" w:type="dxa"/>
            <w:vAlign w:val="bottom"/>
            <w:gridSpan w:val="2"/>
          </w:tcPr>
          <w:p>
            <w:pPr>
              <w:ind w:left="1440"/>
              <w:spacing w:after="0"/>
              <w:rPr>
                <w:sz w:val="20"/>
                <w:szCs w:val="20"/>
                <w:color w:val="auto"/>
              </w:rPr>
            </w:pPr>
            <w:r>
              <w:rPr>
                <w:rFonts w:ascii="Arial" w:cs="Arial" w:eastAsia="Arial" w:hAnsi="Arial"/>
                <w:sz w:val="18"/>
                <w:szCs w:val="18"/>
                <w:b w:val="1"/>
                <w:bCs w:val="1"/>
                <w:color w:val="auto"/>
              </w:rPr>
              <w:t>SMELTER OR REFINER NAME</w:t>
            </w:r>
          </w:p>
        </w:tc>
        <w:tc>
          <w:tcPr>
            <w:tcW w:w="3420" w:type="dxa"/>
            <w:vAlign w:val="bottom"/>
          </w:tcPr>
          <w:p>
            <w:pPr>
              <w:ind w:left="22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Tin</w:t>
            </w:r>
          </w:p>
        </w:tc>
        <w:tc>
          <w:tcPr>
            <w:tcW w:w="22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China Tin Co.,Ltd.</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Malaysia Smelting Corporation (MSC)</w:t>
            </w:r>
          </w:p>
        </w:tc>
        <w:tc>
          <w:tcPr>
            <w:tcW w:w="342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Metallic Resources, Inc.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Minera??o Taboca S.A.</w:t>
            </w: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Minsur</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PERU</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Mitsubishi Materials Corporation</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Nankang Nanshan Tin Manufactory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O.M. Manufacturing (Thailand) Co., Ltd.</w:t>
            </w:r>
          </w:p>
        </w:tc>
        <w:tc>
          <w:tcPr>
            <w:tcW w:w="342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Operaciones Metalurgical S.A.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BOLIVIA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Artha Cipta Langgeng</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Babel Inti Perkasa</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Bangka Prima Tin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Bangka Tin Industry</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Belitung Industri Sejahtera</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ATD Makmur Mandiri Jaya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Bukit Timah</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DS Jaya Abadi</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Eunindo Usaha Mandiri</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Karimun Mining</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Mitra Stania Prima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Panca Mega Persada</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Prima Timah Utama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Stanindo Inti Perkasa</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Refined Bangka Tin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Sariwiguna Binasentosa</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Refined Bangka Tin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Stanindo Inti Perkasa</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Sumber Jaya Indah</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Timah (Persero) Tbk Kundur</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Timah (Persero) Tbk Mentok</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Panca Mega Persada</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Tinindo Inter Nusa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Tommy Utama</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Rui Da Hung</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Soft Metais Ltda.</w:t>
            </w: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Thaisarco</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Gejiu Yunxin Nonferrous Electrolysis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VQB Mineral and Trading Group JSC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White Solder Metalurgia e Minera??o Ltda.</w:t>
            </w: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Yunnan Chengfeng</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Yunnan Tin Company Limited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 Venus Inti Perkasa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Magnu’s Minerais Metais e Ligas Ltda.</w:t>
            </w: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Melt Metais e Ligas S.A.</w:t>
            </w: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ATD Makmur Mandiri Jaya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Phoenix Metal Ltd.</w:t>
            </w:r>
          </w:p>
        </w:tc>
        <w:tc>
          <w:tcPr>
            <w:tcW w:w="3420" w:type="dxa"/>
            <w:vAlign w:val="bottom"/>
          </w:tcPr>
          <w:p>
            <w:pPr>
              <w:spacing w:after="0"/>
              <w:rPr>
                <w:sz w:val="20"/>
                <w:szCs w:val="20"/>
                <w:color w:val="auto"/>
              </w:rPr>
            </w:pPr>
            <w:r>
              <w:rPr>
                <w:rFonts w:ascii="Arial" w:cs="Arial" w:eastAsia="Arial" w:hAnsi="Arial"/>
                <w:sz w:val="18"/>
                <w:szCs w:val="18"/>
                <w:color w:val="auto"/>
              </w:rPr>
              <w:t>RWANDA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O.M. Manufacturing Philippines, Inc.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Inti Stania Prima</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 Ayi Jaya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line="201" w:lineRule="exact"/>
              <w:rPr>
                <w:sz w:val="20"/>
                <w:szCs w:val="20"/>
                <w:color w:val="auto"/>
              </w:rPr>
            </w:pPr>
            <w:r>
              <w:rPr>
                <w:rFonts w:ascii="Arial" w:cs="Arial" w:eastAsia="Arial" w:hAnsi="Arial"/>
                <w:sz w:val="18"/>
                <w:szCs w:val="18"/>
                <w:color w:val="auto"/>
              </w:rPr>
              <w:t>Electro-Mechanical Facility of the Cao Bang Minerals &amp;</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VIET NAM</w:t>
            </w:r>
          </w:p>
        </w:tc>
      </w:tr>
      <w:tr>
        <w:trPr>
          <w:trHeight w:val="230"/>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Metallurgy Joint Stock Company</w:t>
            </w:r>
          </w:p>
        </w:tc>
        <w:tc>
          <w:tcPr>
            <w:tcW w:w="3420" w:type="dxa"/>
            <w:vAlign w:val="bottom"/>
          </w:tcPr>
          <w:p>
            <w:pPr>
              <w:spacing w:after="0"/>
              <w:rPr>
                <w:sz w:val="20"/>
                <w:szCs w:val="20"/>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Nghe Tinh Non-Ferrous Metals Joint Stock Company</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Tuyen Quang Non-Ferrous Metals Joint Stock Company</w:t>
            </w:r>
          </w:p>
        </w:tc>
        <w:tc>
          <w:tcPr>
            <w:tcW w:w="3420" w:type="dxa"/>
            <w:vAlign w:val="bottom"/>
          </w:tcPr>
          <w:p>
            <w:pPr>
              <w:spacing w:after="0"/>
              <w:rPr>
                <w:sz w:val="20"/>
                <w:szCs w:val="20"/>
                <w:color w:val="auto"/>
              </w:rPr>
            </w:pPr>
            <w:r>
              <w:rPr>
                <w:rFonts w:ascii="Arial" w:cs="Arial" w:eastAsia="Arial" w:hAnsi="Arial"/>
                <w:sz w:val="18"/>
                <w:szCs w:val="18"/>
                <w:color w:val="auto"/>
              </w:rPr>
              <w:t>VIET NAM</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 Dua Sekawan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CV Tiga Sekawan</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Cipta Persada Mulia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An Vinh Joint Stock Mineral Processing Company</w:t>
            </w:r>
          </w:p>
        </w:tc>
        <w:tc>
          <w:tcPr>
            <w:tcW w:w="3420" w:type="dxa"/>
            <w:vAlign w:val="bottom"/>
          </w:tcPr>
          <w:p>
            <w:pPr>
              <w:spacing w:after="0"/>
              <w:rPr>
                <w:sz w:val="20"/>
                <w:szCs w:val="20"/>
                <w:color w:val="auto"/>
              </w:rPr>
            </w:pPr>
            <w:r>
              <w:rPr>
                <w:rFonts w:ascii="Arial" w:cs="Arial" w:eastAsia="Arial" w:hAnsi="Arial"/>
                <w:sz w:val="18"/>
                <w:szCs w:val="18"/>
                <w:color w:val="auto"/>
              </w:rPr>
              <w:t>VIET NAM</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Resind Ind?stria e Com?rcio Ltda.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682"/>
        </w:trPr>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981"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gridSpan w:val="2"/>
          </w:tcPr>
          <w:p>
            <w:pPr>
              <w:ind w:left="740"/>
              <w:spacing w:after="0"/>
              <w:rPr>
                <w:sz w:val="20"/>
                <w:szCs w:val="20"/>
                <w:color w:val="auto"/>
              </w:rPr>
            </w:pPr>
            <w:r>
              <w:rPr>
                <w:rFonts w:ascii="Arial" w:cs="Arial" w:eastAsia="Arial" w:hAnsi="Arial"/>
                <w:sz w:val="18"/>
                <w:szCs w:val="18"/>
                <w:b w:val="1"/>
                <w:bCs w:val="1"/>
                <w:color w:val="auto"/>
              </w:rPr>
              <w:t>METAL</w:t>
            </w:r>
          </w:p>
        </w:tc>
        <w:tc>
          <w:tcPr>
            <w:tcW w:w="5700" w:type="dxa"/>
            <w:vAlign w:val="bottom"/>
            <w:gridSpan w:val="2"/>
          </w:tcPr>
          <w:p>
            <w:pPr>
              <w:ind w:left="1440"/>
              <w:spacing w:after="0"/>
              <w:rPr>
                <w:sz w:val="20"/>
                <w:szCs w:val="20"/>
                <w:color w:val="auto"/>
              </w:rPr>
            </w:pPr>
            <w:r>
              <w:rPr>
                <w:rFonts w:ascii="Arial" w:cs="Arial" w:eastAsia="Arial" w:hAnsi="Arial"/>
                <w:sz w:val="18"/>
                <w:szCs w:val="18"/>
                <w:b w:val="1"/>
                <w:bCs w:val="1"/>
                <w:color w:val="auto"/>
              </w:rPr>
              <w:t>SMELTER OR REFINER NAME</w:t>
            </w:r>
          </w:p>
        </w:tc>
        <w:tc>
          <w:tcPr>
            <w:tcW w:w="3420" w:type="dxa"/>
            <w:vAlign w:val="bottom"/>
          </w:tcPr>
          <w:p>
            <w:pPr>
              <w:ind w:left="22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Tin</w:t>
            </w:r>
          </w:p>
        </w:tc>
        <w:tc>
          <w:tcPr>
            <w:tcW w:w="22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Super Ligas</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O.M. Indonesia</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Metallo-Chimique N.V.</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Elmet S.L.U.</w:t>
            </w:r>
          </w:p>
        </w:tc>
        <w:tc>
          <w:tcPr>
            <w:tcW w:w="342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Bangka Prima Tin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Sukses Inti Makmur</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Thai Minerals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PT Kijang Jaya Mandiri</w:t>
            </w:r>
          </w:p>
        </w:tc>
        <w:tc>
          <w:tcPr>
            <w:tcW w:w="34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Menara Cipta Mulia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HuiChang Hill Tin Industry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Gejiu Fengming Metallurgy Chemical Plant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Guanyang Guida Nonferrous Metal Smelting Plant</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Modeltech Sdn Bhd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Gejiu Jinye Mineral Company</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Lautan Harmonis Sejahtera</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Guangdong Hanhe Non-Ferrous Metal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 Nang Processing Import and Export Joint Stock</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Chifeng Dajingzi Tin Industry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Bangka Serumpun</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Pongpipat Company Limited</w:t>
            </w:r>
          </w:p>
        </w:tc>
        <w:tc>
          <w:tcPr>
            <w:tcW w:w="3420" w:type="dxa"/>
            <w:vAlign w:val="bottom"/>
          </w:tcPr>
          <w:p>
            <w:pPr>
              <w:spacing w:after="0"/>
              <w:rPr>
                <w:sz w:val="20"/>
                <w:szCs w:val="20"/>
                <w:color w:val="auto"/>
              </w:rPr>
            </w:pPr>
            <w:r>
              <w:rPr>
                <w:rFonts w:ascii="Arial" w:cs="Arial" w:eastAsia="Arial" w:hAnsi="Arial"/>
                <w:sz w:val="18"/>
                <w:szCs w:val="18"/>
                <w:color w:val="auto"/>
              </w:rPr>
              <w:t>MYANMAR</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BOLIVIA (PLURINATIONAL STATE OF)</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yet identified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A.L.M.T. TUNGSTEN Corp.</w:t>
            </w:r>
          </w:p>
        </w:tc>
        <w:tc>
          <w:tcPr>
            <w:tcW w:w="34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Kennametal Huntsville</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Guangdong Xianglu Tungsten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Chongyi Zhangyuan Tungsten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Dayu Weiliang Tungsten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Fujian Jinxin Tungsten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Global Tungsten &amp; Powders Corp.</w:t>
            </w:r>
          </w:p>
        </w:tc>
        <w:tc>
          <w:tcPr>
            <w:tcW w:w="342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Hunan Chenzhou Mining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Hunan Chunchang Nonferrous Metals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 New Metals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Ganzhou Huaxing Tungsten Products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Kennametal Fallon</w:t>
            </w:r>
          </w:p>
        </w:tc>
        <w:tc>
          <w:tcPr>
            <w:tcW w:w="342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Tejing (Vietnam) Tungsten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Vietnam Youngsun Tungsten Industry Co., Ltd.</w:t>
            </w:r>
          </w:p>
        </w:tc>
        <w:tc>
          <w:tcPr>
            <w:tcW w:w="3420" w:type="dxa"/>
            <w:vAlign w:val="bottom"/>
          </w:tcPr>
          <w:p>
            <w:pPr>
              <w:spacing w:after="0"/>
              <w:rPr>
                <w:sz w:val="20"/>
                <w:szCs w:val="20"/>
                <w:color w:val="auto"/>
              </w:rPr>
            </w:pPr>
            <w:r>
              <w:rPr>
                <w:rFonts w:ascii="Arial" w:cs="Arial" w:eastAsia="Arial" w:hAnsi="Arial"/>
                <w:sz w:val="18"/>
                <w:szCs w:val="18"/>
                <w:color w:val="auto"/>
              </w:rPr>
              <w:t>VIET NAM</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Wolfram Bergbau und Hutten AG</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AUSTRIA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Xiamen Tungsten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Xinhai Rendan Shaoguan Tungsten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Jiangxi Minmetals Gao’an Non-ferrous Metals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Ganzhou Jiangwu Ferrotungsten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Jiangxi Yaosheng Tungsten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Jiangxi Xinsheng Tungsten Industry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line="201" w:lineRule="exact"/>
              <w:rPr>
                <w:sz w:val="20"/>
                <w:szCs w:val="20"/>
                <w:color w:val="auto"/>
              </w:rPr>
            </w:pPr>
            <w:r>
              <w:rPr>
                <w:rFonts w:ascii="Arial" w:cs="Arial" w:eastAsia="Arial" w:hAnsi="Arial"/>
                <w:sz w:val="18"/>
                <w:szCs w:val="18"/>
                <w:color w:val="auto"/>
              </w:rPr>
              <w:t>Jiangxi Tonggu Non-ferrous Metallurgical &amp; Chemical</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CHINA</w:t>
            </w:r>
          </w:p>
        </w:tc>
      </w:tr>
      <w:tr>
        <w:trPr>
          <w:trHeight w:val="230"/>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 Ltd.</w:t>
            </w:r>
          </w:p>
        </w:tc>
        <w:tc>
          <w:tcPr>
            <w:tcW w:w="3420" w:type="dxa"/>
            <w:vAlign w:val="bottom"/>
          </w:tcPr>
          <w:p>
            <w:pPr>
              <w:spacing w:after="0"/>
              <w:rPr>
                <w:sz w:val="20"/>
                <w:szCs w:val="20"/>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Malipo Haiyu Tungsten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Xiamen Tungsten (H.C.)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Jiangxi Gan Bei Tungsten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Ganzhou Seadragon W &amp; Mo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Tungsten Products Vietnam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Chenzhou Diamond Tungsten Products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Jiangxi Xiushui Xianggan Nonferrous Metals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Ganzhou Yatai Tungsten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682"/>
        </w:trPr>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981"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gridSpan w:val="2"/>
          </w:tcPr>
          <w:p>
            <w:pPr>
              <w:ind w:left="740"/>
              <w:spacing w:after="0"/>
              <w:rPr>
                <w:sz w:val="20"/>
                <w:szCs w:val="20"/>
                <w:color w:val="auto"/>
              </w:rPr>
            </w:pPr>
            <w:r>
              <w:rPr>
                <w:rFonts w:ascii="Arial" w:cs="Arial" w:eastAsia="Arial" w:hAnsi="Arial"/>
                <w:sz w:val="18"/>
                <w:szCs w:val="18"/>
                <w:b w:val="1"/>
                <w:bCs w:val="1"/>
                <w:color w:val="auto"/>
              </w:rPr>
              <w:t>METAL</w:t>
            </w:r>
          </w:p>
        </w:tc>
        <w:tc>
          <w:tcPr>
            <w:tcW w:w="5700" w:type="dxa"/>
            <w:vAlign w:val="bottom"/>
            <w:gridSpan w:val="2"/>
          </w:tcPr>
          <w:p>
            <w:pPr>
              <w:ind w:left="1440"/>
              <w:spacing w:after="0"/>
              <w:rPr>
                <w:sz w:val="20"/>
                <w:szCs w:val="20"/>
                <w:color w:val="auto"/>
              </w:rPr>
            </w:pPr>
            <w:r>
              <w:rPr>
                <w:rFonts w:ascii="Arial" w:cs="Arial" w:eastAsia="Arial" w:hAnsi="Arial"/>
                <w:sz w:val="18"/>
                <w:szCs w:val="18"/>
                <w:b w:val="1"/>
                <w:bCs w:val="1"/>
                <w:color w:val="auto"/>
              </w:rPr>
              <w:t>SMELTER OR REFINER NAME</w:t>
            </w:r>
          </w:p>
        </w:tc>
        <w:tc>
          <w:tcPr>
            <w:tcW w:w="3420" w:type="dxa"/>
            <w:vAlign w:val="bottom"/>
          </w:tcPr>
          <w:p>
            <w:pPr>
              <w:ind w:left="220"/>
              <w:spacing w:after="0"/>
              <w:rPr>
                <w:sz w:val="20"/>
                <w:szCs w:val="20"/>
                <w:color w:val="auto"/>
              </w:rPr>
            </w:pPr>
            <w:r>
              <w:rPr>
                <w:rFonts w:ascii="Arial" w:cs="Arial" w:eastAsia="Arial" w:hAnsi="Arial"/>
                <w:sz w:val="18"/>
                <w:szCs w:val="18"/>
                <w:b w:val="1"/>
                <w:bCs w:val="1"/>
                <w:color w:val="auto"/>
              </w:rPr>
              <w:t>SMELTER OR REFINER COUNTRY</w:t>
            </w:r>
          </w:p>
        </w:tc>
        <w:tc>
          <w:tcPr>
            <w:tcW w:w="0" w:type="dxa"/>
            <w:vAlign w:val="bottom"/>
          </w:tcPr>
          <w:p>
            <w:pPr>
              <w:spacing w:after="0"/>
              <w:rPr>
                <w:sz w:val="1"/>
                <w:szCs w:val="1"/>
                <w:color w:val="auto"/>
              </w:rPr>
            </w:pPr>
          </w:p>
        </w:tc>
      </w:tr>
      <w:tr>
        <w:trPr>
          <w:trHeight w:val="216"/>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Tungsten</w:t>
            </w:r>
          </w:p>
        </w:tc>
        <w:tc>
          <w:tcPr>
            <w:tcW w:w="22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H.C. Starck Tungsten GmbH</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H.C. Starck Smelting GmbH &amp; Co. KG</w:t>
            </w:r>
          </w:p>
        </w:tc>
        <w:tc>
          <w:tcPr>
            <w:tcW w:w="3420" w:type="dxa"/>
            <w:vAlign w:val="bottom"/>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Nui Phao H.C. Starck Tungsten Chemicals Manufacturing LLC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Jiangwu H.C. Starck Tungsten Products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Hunan Chuangda Vanadium Tungsten Co., Ltd. Wuji</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Niagara Refining LLC</w:t>
            </w:r>
          </w:p>
        </w:tc>
        <w:tc>
          <w:tcPr>
            <w:tcW w:w="342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Ganzhou Haichuang Tungsten Industry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Jiangxi Dayu Longxintai Tungsten Co., Ltd.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Hydrometallurg, JSC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Unecha Refractory metals plant</w:t>
            </w:r>
          </w:p>
        </w:tc>
        <w:tc>
          <w:tcPr>
            <w:tcW w:w="3420" w:type="dxa"/>
            <w:vAlign w:val="bottom"/>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02"/>
        </w:trPr>
        <w:tc>
          <w:tcPr>
            <w:tcW w:w="2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South-East Nonferrous Metal Company Limited of</w:t>
            </w:r>
          </w:p>
        </w:tc>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22"/>
        </w:trPr>
        <w:tc>
          <w:tcPr>
            <w:tcW w:w="2300" w:type="dxa"/>
            <w:vAlign w:val="bottom"/>
            <w:gridSpan w:val="2"/>
            <w:vMerge w:val="continue"/>
            <w:shd w:val="clear" w:color="auto" w:fill="CCEEFF"/>
          </w:tcPr>
          <w:p>
            <w:pPr>
              <w:spacing w:after="0"/>
              <w:rPr>
                <w:sz w:val="10"/>
                <w:szCs w:val="10"/>
                <w:color w:val="auto"/>
              </w:rPr>
            </w:pPr>
          </w:p>
        </w:tc>
        <w:tc>
          <w:tcPr>
            <w:tcW w:w="5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Hengyang City</w:t>
            </w:r>
          </w:p>
        </w:tc>
        <w:tc>
          <w:tcPr>
            <w:tcW w:w="3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700" w:type="dxa"/>
            <w:vAlign w:val="bottom"/>
            <w:gridSpan w:val="2"/>
            <w:vMerge w:val="continue"/>
            <w:shd w:val="clear" w:color="auto" w:fill="CCEEFF"/>
          </w:tcPr>
          <w:p>
            <w:pPr>
              <w:spacing w:after="0"/>
              <w:rPr>
                <w:sz w:val="9"/>
                <w:szCs w:val="9"/>
                <w:color w:val="auto"/>
              </w:rPr>
            </w:pPr>
          </w:p>
        </w:tc>
        <w:tc>
          <w:tcPr>
            <w:tcW w:w="3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Philippine Chuangxin Industrial Co., Inc.</w:t>
            </w:r>
          </w:p>
        </w:tc>
        <w:tc>
          <w:tcPr>
            <w:tcW w:w="3420" w:type="dxa"/>
            <w:vAlign w:val="bottom"/>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Xinfeng Huarui Tungsten &amp; Molybdenum New Material</w:t>
            </w: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Ltd.</w:t>
            </w:r>
          </w:p>
        </w:tc>
        <w:tc>
          <w:tcPr>
            <w:tcW w:w="3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ACL Metais Eireli</w:t>
            </w:r>
          </w:p>
        </w:tc>
        <w:tc>
          <w:tcPr>
            <w:tcW w:w="3420" w:type="dxa"/>
            <w:vAlign w:val="bottom"/>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Woltech Korea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Moliren Ltd.</w:t>
            </w:r>
          </w:p>
        </w:tc>
        <w:tc>
          <w:tcPr>
            <w:tcW w:w="3420" w:type="dxa"/>
            <w:vAlign w:val="bottom"/>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Hunan Litian Tungsten Industry Co., Ltd.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700" w:type="dxa"/>
            <w:vAlign w:val="bottom"/>
            <w:gridSpan w:val="2"/>
          </w:tcPr>
          <w:p>
            <w:pPr>
              <w:spacing w:after="0"/>
              <w:rPr>
                <w:sz w:val="20"/>
                <w:szCs w:val="20"/>
                <w:color w:val="auto"/>
              </w:rPr>
            </w:pPr>
            <w:r>
              <w:rPr>
                <w:rFonts w:ascii="Arial" w:cs="Arial" w:eastAsia="Arial" w:hAnsi="Arial"/>
                <w:sz w:val="18"/>
                <w:szCs w:val="18"/>
                <w:color w:val="auto"/>
              </w:rPr>
              <w:t>Smelter not listed</w:t>
            </w:r>
          </w:p>
        </w:tc>
        <w:tc>
          <w:tcPr>
            <w:tcW w:w="34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668"/>
        </w:trPr>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76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w w:val="91"/>
              </w:rPr>
              <w:t>Annex 2</w:t>
            </w:r>
          </w:p>
        </w:tc>
        <w:tc>
          <w:tcPr>
            <w:tcW w:w="2720" w:type="dxa"/>
            <w:vAlign w:val="bottom"/>
          </w:tcPr>
          <w:p>
            <w:pPr>
              <w:spacing w:after="0"/>
              <w:rPr>
                <w:sz w:val="20"/>
                <w:szCs w:val="20"/>
                <w:color w:val="auto"/>
              </w:rPr>
            </w:pPr>
          </w:p>
        </w:tc>
      </w:tr>
      <w:tr>
        <w:trPr>
          <w:trHeight w:val="432"/>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60" w:type="dxa"/>
            <w:vAlign w:val="bottom"/>
            <w:gridSpan w:val="4"/>
          </w:tcPr>
          <w:p>
            <w:pPr>
              <w:jc w:val="center"/>
              <w:ind w:right="2220"/>
              <w:spacing w:after="0"/>
              <w:rPr>
                <w:sz w:val="20"/>
                <w:szCs w:val="20"/>
                <w:color w:val="auto"/>
              </w:rPr>
            </w:pPr>
            <w:r>
              <w:rPr>
                <w:rFonts w:ascii="Arial" w:cs="Arial" w:eastAsia="Arial" w:hAnsi="Arial"/>
                <w:sz w:val="18"/>
                <w:szCs w:val="18"/>
                <w:color w:val="auto"/>
                <w:w w:val="95"/>
              </w:rPr>
              <w:t>Country of Origin</w:t>
            </w:r>
          </w:p>
        </w:tc>
        <w:tc>
          <w:tcPr>
            <w:tcW w:w="2720" w:type="dxa"/>
            <w:vAlign w:val="bottom"/>
          </w:tcPr>
          <w:p>
            <w:pPr>
              <w:spacing w:after="0"/>
              <w:rPr>
                <w:sz w:val="24"/>
                <w:szCs w:val="24"/>
                <w:color w:val="auto"/>
              </w:rPr>
            </w:pPr>
          </w:p>
        </w:tc>
      </w:tr>
      <w:tr>
        <w:trPr>
          <w:trHeight w:val="453"/>
        </w:trPr>
        <w:tc>
          <w:tcPr>
            <w:tcW w:w="2980" w:type="dxa"/>
            <w:vAlign w:val="bottom"/>
            <w:gridSpan w:val="2"/>
          </w:tcPr>
          <w:p>
            <w:pPr>
              <w:ind w:left="1120"/>
              <w:spacing w:after="0"/>
              <w:rPr>
                <w:sz w:val="20"/>
                <w:szCs w:val="20"/>
                <w:color w:val="auto"/>
              </w:rPr>
            </w:pPr>
            <w:r>
              <w:rPr>
                <w:rFonts w:ascii="Arial" w:cs="Arial" w:eastAsia="Arial" w:hAnsi="Arial"/>
                <w:sz w:val="18"/>
                <w:szCs w:val="18"/>
                <w:b w:val="1"/>
                <w:bCs w:val="1"/>
                <w:color w:val="auto"/>
              </w:rPr>
              <w:t>GOLD</w:t>
            </w:r>
          </w:p>
        </w:tc>
        <w:tc>
          <w:tcPr>
            <w:tcW w:w="1960" w:type="dxa"/>
            <w:vAlign w:val="bottom"/>
          </w:tcPr>
          <w:p>
            <w:pPr>
              <w:ind w:left="800"/>
              <w:spacing w:after="0"/>
              <w:rPr>
                <w:sz w:val="20"/>
                <w:szCs w:val="20"/>
                <w:color w:val="auto"/>
              </w:rPr>
            </w:pPr>
            <w:r>
              <w:rPr>
                <w:rFonts w:ascii="Arial" w:cs="Arial" w:eastAsia="Arial" w:hAnsi="Arial"/>
                <w:sz w:val="18"/>
                <w:szCs w:val="18"/>
                <w:b w:val="1"/>
                <w:bCs w:val="1"/>
                <w:color w:val="auto"/>
              </w:rPr>
              <w:t>TANTALUM</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2"/>
          </w:tcPr>
          <w:p>
            <w:pPr>
              <w:ind w:left="1160"/>
              <w:spacing w:after="0"/>
              <w:rPr>
                <w:sz w:val="20"/>
                <w:szCs w:val="20"/>
                <w:color w:val="auto"/>
              </w:rPr>
            </w:pPr>
            <w:r>
              <w:rPr>
                <w:rFonts w:ascii="Arial" w:cs="Arial" w:eastAsia="Arial" w:hAnsi="Arial"/>
                <w:sz w:val="18"/>
                <w:szCs w:val="18"/>
                <w:b w:val="1"/>
                <w:bCs w:val="1"/>
                <w:color w:val="auto"/>
              </w:rPr>
              <w:t>TIN</w:t>
            </w:r>
          </w:p>
        </w:tc>
        <w:tc>
          <w:tcPr>
            <w:tcW w:w="2720" w:type="dxa"/>
            <w:vAlign w:val="bottom"/>
          </w:tcPr>
          <w:p>
            <w:pPr>
              <w:ind w:left="860"/>
              <w:spacing w:after="0"/>
              <w:rPr>
                <w:sz w:val="20"/>
                <w:szCs w:val="20"/>
                <w:color w:val="auto"/>
              </w:rPr>
            </w:pPr>
            <w:r>
              <w:rPr>
                <w:rFonts w:ascii="Arial" w:cs="Arial" w:eastAsia="Arial" w:hAnsi="Arial"/>
                <w:sz w:val="18"/>
                <w:szCs w:val="18"/>
                <w:b w:val="1"/>
                <w:bCs w:val="1"/>
                <w:color w:val="auto"/>
              </w:rPr>
              <w:t>TUNGSTEN</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w:t>
            </w:r>
          </w:p>
        </w:tc>
        <w:tc>
          <w:tcPr>
            <w:tcW w:w="2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w:t>
            </w: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INDONESIA</w:t>
            </w:r>
          </w:p>
        </w:tc>
        <w:tc>
          <w:tcPr>
            <w:tcW w:w="2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AFGHANISTAN</w:t>
            </w:r>
          </w:p>
        </w:tc>
        <w:tc>
          <w:tcPr>
            <w:tcW w:w="1960" w:type="dxa"/>
            <w:vAlign w:val="bottom"/>
          </w:tcPr>
          <w:p>
            <w:pPr>
              <w:spacing w:after="0"/>
              <w:rPr>
                <w:sz w:val="20"/>
                <w:szCs w:val="20"/>
                <w:color w:val="auto"/>
              </w:rPr>
            </w:pPr>
            <w:r>
              <w:rPr>
                <w:rFonts w:ascii="Arial" w:cs="Arial" w:eastAsia="Arial" w:hAnsi="Arial"/>
                <w:sz w:val="18"/>
                <w:szCs w:val="18"/>
                <w:color w:val="auto"/>
              </w:rPr>
              <w:t>BOLIVIA</w:t>
            </w:r>
          </w:p>
        </w:tc>
        <w:tc>
          <w:tcPr>
            <w:tcW w:w="680" w:type="dxa"/>
            <w:vAlign w:val="bottom"/>
          </w:tcPr>
          <w:p>
            <w:pPr>
              <w:spacing w:after="0"/>
              <w:rPr>
                <w:sz w:val="18"/>
                <w:szCs w:val="18"/>
                <w:color w:val="auto"/>
              </w:rPr>
            </w:pPr>
          </w:p>
        </w:tc>
        <w:tc>
          <w:tcPr>
            <w:tcW w:w="3080" w:type="dxa"/>
            <w:vAlign w:val="bottom"/>
            <w:gridSpan w:val="3"/>
          </w:tcPr>
          <w:p>
            <w:pPr>
              <w:ind w:left="220"/>
              <w:spacing w:after="0"/>
              <w:rPr>
                <w:sz w:val="20"/>
                <w:szCs w:val="20"/>
                <w:color w:val="auto"/>
              </w:rPr>
            </w:pPr>
            <w:r>
              <w:rPr>
                <w:rFonts w:ascii="Arial" w:cs="Arial" w:eastAsia="Arial" w:hAnsi="Arial"/>
                <w:sz w:val="18"/>
                <w:szCs w:val="18"/>
                <w:color w:val="auto"/>
              </w:rPr>
              <w:t>BOLIVIA</w:t>
            </w:r>
          </w:p>
        </w:tc>
        <w:tc>
          <w:tcPr>
            <w:tcW w:w="272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ALBANIA AND</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68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BRAZIL</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BOLIVIA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1960" w:type="dxa"/>
            <w:vAlign w:val="bottom"/>
          </w:tcPr>
          <w:p>
            <w:pPr>
              <w:spacing w:after="0"/>
              <w:rPr>
                <w:sz w:val="20"/>
                <w:szCs w:val="20"/>
                <w:color w:val="auto"/>
              </w:rPr>
            </w:pPr>
            <w:r>
              <w:rPr>
                <w:rFonts w:ascii="Arial" w:cs="Arial" w:eastAsia="Arial" w:hAnsi="Arial"/>
                <w:sz w:val="18"/>
                <w:szCs w:val="18"/>
                <w:color w:val="auto"/>
              </w:rPr>
              <w:t>BURUNDI</w:t>
            </w:r>
          </w:p>
        </w:tc>
        <w:tc>
          <w:tcPr>
            <w:tcW w:w="680" w:type="dxa"/>
            <w:vAlign w:val="bottom"/>
          </w:tcPr>
          <w:p>
            <w:pPr>
              <w:spacing w:after="0"/>
              <w:rPr>
                <w:sz w:val="18"/>
                <w:szCs w:val="18"/>
                <w:color w:val="auto"/>
              </w:rPr>
            </w:pPr>
          </w:p>
        </w:tc>
        <w:tc>
          <w:tcPr>
            <w:tcW w:w="3080" w:type="dxa"/>
            <w:vAlign w:val="bottom"/>
            <w:gridSpan w:val="3"/>
          </w:tcPr>
          <w:p>
            <w:pPr>
              <w:ind w:left="220"/>
              <w:spacing w:after="0"/>
              <w:rPr>
                <w:sz w:val="20"/>
                <w:szCs w:val="20"/>
                <w:color w:val="auto"/>
              </w:rPr>
            </w:pPr>
            <w:r>
              <w:rPr>
                <w:rFonts w:ascii="Arial" w:cs="Arial" w:eastAsia="Arial" w:hAnsi="Arial"/>
                <w:sz w:val="18"/>
                <w:szCs w:val="18"/>
                <w:color w:val="auto"/>
              </w:rPr>
              <w:t>BURUNDI</w:t>
            </w:r>
          </w:p>
        </w:tc>
        <w:tc>
          <w:tcPr>
            <w:tcW w:w="2720" w:type="dxa"/>
            <w:vAlign w:val="bottom"/>
          </w:tcPr>
          <w:p>
            <w:pPr>
              <w:spacing w:after="0"/>
              <w:rPr>
                <w:sz w:val="20"/>
                <w:szCs w:val="20"/>
                <w:color w:val="auto"/>
              </w:rPr>
            </w:pPr>
            <w:r>
              <w:rPr>
                <w:rFonts w:ascii="Arial" w:cs="Arial" w:eastAsia="Arial" w:hAnsi="Arial"/>
                <w:sz w:val="18"/>
                <w:szCs w:val="18"/>
                <w:color w:val="auto"/>
              </w:rPr>
              <w:t>BURUNDI</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AZERBAIJAN</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ETHIOPIA</w:t>
            </w:r>
          </w:p>
        </w:tc>
        <w:tc>
          <w:tcPr>
            <w:tcW w:w="68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CHINA</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BOLIVIA</w:t>
            </w:r>
          </w:p>
        </w:tc>
        <w:tc>
          <w:tcPr>
            <w:tcW w:w="1960" w:type="dxa"/>
            <w:vAlign w:val="bottom"/>
          </w:tcPr>
          <w:p>
            <w:pPr>
              <w:spacing w:after="0"/>
              <w:rPr>
                <w:sz w:val="20"/>
                <w:szCs w:val="20"/>
                <w:color w:val="auto"/>
              </w:rPr>
            </w:pPr>
            <w:r>
              <w:rPr>
                <w:rFonts w:ascii="Arial" w:cs="Arial" w:eastAsia="Arial" w:hAnsi="Arial"/>
                <w:sz w:val="18"/>
                <w:szCs w:val="18"/>
                <w:color w:val="auto"/>
              </w:rPr>
              <w:t>GERMANY</w:t>
            </w:r>
          </w:p>
        </w:tc>
        <w:tc>
          <w:tcPr>
            <w:tcW w:w="680" w:type="dxa"/>
            <w:vAlign w:val="bottom"/>
          </w:tcPr>
          <w:p>
            <w:pPr>
              <w:spacing w:after="0"/>
              <w:rPr>
                <w:sz w:val="18"/>
                <w:szCs w:val="18"/>
                <w:color w:val="auto"/>
              </w:rPr>
            </w:pPr>
          </w:p>
        </w:tc>
        <w:tc>
          <w:tcPr>
            <w:tcW w:w="3080" w:type="dxa"/>
            <w:vAlign w:val="bottom"/>
            <w:gridSpan w:val="3"/>
          </w:tcPr>
          <w:p>
            <w:pPr>
              <w:ind w:left="220"/>
              <w:spacing w:after="0"/>
              <w:rPr>
                <w:sz w:val="20"/>
                <w:szCs w:val="20"/>
                <w:color w:val="auto"/>
              </w:rPr>
            </w:pPr>
            <w:r>
              <w:rPr>
                <w:rFonts w:ascii="Arial" w:cs="Arial" w:eastAsia="Arial" w:hAnsi="Arial"/>
                <w:sz w:val="18"/>
                <w:szCs w:val="18"/>
                <w:color w:val="auto"/>
              </w:rPr>
              <w:t>RWANDA</w:t>
            </w:r>
          </w:p>
        </w:tc>
        <w:tc>
          <w:tcPr>
            <w:tcW w:w="2720" w:type="dxa"/>
            <w:vAlign w:val="bottom"/>
          </w:tcPr>
          <w:p>
            <w:pPr>
              <w:spacing w:after="0"/>
              <w:rPr>
                <w:sz w:val="20"/>
                <w:szCs w:val="20"/>
                <w:color w:val="auto"/>
              </w:rPr>
            </w:pPr>
            <w:r>
              <w:rPr>
                <w:rFonts w:ascii="Arial" w:cs="Arial" w:eastAsia="Arial" w:hAnsi="Arial"/>
                <w:sz w:val="18"/>
                <w:szCs w:val="18"/>
                <w:color w:val="auto"/>
              </w:rPr>
              <w:t>PERU</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68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UGANDA</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PORTUGAL</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BULGARIA</w:t>
            </w:r>
          </w:p>
        </w:tc>
        <w:tc>
          <w:tcPr>
            <w:tcW w:w="1960" w:type="dxa"/>
            <w:vAlign w:val="bottom"/>
          </w:tcPr>
          <w:p>
            <w:pPr>
              <w:spacing w:after="0"/>
              <w:rPr>
                <w:sz w:val="20"/>
                <w:szCs w:val="20"/>
                <w:color w:val="auto"/>
              </w:rPr>
            </w:pPr>
            <w:r>
              <w:rPr>
                <w:rFonts w:ascii="Arial" w:cs="Arial" w:eastAsia="Arial" w:hAnsi="Arial"/>
                <w:sz w:val="18"/>
                <w:szCs w:val="18"/>
                <w:color w:val="auto"/>
              </w:rPr>
              <w:t>JAPAN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RUSSIA</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MOZAMBIQUE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RWANDA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CHILE</w:t>
            </w:r>
          </w:p>
        </w:tc>
        <w:tc>
          <w:tcPr>
            <w:tcW w:w="1960" w:type="dxa"/>
            <w:vAlign w:val="bottom"/>
          </w:tcPr>
          <w:p>
            <w:pPr>
              <w:spacing w:after="0"/>
              <w:rPr>
                <w:sz w:val="20"/>
                <w:szCs w:val="20"/>
                <w:color w:val="auto"/>
              </w:rPr>
            </w:pPr>
            <w:r>
              <w:rPr>
                <w:rFonts w:ascii="Arial" w:cs="Arial" w:eastAsia="Arial" w:hAnsi="Arial"/>
                <w:sz w:val="18"/>
                <w:szCs w:val="18"/>
                <w:color w:val="auto"/>
              </w:rPr>
              <w:t>NAMIBIA</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NIGERIA</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DOMINICAN REPUBLIC</w:t>
            </w:r>
          </w:p>
        </w:tc>
        <w:tc>
          <w:tcPr>
            <w:tcW w:w="1960" w:type="dxa"/>
            <w:vAlign w:val="bottom"/>
          </w:tcPr>
          <w:p>
            <w:pPr>
              <w:spacing w:after="0"/>
              <w:rPr>
                <w:sz w:val="20"/>
                <w:szCs w:val="20"/>
                <w:color w:val="auto"/>
              </w:rPr>
            </w:pPr>
            <w:r>
              <w:rPr>
                <w:rFonts w:ascii="Arial" w:cs="Arial" w:eastAsia="Arial" w:hAnsi="Arial"/>
                <w:sz w:val="18"/>
                <w:szCs w:val="18"/>
                <w:color w:val="auto"/>
              </w:rPr>
              <w:t>RWANDA</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ECUADOR</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SIERRA LEONE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960" w:type="dxa"/>
            <w:vAlign w:val="bottom"/>
          </w:tcPr>
          <w:p>
            <w:pPr>
              <w:spacing w:after="0"/>
              <w:rPr>
                <w:sz w:val="20"/>
                <w:szCs w:val="20"/>
                <w:color w:val="auto"/>
              </w:rPr>
            </w:pPr>
            <w:r>
              <w:rPr>
                <w:rFonts w:ascii="Arial" w:cs="Arial" w:eastAsia="Arial" w:hAnsi="Arial"/>
                <w:sz w:val="18"/>
                <w:szCs w:val="18"/>
                <w:color w:val="auto"/>
              </w:rPr>
              <w:t>ZIMBABWE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GHANA</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GUINEA</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GUYANA</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INDONESIA</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ITALY</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JAPAN</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KENYA</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KOREA, REPUBLIC OF</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KYRGYZSTAN</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LAOS</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LIBERIA</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MALAYSIA</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MAURITANIA</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MEXICO</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PERU</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PHILIPPINES</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PORTUGAL</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AFRICA</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SPAIN</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SWEDEN</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TAIWAN</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TANZANIA</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TURKEY</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UZBEKISTAN</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ZAMBIA</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ZIMBABWE</w:t>
            </w:r>
          </w:p>
        </w:tc>
        <w:tc>
          <w:tcPr>
            <w:tcW w:w="1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41"/>
        </w:trPr>
        <w:tc>
          <w:tcPr>
            <w:tcW w:w="2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color w:val="auto"/>
                <w:w w:val="89"/>
              </w:rPr>
              <w:t>15</w:t>
            </w:r>
          </w:p>
        </w:tc>
        <w:tc>
          <w:tcPr>
            <w:tcW w:w="2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2019-12-08T11:47:58Z</dcterms:created>
  <dcterms:modified xsi:type="dcterms:W3CDTF">2019-12-08T11:47:58Z</dcterms:modified>
</cp:coreProperties>
</file>