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July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ind w:left="512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Proxy Statement and Proxy Card for Annual Shareholder Meeting</w:t>
      </w:r>
    </w:p>
    <w:p>
      <w:pPr>
        <w:spacing w:after="0" w:line="225"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publishes notice of its 2024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which is scheduled to take place at 12:00 p.m. (Israel time) on Thursday, August 29, 2024, at Kornit’s offices at 12 Ha’Amal Street, Park Afek, Rosh Ha’Ayin, Israel.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Tuesday, July 23, 2024 are entitled to vote at the Meeting.</w:t>
      </w:r>
    </w:p>
    <w:p>
      <w:pPr>
        <w:spacing w:after="0" w:line="221"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Report of Foreign Private Issuer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are the Notice and Proxy Statement for the Meeting, which contain information concerning the agenda for the Meeting, the background to the proposals, and the required majority for approval of the proposals at the Meeting, as well as logistical information concerning the required vote and means of voting on the proposals and additional general information concerning Kornit’s board of directors, corporate governance and significant shareholders.</w:t>
      </w:r>
    </w:p>
    <w:p>
      <w:pPr>
        <w:spacing w:after="0" w:line="180"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Form 6-K is the form of proxy card being distributed by Kornit to its shareholders of record as of the record date for the Meeting, which serves as a means by which those shareholders may cast their votes on the proposals to be presented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3" w:lineRule="exact"/>
        <w:rPr>
          <w:sz w:val="20"/>
          <w:szCs w:val="20"/>
          <w:color w:val="auto"/>
        </w:rPr>
      </w:pPr>
    </w:p>
    <w:p>
      <w:pPr>
        <w:ind w:left="80"/>
        <w:spacing w:after="0"/>
        <w:tabs>
          <w:tab w:leader="none" w:pos="57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Notice and Proxy Statement for 2024 Annual General Meeting of Shareholders of Kornit Digital Ltd.</w:t>
      </w:r>
    </w:p>
    <w:p>
      <w:pPr>
        <w:spacing w:after="0" w:line="27" w:lineRule="exact"/>
        <w:rPr>
          <w:sz w:val="20"/>
          <w:szCs w:val="20"/>
          <w:color w:val="auto"/>
        </w:rPr>
      </w:pPr>
    </w:p>
    <w:p>
      <w:pPr>
        <w:ind w:left="1140" w:hanging="784"/>
        <w:spacing w:after="0" w:line="260" w:lineRule="auto"/>
        <w:tabs>
          <w:tab w:leader="none" w:pos="11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Form of proxy card to be used for voting by record shareholders for the 2024 Annual General Meeting of Shareholders of Kornit Digital Ltd.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firstLine="63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Exhibits 99.1 and 99.2 to this Form 6-K are hereby incorporated by reference into the Company’s Registration Statements on Form S-8 (File No.’s </w:t>
      </w:r>
      <w:hyperlink r:id="rId14">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333-254749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auto"/>
        </w:rPr>
        <w:t>).</w:t>
      </w:r>
    </w:p>
    <w:p>
      <w:pPr>
        <w:spacing w:after="0" w:line="36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July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156845</wp:posOffset>
            </wp:positionV>
            <wp:extent cx="2520315" cy="968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52031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24,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2024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29,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Kornit Digital Ltd. Shareholders: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the 2024 Annual General Meeting of Shareholders, or the Meeting, of Kornit Digital Ltd., or the Company, to be held at 12:00 p.m. (Israel time) on Thursday, August 29, 2024, at our offices at 12 Ha’Amal Street, Park Afek, Rosh Ha’Ayin, Israel.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Yuval Cohen, Stephen Nigro and Ronen Samuel, in each case for a three-year term as a Class III director of the Company, until the Company’s annual general meeting of shareholders in 2027 and until his successor is duly elected and qualified;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2024 and the additional period until the Company’s 2025 annual general meeting of shareholders, and authorization of the Company’s board of directors (or the audit committee thereof) to fix such accounting firm’s annual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Members of our management will be available at the Meeting to present and discuss our auditors’ report and consolidated financial statements as of, and for the year ended, December 31, 2023, as previously made available to our shareholders as part of our Annual Report on Form 20-F, which was filed with the Securities and Exchange Commission, or SEC, on March 28, 2024 and which is available at www.sec.gov and at the “Investors” section of our Company’s website, www.kornit.com.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recommends that you vote in favor of both of the above proposals, which are described in the proxy statement that is attached to this Notice of 2024 Annual General Meeting of Shareholders.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July 23, 2024 are entitled to vote at the Meeting.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Meeting in person or by proxy and voting thereon (disregarding abstentions and broker non-votes) is necessary for the approval of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Accordingly, after reading this Notice of 2024 Annual General Meeting of Shareholders and the proxy statement for the Meeting, please mark, date, sign and mail the proxy card or voting instruction form as promptly as possible in the stamped envelope to be provided to you, or please follow the instructions to be sent to you for voting electronically. If mailing in your proxy to our transfer agent in the envelope to be enclosed or providing voting instructions via a physical voting instruction form, your vote must be received by noon, Eastern time, on Wednesday, August 28, 2024, to be validly included in the tally of ordinary shares voted at the Meeting. If you are a street holder (i.e., you hold your shares through a bank, broker or other nominee) and are voting online (at www.proxyvote.com) or via telephone, your vote must be received by 11:59 p.m. Eastern time on Tuesday, August 27, 2024.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Israeli Companies Law, 5759-1999, and regulations promulgated thereunder, and our articles of association, as amended, any shareholder of the Company holding at least 1% of the outstanding voting rights of the Company for the Meeting may submit to the Company a proposed additional agenda item for the Meeting, to the Company’s offices, 12 Ha’Amal Street, Park Afek, Rosh Ha’Ayin, Israel, Attention: Elad Shrem, Vice President- General Counsel, email: Elad.Shrem@kornit.com, no later than Wednesday, July 31, 2024. To the extent that there are any additional agenda items that the Board determines to add as a result of any such submission, the Company will publish an updated notice and proxy card with respect to the Meeting, no later than Wednesday, August 7, 2024, to be furnished to the SEC under cover of a Report of Foreign Private Issuer on Form 6-K.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electronic copy of the enclosed proxy materials will be available for viewing at http://ir.kornit.com/. The full text of the proposed resolutions, together with the form of proxy card for the Meeting, may also be viewed beginning on Sunday, August 11, 2024 at the registered office of the Company, 12 Ha’Amal Street, Park Afek, Rosh Ha’Ayin Israel, from Sunday to Thursday (excluding Israeli holidays), 10:00 a.m. to 5:00 p.m. (Israel time), upon prior coordination with the Company. Our telephone number at our registered office is +972-3-908-5800.</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Yuval Cohen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99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1012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868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Board Diversity, Board Practices, Corporate Governance and Compensation of Certain Executive Officers and Directors</w:t>
            </w:r>
          </w:p>
        </w:tc>
        <w:tc>
          <w:tcPr>
            <w:tcW w:w="144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Proposal 1.  Re-election of Class III Directors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726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Re-appointment of Independent Auditors and Approval of Their Annual Remuneration</w:t>
            </w:r>
          </w:p>
        </w:tc>
        <w:tc>
          <w:tcPr>
            <w:tcW w:w="2860" w:type="dxa"/>
            <w:vAlign w:val="bottom"/>
            <w:tcBorders>
              <w:bottom w:val="single" w:sz="8" w:color="CCEEFF"/>
            </w:tcBorders>
            <w:gridSpan w:val="3"/>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Presentation and Discussion of Audited Annual Financial Statements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02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Other Matters</w:t>
            </w:r>
          </w:p>
        </w:tc>
        <w:tc>
          <w:tcPr>
            <w:tcW w:w="9100" w:type="dxa"/>
            <w:vAlign w:val="bottom"/>
            <w:tcBorders>
              <w:bottom w:val="single" w:sz="8" w:color="CCEEFF"/>
            </w:tcBorders>
            <w:gridSpan w:val="8"/>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2513965</wp:posOffset>
            </wp:positionH>
            <wp:positionV relativeFrom="page">
              <wp:posOffset>586105</wp:posOffset>
            </wp:positionV>
            <wp:extent cx="2520315" cy="969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5203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+972-3-908-5800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ANNUAL GENERAL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on behalf of the board of directors, or the Board, of Kornit Digital Ltd., to which we refer as Kornit Digital, our Company or the Company, to be voted at the Company’s 2024 Annual General Meeting of Shareholders, or the Meeting, and at any adjournment thereof, pursuant to the accompanying Notice of 2024 Annual General Meeting of Shareholders. The Meeting will be held at 12:00 p.m. (Israel time) on Thursday, August 29, 2024, at our offices at 12 Ha’Amal Street, Park Afek, Rosh Ha’Ayin, Israel.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the attached Notice of 2024 Annual General Meeting of Shareholders and the enclosed proxy card or voting instruction form are being made available on or about July 29, 2024 to holders of Kornit Digital ordinary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at the Meeting if you held ordinary shares as of the close of business on Tuesday, July 23, 2024,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Yuval Cohen, Stephen Nigro and Ronen Samuel, in each case for a three-year term as a Class III director of the Company, until the Company’s annual general meeting of shareholders in 2027 and until his successor is duly elected and qualified;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2024 and the additional period until the Company’s 2025 annual general meeting of shareholders, and authorization of the Company’s board of directors (or the audit committee thereof) to fix such accounting firm’s annual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members of our management will be available at the Meeting to present and discuss our auditors’ report and consolidated financial statements as of, and for the year ended, December 31, 2023, as previously made available to our shareholders as part of our Annual Report on Form 20-F, which was filed with the Securities and Exchange Commission, or SEC, on March 28, 2024 and which is available at www.sec.gov and at the “Investors” section of our Company’s website, www.kornit.com.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Our Board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above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19, 2024, we had 47,551,899 ordinary shares issued and outstanding. Each ordinary share outstanding as of the close of business on the record date— July 23, 2024— is entitled to one vote upon each proposal to be presented at the Meeting. Under our articles of association, as amended, or the Articles,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 for Approval of the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Israeli Companies Law, 5759-1999, or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any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on the proposals for the Meeting if you are a shareholder of record at the close of business on Tuesday, July 23, 2024. You are also entitled to vote on the proposals if you held ordinary shares through a bank, broker or other nominee that is one of our shareholders of record at the close of business on Tuesday, July 23,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You Can Vote</w:t>
      </w:r>
    </w:p>
    <w:p>
      <w:pPr>
        <w:spacing w:after="0" w:line="22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You can vote your shares by completing and signing a proxy card or voting instruction form (which voting instruction form may be submitted electronically (online) or via telephone as well). In the alternative, you can vote your shares by attending the Meeting and voting in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i w:val="1"/>
          <w:iCs w:val="1"/>
          <w:color w:val="auto"/>
        </w:rPr>
        <w:t>Shareholders of Record</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Equiniti (formerly American Stock Transfer &amp; Trust Company) of Brooklyn, New York, you are considered, with respect to those shares, the shareholder of record. In that case, these proxy materials are being sent directly to you. If you are a shareholder of record,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(please also print on the proxy card the name of the record shareholder holding your ordinary shares) and return it to Elad Shrem, our Vice President- General Counsel, via email to Elad.Shrem@kornit.com.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Thursday, August 29, 2024, or our registrar and transfer agent receives it in the enclosed envelope not later than 11:59 pm, Eastern time, on Wednesday, August 28, 2024.</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Holders in “Street Name”</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forms. If mailing in your physical voting instruction form, your vote must be received by noon, Eastern time, on Wednesday, August 28, 2024 to be validly included in the tally of ordinary shares voted at the Meeting. If you provide your voting instructions online (at www.proxyvote.com) or via telephone, your instructions must be received by 11:59 p.m. Eastern time on Tuesday, August 27, 2024.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23, 2024).</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2 relating to the reappointment of the Company’s independent registered public accounting firm for the fiscal year ending December 31, 2024. However, we cannot be certain whether this will be treated as a routine matter since our proxy statement is prepared in compliance with the Companies Law, rather than the rules applicable to domestic U.S. reporting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Revocation of a Proxy or Voting Instructions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Proxies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Proxies are being distributed to shareholders on or about July 29, 2024.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Proxy Materials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and percentage of ordinary shares beneficially owned is determined in accordance with Rule 13d-3 of the Securities Exchange Act of 1934, as amended, and is not necessarily indicative of beneficial ownership for any other purpose. Information concerning shareholders who beneficially own more than 5% of our outstanding ordinary shares is based on periodic public filings made by such shareholders. We have based our calculations of the percentage ownership on 47,551,899 ordinary shares that were outstanding as of July 19, 2024.</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indicated below, we believe, based on public filings by such owners, that the beneficial owners of the ordinary shares listed below have sole investment and voting power with respect to such shares. All of our shareholders, including the shareholders listed below, have the same voting rights attached to their ordinary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3,618,555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Artisan Partners Limited Partnership</w:t>
            </w:r>
            <w:r>
              <w:rPr>
                <w:rFonts w:ascii="Times New Roman" w:cs="Times New Roman" w:eastAsia="Times New Roman" w:hAnsi="Times New Roman"/>
                <w:sz w:val="29"/>
                <w:szCs w:val="29"/>
                <w:color w:val="auto"/>
                <w:vertAlign w:val="superscript"/>
              </w:rPr>
              <w:t>(2)</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3,678,937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Senvest Management, LLC</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4,431,160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39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Capital, LLC</w:t>
            </w:r>
            <w:r>
              <w:rPr>
                <w:rFonts w:ascii="Times New Roman" w:cs="Times New Roman" w:eastAsia="Times New Roman" w:hAnsi="Times New Roman"/>
                <w:sz w:val="29"/>
                <w:szCs w:val="29"/>
                <w:color w:val="auto"/>
                <w:vertAlign w:val="superscript"/>
              </w:rPr>
              <w:t>(4)</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2,486,642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bl>
    <w:p>
      <w:pPr>
        <w:spacing w:after="0" w:line="60" w:lineRule="exact"/>
        <w:rPr>
          <w:sz w:val="20"/>
          <w:szCs w:val="20"/>
          <w:color w:val="auto"/>
        </w:rPr>
      </w:pPr>
    </w:p>
    <w:p>
      <w:pPr>
        <w:jc w:val="both"/>
        <w:ind w:left="340" w:hanging="332"/>
        <w:spacing w:after="0" w:line="25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1585 Broadway New York, NY 10036 .. The information in this row is provided as of March 31, 2024, based on a report of institutional investment manager on Form 13F filed by Morgan Stanley with the SEC on May 15, 2024. The ordinary shares included in the beneficial ownership of this shareholder are beneficially owned, or may be deemed to be beneficially owned, by certain operating units (collectively referred to as the MS Reporting Units) of Morgan Stanley and its subsidiaries and affiliates (collectively referred to as MS). They do not include ordinary shares, if any, beneficially owned by any operating units of MS whose ownership of securities is disaggregated from that of the MS Reporting Units.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875 E. Wisconsin Ave., Suite 800, Milwaukee, WI 53202. The information in this row is provided as of March 31, 2024, based on a report of institutional investment manager on Form 13F filed by Artisan Partners Limited Partnership and related persons with the SEC on May 13, 2024. The shares reported for this shareholder have been acquired on behalf of discretionary clients of Artisan Partners Limited Partnership, or APLP, which holds 3,719,473 shares, including 2,335,900 shares on behalf of Artisan Partners Funds, Inc.</w:t>
      </w:r>
    </w:p>
    <w:p>
      <w:pPr>
        <w:spacing w:after="0" w:line="206" w:lineRule="exact"/>
        <w:rPr>
          <w:rFonts w:ascii="Times New Roman" w:cs="Times New Roman" w:eastAsia="Times New Roman" w:hAnsi="Times New Roman"/>
          <w:sz w:val="18"/>
          <w:szCs w:val="18"/>
          <w:color w:val="auto"/>
        </w:rPr>
      </w:pPr>
    </w:p>
    <w:p>
      <w:pPr>
        <w:jc w:val="both"/>
        <w:ind w:left="380" w:hanging="318"/>
        <w:spacing w:after="0" w:line="254" w:lineRule="auto"/>
        <w:tabs>
          <w:tab w:leader="none" w:pos="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540 Madison Avenue, 32nd Floor, New York, New York 10022. The information in this row is provided as of March 31, 2024, based on a report of institutional investment manager on Form 13F filed by Senvest Management, LLC with the SEC on May 14, 2024. The ordinary shares reported in this row are held in the account of Senvest Master Fund, LP and Senvest Technology Partners Master Fund, LP, which we collectively refer to as the Senvest Investment Vehicles. Senvest Management, LLC may be deemed to beneficially own the securities held by the Senvest Investment Vehicles by virtue of Senvest Management, LLC’s position as investment manager of the Senvest Investment Vehicles. Mr. Richard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p>
      <w:pPr>
        <w:spacing w:after="0" w:line="191"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135 S LaSalle Street, Suite 4200, Chicago, IL, 60603. The information in this row is provided as of March 31, 2024, based on a report of institutional investment manager on Form 13F filed by Chicago Capital, LLC with the SEC on April 15,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BOARD PRACTICES, CORPORATE GOVERNANCE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CERTAIN EXECUTIVE OFFICERS AND DIRECTORS</w:t>
      </w:r>
    </w:p>
    <w:p>
      <w:pPr>
        <w:spacing w:after="0" w:line="207"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Item 6.A (“Directors and Senior Management”— “Board Diversity Matrix”) of our Annual Report on Form 20-F for the year ended December 31, 2023, which we filed with the SEC on March 28, 2024 (which we refer to as our 2023 Form 20-F) contains information concerning the gender and demographic diversity of our Board members. Item 6.B (“Compensation”) of our 2023 Form 20-F contains information regarding compensation paid to our directors and certain office holders (including our five most highly compensated office holders) with respect to 2023. Item 6.C of our 2023 Form 20-F (“Board Practices”) contains additional information regarding our Board, its committees and our corporate governance practices. We encourage you to review those portions of our 2023 Form 20-F, which we incorporate by reference herein (and for which we have provided a general link below), to obtain 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https://www.sec.gov/Archives/edgar/data/1625791/000121390024027207/ea0201862-20f_kornit.htm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RE-ELECTION OF CLASS III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and our Articles, the management of our business is vested in our Board. The Board may exercise all powers and may take all actions that are not specifically granted to our shareholders.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provide that our Board must consist of at least five and not more than nine directors, including, to the extent applicable, at least two external directors who may be required to be appointed under the Companies Law.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currently consists of nine directors. Our directors are divided into three classes with staggered three-year terms. Each class of directors consists,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service of our three current Class III directors will expire at the Meeting. Our Board has nominated for re-election the three current Class III directors— Yuval Cohen, Stephen Nigro and Ronen Samuel as the prospective three Class III directors who will serve a three-year term, until our 2027 annual general meeting of shareholders. If each of the nominees is re-elected pursuant to this Proposal 1, our Board, in its staggered format, will be comprised as follows:</w:t>
      </w:r>
    </w:p>
    <w:p>
      <w:pPr>
        <w:spacing w:after="0" w:line="180" w:lineRule="exact"/>
        <w:rPr>
          <w:sz w:val="20"/>
          <w:szCs w:val="20"/>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Jae Hyun (Jay) Lee, Yehoshua (Shuki) Nir and Dov Ofer, whose terms expire at our annual general meeting of shareholders to be held in 2025 and when their successors are elected and qualified;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Ofer Ben-Zur, Naama Halevi Davidov and Gabi Seligsohn, whose terms expire at our annual general meeting of shareholders to be held in 2026 and when their successors are elected and qualified;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Yuval Cohen, Stephen Nigro and Ronen Samuel, whose terms (following the Meeting) will expire at our annual general meeting of shareholders to be held in 2027 and when their successors are elected and qualified.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unanimously recommends that our shareholders re-elect each of our three Class III director nominees pursuant to this Proposal 1. It is intended that proxies (other than those directing the proxy holders to vote against any of the nominees, or abstain in the vote) will be voted for the re-election of each such nominee as a Class III director.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Among the prospective Board members (assuming re-election of each of the Class III director nominees at the Meeting, and the continued service of each present Class I director and Class II director), the Board has determined that eight of them, consisting of Jae Hyun (Jay) Lee, Yehoshua (Shuki) Nir, Dov Ofer, Ofer Ben-Zur, Naama Halevi Davidov, Gabi Seligsohn, Yuval Cohen and Stephen Nigro, constituting a majority of the members of the Board, are independent under the Listing Rules of the Nasdaq Stock Market. The definition of “independent director” under the Nasdaq Stock Market rules specifies criteria that aim to ensure that there is no factor that would impair the ability of a director to exercise independent judgment. That definition furthermore requires that a Nasdaq-listed company’s board of directors affirmatively determine that the independent director can exercise independent judgment.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Class III director nominees, whose professional background is provided below, has advised the Company that he or she is willing, able and ready to serve as a Class III director if re-elected. Additionally, in accordance with the Companies Law, each of those nominees has certified to us that he or she meets all of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re-election of any of the three nominees.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certain biographical information regarding the background and experience of the nominees— Yuval Cohen, Stephen Nigro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Ronen Samuel:</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Yuval Cohen </w:t>
      </w:r>
      <w:r>
        <w:rPr>
          <w:rFonts w:ascii="Times New Roman" w:cs="Times New Roman" w:eastAsia="Times New Roman" w:hAnsi="Times New Roman"/>
          <w:sz w:val="18"/>
          <w:szCs w:val="18"/>
          <w:color w:val="auto"/>
        </w:rPr>
        <w:t>has served as the Chairman of our board of directors since August 2011. Mr. Cohen is the founding and managing partner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Radware Ltd. (Nasdaq: RDWR). He also serves on the board of directors of several privately held portfolio companies of Fortissimo Capital. Mr. Cohen holds a B.Sc. in Industrial Engineering from Tel Aviv University in Israel and an M.B.A. from Harvard Business School.</w:t>
      </w:r>
    </w:p>
    <w:p>
      <w:pPr>
        <w:spacing w:after="0" w:line="182"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Nigro </w:t>
      </w:r>
      <w:r>
        <w:rPr>
          <w:rFonts w:ascii="Times New Roman" w:cs="Times New Roman" w:eastAsia="Times New Roman" w:hAnsi="Times New Roman"/>
          <w:sz w:val="18"/>
          <w:szCs w:val="18"/>
          <w:color w:val="auto"/>
        </w:rPr>
        <w:t>has served as a director of our company since August 2019, after having served as a strategic advisor to our company from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(DM:NYSE). He also serves on the Oregon Economic Development Committee and is a member of iUrbanTeen, Executive Council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87"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Ronen Samuel </w:t>
      </w:r>
      <w:r>
        <w:rPr>
          <w:rFonts w:ascii="Times New Roman" w:cs="Times New Roman" w:eastAsia="Times New Roman" w:hAnsi="Times New Roman"/>
          <w:sz w:val="18"/>
          <w:szCs w:val="18"/>
          <w:color w:val="auto"/>
        </w:rPr>
        <w:t>has served as our Chief Executive Officer since August 2018 and as a director since August 2019. Prior to joining our company,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jc w:val="both"/>
        <w:ind w:left="98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Yuval Cohen as a Class III director of Kornit Digital Ltd., for a term of three years that expires at Kornit’s annual general meeting of shareholders in 2027, and until the due election and qualification of his successor, be, and hereby is, approved in all respects.”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Stephen Nigro as a Class III director of Kornit Digital Ltd., for a term of three years that expires at Kornit’s annual general meeting of shareholders in 2027, and until the due election and qualification of his successor, be, and hereby is, approved in all respects.”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Ronen Samuel as a Class III director of Kornit Digital Ltd., for a term of three years that expires at Kornit’s annual general meeting of shareholders in 2027, and until the due election and qualification of his successor, be, and hereby is, approved in all respects.”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is more fully described above (under “Vote Required for Approval of the Proposals”), the vote required for the re-election of each of Yuval Cohen, Stephen Nigro and Ronen Samuel, in each case for a three-year term as a Class III director, is the affirmative vote of the holders of a majority of the voting power present in person or represented by proxy at the Meeting and voting on paragraph (a), (b) or (c) as applicable, of this Proposal 1 (excluding abstentions and broker non-votes).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re-election of each of the three Class III director nominees.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RE-APPOINTMENT OF INDEPENDENT AUDITORS AND APPROVAL OF THEIR ANNUAL REMUNERATION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2023, Kost Forer Gabbay &amp; Kasierer, a member of Ernst &amp; Young Global, independent registered public accounting firm, which we refer to as Kost Forer, was appointed by our shareholders as our independent auditors for the fiscal year ended December 31, 2023, and for such additional period until the Meeting. Pursuant to its role under its charter and under SEC rules, the audit committee of our Board has approved the re-appointment of Kost Forer as our independent auditors for the fiscal year ending December 31, 2024, and for such additional period until the 2025 annual general meeting of shareholders. Further to that approval, the Board, in turn, will present to, and request the approval of, our shareholders (as required under the Companies Law) for the re-appointment of Kost Forer as the independent auditors of the Company for the year ending December 31, 2024, and for the additional period until the annual general meeting to be held in 2025. As part of that shareholder approval, we are furthermore proposing that our shareholders authorize the Board, with power of delegation to the audit committee, to determine the compensation of the auditors in accordance with the volume and nature of their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Auditors’ Fees in Previous Two Years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compensation (as well as components of compensation, in amounts and percentages) that was paid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to the Company’s independent auditors, Kost Forer, in each of the previous two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8"/>
                <w:szCs w:val="18"/>
                <w:color w:val="auto"/>
              </w:rPr>
            </w:pPr>
          </w:p>
        </w:tc>
        <w:tc>
          <w:tcPr>
            <w:tcW w:w="242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242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of dollars)</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fees” include fees for services rendered by our independent registered public accounting firm with respect to government incentives and other matters.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Audit Committee’s Pre-Approval Policies and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Meeting the following resolutions be adopted pursuant to this Proposal 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2024 and for such additional period until the next annual general meeting of shareholders, such re-appointment having been previously approved by the audit committee of the Board.”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Proposal 2 requires the affirmative vote of the holders of a majority of the ordinary shares present, in person or by proxy, and voting on the proposal (excluding abstentions and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unanimously recommends that you vote “FOR” (i) the re-appointment of Kost Forer Gabbay &amp; Kasierer, a member of Ernst &amp; Young Global, independent registered public accounting firm, as the independent auditors of the Company for the fiscal year ending December 31, 2024 and for such additional period until the next annual general meeting of shareholders and (ii) the authorization of the Board (with power of delegation to the audit committee) to fix the remuneration of the independent auditors in accordance with the volume and nature of their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AND DISCUSSION OF AUDITED ANNUAL FINANCIAL STATEMENTS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addition to considering the foregoing agenda items at the Meeting, we will also present our audited consolidated financial statements for the fiscal year ended December 31, 2023. A copy of the 2023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766"/>
        <w:spacing w:after="0" w:line="261" w:lineRule="auto"/>
        <w:rPr>
          <w:sz w:val="20"/>
          <w:szCs w:val="20"/>
          <w:color w:val="auto"/>
        </w:rPr>
      </w:pPr>
      <w:r>
        <w:rPr>
          <w:rFonts w:ascii="Times New Roman" w:cs="Times New Roman" w:eastAsia="Times New Roman" w:hAnsi="Times New Roman"/>
          <w:sz w:val="18"/>
          <w:szCs w:val="18"/>
          <w:color w:val="auto"/>
        </w:rPr>
        <w:t>Our Board does not intend to bring any matters before the Meeting other than those specifically set forth in the Notice of 2024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2023 Form 20-F, filed with the SEC on March 28, 2024, is available for viewing and downloading at the SEC’s website at www.sec.gov, as well as at the Investor Relations section of our website at http://ir.kornit.com.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are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Yuval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2024 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07" w:lineRule="exact"/>
        <w:rPr>
          <w:sz w:val="20"/>
          <w:szCs w:val="20"/>
          <w:color w:val="auto"/>
        </w:rPr>
      </w:pPr>
    </w:p>
    <w:p>
      <w:pPr>
        <w:jc w:val="both"/>
        <w:ind w:firstLine="383"/>
        <w:spacing w:after="0" w:line="255" w:lineRule="auto"/>
        <w:rPr>
          <w:sz w:val="20"/>
          <w:szCs w:val="20"/>
          <w:color w:val="auto"/>
        </w:rPr>
      </w:pPr>
      <w:r>
        <w:rPr>
          <w:rFonts w:ascii="Times New Roman" w:cs="Times New Roman" w:eastAsia="Times New Roman" w:hAnsi="Times New Roman"/>
          <w:sz w:val="18"/>
          <w:szCs w:val="18"/>
          <w:color w:val="auto"/>
        </w:rPr>
        <w:t>The undersigned hereby constitutes and appoints Lauri Hanover, Elad Shrem and Aviv Avidan Shalit, and each of them, the true and lawful attorneys, agents and proxies of the undersigned, with full power of substitution to each of them, to represent and to vote, on behalf of the undersigned, all of the Ordinary Shares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of record in the name of the undersigned at the close of business on Tuesday, July 23, 2024, at the 2024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executive offices of the Company, 12 Ha’Amal Street, Park Afek, Rosh Ha’Ayin, Israel, on Thursday, August 29, 2024 at 12:00 p.m. (Israel time), and at any and all adjournments or postponements thereof, on the matters listed on the reverse side, which are more fully described in the Notice of 2024 Annual General Meeting of Shareholders of the Company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accompanying Proxy Statement relating to the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undersigned acknowledges receipt of the Notice and the Proxy Statement.</w:t>
      </w:r>
    </w:p>
    <w:p>
      <w:pPr>
        <w:spacing w:after="0" w:line="225"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If no direction is made with respect to any proposal, this proxy will be voted FOR each such proposal and in such manner as the holder of the proxy may determine with respect to any other business as may properly come before the Meeting or all and any adjournments or postponements thereof.</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2024 ANNUAL GENERAL MEETING OF SHAREHOLDERS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date, sign and mail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possible.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detach along perforated line and mail in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340360</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3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Borders>
              <w:top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Re-election of each of:</w:t>
            </w:r>
          </w:p>
        </w:tc>
        <w:tc>
          <w:tcPr>
            <w:tcW w:w="1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220" w:type="dxa"/>
            <w:vAlign w:val="bottom"/>
            <w:tcBorders>
              <w:top w:val="single" w:sz="8" w:color="auto"/>
            </w:tcBorders>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AGAINST</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ABSTAIN</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300" w:type="dxa"/>
            <w:vAlign w:val="bottom"/>
            <w:vMerge w:val="continue"/>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220" w:type="dxa"/>
            <w:vAlign w:val="bottom"/>
            <w:gridSpan w:val="2"/>
            <w:vMerge w:val="restart"/>
          </w:tcPr>
          <w:p>
            <w:pPr>
              <w:jc w:val="center"/>
              <w:ind w:left="36"/>
              <w:spacing w:after="0" w:line="221" w:lineRule="exact"/>
              <w:rPr>
                <w:sz w:val="20"/>
                <w:szCs w:val="20"/>
                <w:color w:val="auto"/>
              </w:rPr>
            </w:pPr>
            <w:r>
              <w:rPr>
                <w:rFonts w:ascii="MS PGothic" w:cs="MS PGothic" w:eastAsia="MS PGothic" w:hAnsi="MS PGothic"/>
                <w:sz w:val="22"/>
                <w:szCs w:val="22"/>
                <w:color w:val="auto"/>
                <w:w w:val="90"/>
              </w:rPr>
              <w:t>☐</w:t>
            </w:r>
          </w:p>
        </w:tc>
        <w:tc>
          <w:tcPr>
            <w:tcW w:w="11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21"/>
        </w:trPr>
        <w:tc>
          <w:tcPr>
            <w:tcW w:w="19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1(a) Yuval Cohen</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1(b) Stephen Nigro</w:t>
            </w: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220" w:type="dxa"/>
            <w:vAlign w:val="bottom"/>
            <w:gridSpan w:val="2"/>
          </w:tcPr>
          <w:p>
            <w:pPr>
              <w:jc w:val="center"/>
              <w:ind w:left="36"/>
              <w:spacing w:after="0" w:line="221" w:lineRule="exact"/>
              <w:rPr>
                <w:sz w:val="20"/>
                <w:szCs w:val="20"/>
                <w:color w:val="auto"/>
              </w:rPr>
            </w:pPr>
            <w:r>
              <w:rPr>
                <w:rFonts w:ascii="MS PGothic" w:cs="MS PGothic" w:eastAsia="MS PGothic" w:hAnsi="MS PGothic"/>
                <w:sz w:val="22"/>
                <w:szCs w:val="22"/>
                <w:color w:val="auto"/>
                <w:w w:val="90"/>
              </w:rPr>
              <w:t>☐</w:t>
            </w:r>
          </w:p>
        </w:tc>
        <w:tc>
          <w:tcPr>
            <w:tcW w:w="11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92"/>
        </w:trPr>
        <w:tc>
          <w:tcPr>
            <w:tcW w:w="19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1(c) Ronen Samuel</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220" w:type="dxa"/>
            <w:vAlign w:val="bottom"/>
            <w:gridSpan w:val="2"/>
          </w:tcPr>
          <w:p>
            <w:pPr>
              <w:jc w:val="center"/>
              <w:ind w:left="36"/>
              <w:spacing w:after="0" w:line="221" w:lineRule="exact"/>
              <w:rPr>
                <w:sz w:val="20"/>
                <w:szCs w:val="20"/>
                <w:color w:val="auto"/>
              </w:rPr>
            </w:pPr>
            <w:r>
              <w:rPr>
                <w:rFonts w:ascii="MS PGothic" w:cs="MS PGothic" w:eastAsia="MS PGothic" w:hAnsi="MS PGothic"/>
                <w:sz w:val="22"/>
                <w:szCs w:val="22"/>
                <w:color w:val="auto"/>
                <w:w w:val="90"/>
              </w:rPr>
              <w:t>☐</w:t>
            </w:r>
          </w:p>
        </w:tc>
        <w:tc>
          <w:tcPr>
            <w:tcW w:w="11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for a three-year term, as a Class III director of the Company,</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until the Company’s annual general meeting of shareholders</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94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in 2027 and until his successor is duly elected and qualified</w:t>
            </w: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24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2.   Re-appointment of Kost Forer Gabbay &amp; Kasierer, registered</w:t>
            </w:r>
          </w:p>
        </w:tc>
        <w:tc>
          <w:tcPr>
            <w:tcW w:w="8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220" w:type="dxa"/>
            <w:vAlign w:val="bottom"/>
            <w:gridSpan w:val="2"/>
          </w:tcPr>
          <w:p>
            <w:pPr>
              <w:jc w:val="center"/>
              <w:ind w:left="36"/>
              <w:spacing w:after="0" w:line="221" w:lineRule="exact"/>
              <w:rPr>
                <w:sz w:val="20"/>
                <w:szCs w:val="20"/>
                <w:color w:val="auto"/>
              </w:rPr>
            </w:pPr>
            <w:r>
              <w:rPr>
                <w:rFonts w:ascii="MS PGothic" w:cs="MS PGothic" w:eastAsia="MS PGothic" w:hAnsi="MS PGothic"/>
                <w:sz w:val="22"/>
                <w:szCs w:val="22"/>
                <w:color w:val="auto"/>
                <w:w w:val="90"/>
              </w:rPr>
              <w:t>☐</w:t>
            </w:r>
          </w:p>
        </w:tc>
        <w:tc>
          <w:tcPr>
            <w:tcW w:w="11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11"/>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public accounting firm, a member firm of Ernst &amp; Young</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Global,  as  the  Company’s  independent  registered  public</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accounting firm for the year ending December 31, 2024 and for</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the additional period until the Company’s 2025 annual general</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meeting of shareholders, and authorization of the Company’s</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board of directors (with power of delegation to the audit</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committee  thereof)  to  fix  such  accounting  firm’s  annual</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12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change the address on your account, please check the box</w:t>
            </w:r>
          </w:p>
        </w:tc>
        <w:tc>
          <w:tcPr>
            <w:tcW w:w="1120" w:type="dxa"/>
            <w:vAlign w:val="bottom"/>
            <w:tcBorders>
              <w:right w:val="single" w:sz="8" w:color="auto"/>
            </w:tcBorders>
          </w:tcPr>
          <w:p>
            <w:pPr>
              <w:jc w:val="center"/>
              <w:ind w:left="661"/>
              <w:spacing w:after="0" w:line="221" w:lineRule="exact"/>
              <w:rPr>
                <w:sz w:val="20"/>
                <w:szCs w:val="20"/>
                <w:color w:val="auto"/>
              </w:rPr>
            </w:pPr>
            <w:r>
              <w:rPr>
                <w:rFonts w:ascii="MS PGothic" w:cs="MS PGothic" w:eastAsia="MS PGothic" w:hAnsi="MS PGothic"/>
                <w:sz w:val="22"/>
                <w:szCs w:val="22"/>
                <w:color w:val="auto"/>
                <w:w w:val="90"/>
              </w:rPr>
              <w:t>☐</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the right and indicate your new address in the address space</w:t>
            </w:r>
          </w:p>
        </w:tc>
        <w:tc>
          <w:tcPr>
            <w:tcW w:w="11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above. Please note that changes to the registered name(s) on</w:t>
            </w:r>
          </w:p>
        </w:tc>
        <w:tc>
          <w:tcPr>
            <w:tcW w:w="11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account may not be submitted via this method.</w:t>
            </w:r>
          </w:p>
        </w:tc>
        <w:tc>
          <w:tcPr>
            <w:tcW w:w="11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of shareholder</w:t>
            </w:r>
          </w:p>
        </w:tc>
        <w:tc>
          <w:tcPr>
            <w:tcW w:w="1220" w:type="dxa"/>
            <w:vAlign w:val="bottom"/>
            <w:tcBorders>
              <w:bottom w:val="single" w:sz="8" w:color="auto"/>
            </w:tcBorders>
            <w:gridSpan w:val="2"/>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tcBorders>
              <w:bottom w:val="single" w:sz="8" w:color="auto"/>
            </w:tcBorders>
          </w:tcPr>
          <w:p>
            <w:pPr>
              <w:spacing w:after="0"/>
              <w:rPr>
                <w:sz w:val="19"/>
                <w:szCs w:val="19"/>
                <w:color w:val="auto"/>
              </w:rPr>
            </w:pPr>
          </w:p>
        </w:tc>
        <w:tc>
          <w:tcPr>
            <w:tcW w:w="1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Signature of shareholder</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vMerge w:val="continue"/>
          </w:tcPr>
          <w:p>
            <w:pPr>
              <w:spacing w:after="0"/>
              <w:rPr>
                <w:sz w:val="19"/>
                <w:szCs w:val="19"/>
                <w:color w:val="auto"/>
              </w:rPr>
            </w:pPr>
          </w:p>
        </w:tc>
        <w:tc>
          <w:tcPr>
            <w:tcW w:w="1220" w:type="dxa"/>
            <w:vAlign w:val="bottom"/>
            <w:tcBorders>
              <w:left w:val="single" w:sz="8" w:color="auto"/>
              <w:bottom w:val="single" w:sz="8" w:color="auto"/>
            </w:tcBorders>
            <w:gridSpan w:val="2"/>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540" w:type="dxa"/>
            <w:vAlign w:val="bottom"/>
            <w:vMerge w:val="continue"/>
          </w:tcPr>
          <w:p>
            <w:pPr>
              <w:spacing w:after="0"/>
              <w:rPr>
                <w:sz w:val="19"/>
                <w:szCs w:val="19"/>
                <w:color w:val="auto"/>
              </w:rPr>
            </w:pPr>
          </w:p>
        </w:tc>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560" w:type="dxa"/>
            <w:vAlign w:val="bottom"/>
            <w:tcBorders>
              <w:left w:val="single" w:sz="8" w:color="auto"/>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540" w:type="dxa"/>
            <w:vAlign w:val="bottom"/>
            <w:vMerge w:val="continue"/>
          </w:tcPr>
          <w:p>
            <w:pPr>
              <w:spacing w:after="0"/>
              <w:rPr>
                <w:sz w:val="19"/>
                <w:szCs w:val="19"/>
                <w:color w:val="auto"/>
              </w:rPr>
            </w:pPr>
          </w:p>
        </w:tc>
        <w:tc>
          <w:tcPr>
            <w:tcW w:w="1140" w:type="dxa"/>
            <w:vAlign w:val="bottom"/>
            <w:tcBorders>
              <w:left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hanging="444"/>
        <w:spacing w:after="0" w:line="266" w:lineRule="auto"/>
        <w:rPr>
          <w:sz w:val="20"/>
          <w:szCs w:val="20"/>
          <w:color w:val="auto"/>
        </w:rPr>
      </w:pPr>
      <w:r>
        <w:rPr>
          <w:rFonts w:ascii="Times New Roman" w:cs="Times New Roman" w:eastAsia="Times New Roman" w:hAnsi="Times New Roman"/>
          <w:sz w:val="18"/>
          <w:szCs w:val="18"/>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2)"/>
      <w:numFmt w:val="decimal"/>
      <w:start w:val="3"/>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jpe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14" Type="http://schemas.openxmlformats.org/officeDocument/2006/relationships/hyperlink" Target="https://www.sec.gov/Archives/edgar/data/1625791/000161577415000908/s101052_forms8.htm" TargetMode="External"/><Relationship Id="rId15" Type="http://schemas.openxmlformats.org/officeDocument/2006/relationships/hyperlink" Target="https://www.sec.gov/Archives/edgar/data/1625791/000121390016017339/fs82016_kornitdigital.htm" TargetMode="External"/><Relationship Id="rId16" Type="http://schemas.openxmlformats.org/officeDocument/2006/relationships/hyperlink" Target="https://www.sec.gov/Archives/edgar/data/1625791/000121390017003012/fs82017_kornitdigital.htm" TargetMode="External"/><Relationship Id="rId17" Type="http://schemas.openxmlformats.org/officeDocument/2006/relationships/hyperlink" Target="https://www.sec.gov/Archives/edgar/data/1625791/000121390018003205/fs82018_kornitdigital.htm" TargetMode="External"/><Relationship Id="rId18" Type="http://schemas.openxmlformats.org/officeDocument/2006/relationships/hyperlink" Target="https://www.sec.gov/Archives/edgar/data/1625791/000121390019005079/fs82019_kornitdigitalltd.htm" TargetMode="External"/><Relationship Id="rId19" Type="http://schemas.openxmlformats.org/officeDocument/2006/relationships/hyperlink" Target="https://www.sec.gov/Archives/edgar/data/1625791/000121390020007116/ea119827-s8_kornitdigital.htm" TargetMode="External"/><Relationship Id="rId20" Type="http://schemas.openxmlformats.org/officeDocument/2006/relationships/hyperlink" Target="https://www.sec.gov/Archives/edgar/data/1625791/000121390021017777/ea138332-s8_kornitdigital.htm" TargetMode="External"/><Relationship Id="rId21" Type="http://schemas.openxmlformats.org/officeDocument/2006/relationships/hyperlink" Target="https://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2024-07-24T15:52:24Z</dcterms:created>
  <dcterms:modified xsi:type="dcterms:W3CDTF">2024-07-24T15:52:24Z</dcterms:modified>
</cp:coreProperties>
</file>