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PURSUANT TO RULE 13a-16 OR 15d-16 OF</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 xml:space="preserve">For the month of: </w:t>
      </w:r>
      <w:r>
        <w:rPr>
          <w:rFonts w:ascii="Arial" w:cs="Arial" w:eastAsia="Arial" w:hAnsi="Arial"/>
          <w:sz w:val="18"/>
          <w:szCs w:val="18"/>
          <w:b w:val="1"/>
          <w:bCs w:val="1"/>
          <w:color w:val="auto"/>
        </w:rPr>
        <w:t>August 2022</w:t>
      </w:r>
    </w:p>
    <w:p>
      <w:pPr>
        <w:spacing w:after="0" w:line="225"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001-36903</w:t>
      </w:r>
    </w:p>
    <w:p>
      <w:pPr>
        <w:spacing w:after="0" w:line="22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KORNIT DIGITAL LTD.</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(Translation of Registrant’s name into English)</w:t>
      </w:r>
    </w:p>
    <w:p>
      <w:pPr>
        <w:spacing w:after="0" w:line="20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12 Ha’Amal Street</w:t>
      </w:r>
    </w:p>
    <w:p>
      <w:pPr>
        <w:spacing w:after="0" w:line="27" w:lineRule="exact"/>
        <w:rPr>
          <w:sz w:val="24"/>
          <w:szCs w:val="24"/>
          <w:color w:val="auto"/>
        </w:rPr>
      </w:pPr>
    </w:p>
    <w:p>
      <w:pPr>
        <w:jc w:val="center"/>
        <w:ind w:right="-1060"/>
        <w:spacing w:after="0"/>
        <w:rPr>
          <w:sz w:val="20"/>
          <w:szCs w:val="20"/>
          <w:color w:val="auto"/>
        </w:rPr>
      </w:pPr>
      <w:r>
        <w:rPr>
          <w:rFonts w:ascii="Arial" w:cs="Arial" w:eastAsia="Arial" w:hAnsi="Arial"/>
          <w:sz w:val="18"/>
          <w:szCs w:val="18"/>
          <w:b w:val="1"/>
          <w:bCs w:val="1"/>
          <w:color w:val="auto"/>
        </w:rPr>
        <w:t>Park Afek</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Rosh Ha’Ayin 4824096 Israel</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62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213360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659130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13"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CONTENTS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2022 Annual Shareholder Meeting</w:t>
      </w:r>
    </w:p>
    <w:p>
      <w:pPr>
        <w:spacing w:after="0" w:line="221"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On August 11, 2022, Kornit Digital Ltd. (the “</w:t>
      </w:r>
      <w:r>
        <w:rPr>
          <w:rFonts w:ascii="Arial" w:cs="Arial" w:eastAsia="Arial" w:hAnsi="Arial"/>
          <w:sz w:val="17"/>
          <w:szCs w:val="17"/>
          <w:b w:val="1"/>
          <w:bCs w:val="1"/>
          <w:color w:val="auto"/>
        </w:rPr>
        <w:t>Company</w:t>
      </w:r>
      <w:r>
        <w:rPr>
          <w:rFonts w:ascii="Arial" w:cs="Arial" w:eastAsia="Arial" w:hAnsi="Arial"/>
          <w:sz w:val="17"/>
          <w:szCs w:val="17"/>
          <w:color w:val="auto"/>
        </w:rPr>
        <w:t>”) held its 2022 annual general meeting of shareholders (the “</w:t>
      </w:r>
      <w:r>
        <w:rPr>
          <w:rFonts w:ascii="Arial" w:cs="Arial" w:eastAsia="Arial" w:hAnsi="Arial"/>
          <w:sz w:val="17"/>
          <w:szCs w:val="17"/>
          <w:b w:val="1"/>
          <w:bCs w:val="1"/>
          <w:color w:val="auto"/>
        </w:rPr>
        <w:t>Annual Meeting</w:t>
      </w:r>
      <w:r>
        <w:rPr>
          <w:rFonts w:ascii="Arial" w:cs="Arial" w:eastAsia="Arial" w:hAnsi="Arial"/>
          <w:sz w:val="17"/>
          <w:szCs w:val="17"/>
          <w:color w:val="auto"/>
        </w:rPr>
        <w:t>”). At the Annual Meeting, the Company’s shareholders voted on two proposals, which are listed below and which were described in more detail in the Company’s notice and proxy statement for the Annual Meeting, which were attached as Exhibits 99.1 and 99.2 to the Report of Foreign Private Issuer on Form 6-K (a “</w:t>
      </w:r>
      <w:r>
        <w:rPr>
          <w:rFonts w:ascii="Arial" w:cs="Arial" w:eastAsia="Arial" w:hAnsi="Arial"/>
          <w:sz w:val="17"/>
          <w:szCs w:val="17"/>
          <w:b w:val="1"/>
          <w:bCs w:val="1"/>
          <w:color w:val="auto"/>
        </w:rPr>
        <w:t>Form 6-K</w:t>
      </w:r>
      <w:r>
        <w:rPr>
          <w:rFonts w:ascii="Arial" w:cs="Arial" w:eastAsia="Arial" w:hAnsi="Arial"/>
          <w:sz w:val="17"/>
          <w:szCs w:val="17"/>
          <w:color w:val="auto"/>
        </w:rPr>
        <w:t>”) that the Company furnished to the Securities and Exchange Commission (the “</w:t>
      </w:r>
      <w:r>
        <w:rPr>
          <w:rFonts w:ascii="Arial" w:cs="Arial" w:eastAsia="Arial" w:hAnsi="Arial"/>
          <w:sz w:val="17"/>
          <w:szCs w:val="17"/>
          <w:b w:val="1"/>
          <w:bCs w:val="1"/>
          <w:color w:val="auto"/>
        </w:rPr>
        <w:t>SEC</w:t>
      </w:r>
      <w:r>
        <w:rPr>
          <w:rFonts w:ascii="Arial" w:cs="Arial" w:eastAsia="Arial" w:hAnsi="Arial"/>
          <w:sz w:val="17"/>
          <w:szCs w:val="17"/>
          <w:color w:val="auto"/>
        </w:rPr>
        <w:t>”) on June 30, 2022.</w:t>
      </w:r>
    </w:p>
    <w:p>
      <w:pPr>
        <w:spacing w:after="0" w:line="16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Based on the presence in person or by proxy of the requisite quorum of our outstanding ordinary shares, par value 0.01 New Israeli Shekels per share (“</w:t>
      </w:r>
      <w:r>
        <w:rPr>
          <w:rFonts w:ascii="Arial" w:cs="Arial" w:eastAsia="Arial" w:hAnsi="Arial"/>
          <w:sz w:val="18"/>
          <w:szCs w:val="18"/>
          <w:b w:val="1"/>
          <w:bCs w:val="1"/>
          <w:color w:val="auto"/>
        </w:rPr>
        <w:t>ordinary shares</w:t>
      </w:r>
      <w:r>
        <w:rPr>
          <w:rFonts w:ascii="Arial" w:cs="Arial" w:eastAsia="Arial" w:hAnsi="Arial"/>
          <w:sz w:val="18"/>
          <w:szCs w:val="18"/>
          <w:color w:val="auto"/>
        </w:rPr>
        <w:t>”), at the Annual Meeting, each of the following two proposals (and each sub-proposal thereof) was approved by the requisite ordinary majority of the Company’s ordinary shares under the Israeli Companies Law, 5759-1999 (the “</w:t>
      </w:r>
      <w:r>
        <w:rPr>
          <w:rFonts w:ascii="Arial" w:cs="Arial" w:eastAsia="Arial" w:hAnsi="Arial"/>
          <w:sz w:val="18"/>
          <w:szCs w:val="18"/>
          <w:b w:val="1"/>
          <w:bCs w:val="1"/>
          <w:color w:val="auto"/>
        </w:rPr>
        <w:t>Companies Law</w:t>
      </w:r>
      <w:r>
        <w:rPr>
          <w:rFonts w:ascii="Arial" w:cs="Arial" w:eastAsia="Arial" w:hAnsi="Arial"/>
          <w:sz w:val="18"/>
          <w:szCs w:val="18"/>
          <w:color w:val="auto"/>
        </w:rPr>
        <w:t>”) and the Company’s Articles of Association:</w:t>
      </w:r>
    </w:p>
    <w:p>
      <w:pPr>
        <w:spacing w:after="0" w:line="187" w:lineRule="exact"/>
        <w:rPr>
          <w:sz w:val="20"/>
          <w:szCs w:val="20"/>
          <w:color w:val="auto"/>
        </w:rPr>
      </w:pPr>
    </w:p>
    <w:p>
      <w:pPr>
        <w:jc w:val="both"/>
        <w:ind w:left="340" w:hanging="332"/>
        <w:spacing w:after="0" w:line="263"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Re-election of each of Mr. Dov Ofer and Mr. Yehoshua (Shuki) Nir, and initial election of Mr. Jae Hyun (Jay) Lee, in each case for a three-year term as a Class I director of the Company, until the Company’s annual general meeting of shareholders in 2025 and until his successor is duly elected and qualified;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Name of Director Nominee</w:t>
            </w:r>
          </w:p>
        </w:tc>
        <w:tc>
          <w:tcPr>
            <w:tcW w:w="1380" w:type="dxa"/>
            <w:vAlign w:val="bottom"/>
            <w:gridSpan w:val="2"/>
          </w:tcPr>
          <w:p>
            <w:pPr>
              <w:ind w:left="20"/>
              <w:spacing w:after="0"/>
              <w:rPr>
                <w:sz w:val="20"/>
                <w:szCs w:val="20"/>
                <w:color w:val="auto"/>
              </w:rPr>
            </w:pPr>
            <w:r>
              <w:rPr>
                <w:rFonts w:ascii="Arial" w:cs="Arial" w:eastAsia="Arial" w:hAnsi="Arial"/>
                <w:sz w:val="18"/>
                <w:szCs w:val="18"/>
                <w:b w:val="1"/>
                <w:bCs w:val="1"/>
                <w:color w:val="auto"/>
              </w:rPr>
              <w:t>Votes in Favor</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8"/>
              </w:rPr>
              <w:t>Votes Against</w:t>
            </w:r>
          </w:p>
        </w:tc>
        <w:tc>
          <w:tcPr>
            <w:tcW w:w="1220" w:type="dxa"/>
            <w:vAlign w:val="bottom"/>
            <w:gridSpan w:val="2"/>
          </w:tcPr>
          <w:p>
            <w:pPr>
              <w:ind w:left="100"/>
              <w:spacing w:after="0"/>
              <w:rPr>
                <w:sz w:val="20"/>
                <w:szCs w:val="20"/>
                <w:color w:val="auto"/>
              </w:rPr>
            </w:pPr>
            <w:r>
              <w:rPr>
                <w:rFonts w:ascii="Arial" w:cs="Arial" w:eastAsia="Arial" w:hAnsi="Arial"/>
                <w:sz w:val="18"/>
                <w:szCs w:val="18"/>
                <w:b w:val="1"/>
                <w:bCs w:val="1"/>
                <w:color w:val="auto"/>
              </w:rPr>
              <w:t>Abstentions</w:t>
            </w: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Yehoshua (Shuki) Nir</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31,732,023.</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1,672,094</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179,762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Dov Ofer</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28,003,346</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3,500,396.</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2,080,137</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Jae Hyun (Jay) Lee</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31,883,254.</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1,520,799</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179,826</w:t>
            </w:r>
          </w:p>
        </w:tc>
      </w:tr>
    </w:tbl>
    <w:p>
      <w:pPr>
        <w:spacing w:after="0" w:line="202" w:lineRule="exact"/>
        <w:rPr>
          <w:sz w:val="20"/>
          <w:szCs w:val="20"/>
          <w:color w:val="auto"/>
        </w:rPr>
      </w:pPr>
    </w:p>
    <w:p>
      <w:pPr>
        <w:jc w:val="both"/>
        <w:ind w:left="340" w:hanging="332"/>
        <w:spacing w:after="0" w:line="259"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Re-appointment of Kost Forer Gabbay &amp; Kasierer, registered public accounting firm, a member firm of Ernst &amp; Young Global, as the Company’s independent registered public accounting firm for the year ending December 31, 2022 and the additional period until the Company’s 2023 annual general meeting of shareholders, and authorization of the Company’s board of directors (or the audit committee thereof) to fix such accounting firm’s annual compensation;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Votes in Favor</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Votes Against</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8"/>
              </w:rPr>
              <w:t>Abstentions</w:t>
            </w:r>
          </w:p>
        </w:tc>
      </w:tr>
      <w:tr>
        <w:trPr>
          <w:trHeight w:val="210"/>
        </w:trPr>
        <w:tc>
          <w:tcPr>
            <w:tcW w:w="3620" w:type="dxa"/>
            <w:vAlign w:val="bottom"/>
            <w:tcBorders>
              <w:top w:val="single" w:sz="8" w:color="auto"/>
            </w:tcBorders>
            <w:shd w:val="clear" w:color="auto" w:fill="CCEEFF"/>
          </w:tcPr>
          <w:p>
            <w:pPr>
              <w:jc w:val="right"/>
              <w:ind w:right="1310"/>
              <w:spacing w:after="0"/>
              <w:rPr>
                <w:sz w:val="20"/>
                <w:szCs w:val="20"/>
                <w:color w:val="auto"/>
              </w:rPr>
            </w:pPr>
            <w:r>
              <w:rPr>
                <w:rFonts w:ascii="Arial" w:cs="Arial" w:eastAsia="Arial" w:hAnsi="Arial"/>
                <w:sz w:val="18"/>
                <w:szCs w:val="18"/>
                <w:color w:val="auto"/>
              </w:rPr>
              <w:t>35,488,647</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right"/>
              <w:ind w:right="1350"/>
              <w:spacing w:after="0"/>
              <w:rPr>
                <w:sz w:val="20"/>
                <w:szCs w:val="20"/>
                <w:color w:val="auto"/>
              </w:rPr>
            </w:pPr>
            <w:r>
              <w:rPr>
                <w:rFonts w:ascii="Arial" w:cs="Arial" w:eastAsia="Arial" w:hAnsi="Arial"/>
                <w:sz w:val="18"/>
                <w:szCs w:val="18"/>
                <w:color w:val="auto"/>
              </w:rPr>
              <w:t>1,052,116</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right"/>
              <w:ind w:right="1390"/>
              <w:spacing w:after="0"/>
              <w:rPr>
                <w:sz w:val="20"/>
                <w:szCs w:val="20"/>
                <w:color w:val="auto"/>
              </w:rPr>
            </w:pPr>
            <w:r>
              <w:rPr>
                <w:rFonts w:ascii="Arial" w:cs="Arial" w:eastAsia="Arial" w:hAnsi="Arial"/>
                <w:sz w:val="18"/>
                <w:szCs w:val="18"/>
                <w:color w:val="auto"/>
              </w:rPr>
              <w:t>306,736.</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Incorporation by Reference</w:t>
      </w:r>
    </w:p>
    <w:p>
      <w:pPr>
        <w:spacing w:after="0" w:line="225" w:lineRule="exact"/>
        <w:rPr>
          <w:sz w:val="20"/>
          <w:szCs w:val="20"/>
          <w:color w:val="auto"/>
        </w:rPr>
      </w:pPr>
    </w:p>
    <w:p>
      <w:pPr>
        <w:jc w:val="both"/>
        <w:ind w:right="20" w:firstLine="648"/>
        <w:spacing w:after="0" w:line="308" w:lineRule="auto"/>
        <w:rPr>
          <w:rFonts w:ascii="Arial" w:cs="Arial" w:eastAsia="Arial" w:hAnsi="Arial"/>
          <w:sz w:val="17"/>
          <w:szCs w:val="17"/>
          <w:color w:val="0000EE"/>
        </w:rPr>
      </w:pPr>
      <w:hyperlink r:id="rId13">
        <w:r>
          <w:rPr>
            <w:rFonts w:ascii="Arial" w:cs="Arial" w:eastAsia="Arial" w:hAnsi="Arial"/>
            <w:sz w:val="17"/>
            <w:szCs w:val="17"/>
            <w:color w:val="auto"/>
          </w:rPr>
          <w:t xml:space="preserve">The contents of this Form 6-K are hereby incorporated by reference into the Company’s Registration Statements on Form F-3 (File No. </w:t>
        </w:r>
        <w:r>
          <w:rPr>
            <w:rFonts w:ascii="Arial" w:cs="Arial" w:eastAsia="Arial" w:hAnsi="Arial"/>
            <w:sz w:val="17"/>
            <w:szCs w:val="17"/>
            <w:u w:val="single" w:color="auto"/>
            <w:color w:val="0000EE"/>
          </w:rPr>
          <w:t>333-</w:t>
        </w:r>
      </w:hyperlink>
      <w:hyperlink r:id="rId13">
        <w:r>
          <w:rPr>
            <w:rFonts w:ascii="Arial" w:cs="Arial" w:eastAsia="Arial" w:hAnsi="Arial"/>
            <w:sz w:val="17"/>
            <w:szCs w:val="17"/>
            <w:u w:val="single" w:color="auto"/>
            <w:color w:val="0000EE"/>
          </w:rPr>
          <w:t>248784</w:t>
        </w:r>
        <w:r>
          <w:rPr>
            <w:rFonts w:ascii="Arial" w:cs="Arial" w:eastAsia="Arial" w:hAnsi="Arial"/>
            <w:sz w:val="17"/>
            <w:szCs w:val="17"/>
            <w:color w:val="000000"/>
          </w:rPr>
          <w:t>) and Form S-8 (File No.’s</w:t>
        </w:r>
        <w:r>
          <w:rPr>
            <w:rFonts w:ascii="Arial" w:cs="Arial" w:eastAsia="Arial" w:hAnsi="Arial"/>
            <w:sz w:val="17"/>
            <w:szCs w:val="17"/>
            <w:color w:val="0000EE"/>
          </w:rPr>
          <w:t xml:space="preserve"> </w:t>
        </w:r>
      </w:hyperlink>
      <w:hyperlink r:id="rId14">
        <w:r>
          <w:rPr>
            <w:rFonts w:ascii="Arial" w:cs="Arial" w:eastAsia="Arial" w:hAnsi="Arial"/>
            <w:sz w:val="17"/>
            <w:szCs w:val="17"/>
            <w:u w:val="single" w:color="auto"/>
            <w:color w:val="0000EE"/>
          </w:rPr>
          <w:t>333-203970</w:t>
        </w:r>
      </w:hyperlink>
      <w:hyperlink r:id="rId13">
        <w:r>
          <w:rPr>
            <w:rFonts w:ascii="Arial" w:cs="Arial" w:eastAsia="Arial" w:hAnsi="Arial"/>
            <w:sz w:val="17"/>
            <w:szCs w:val="17"/>
            <w:color w:val="000000"/>
          </w:rPr>
          <w:t>,</w:t>
        </w:r>
        <w:r>
          <w:rPr>
            <w:rFonts w:ascii="Arial" w:cs="Arial" w:eastAsia="Arial" w:hAnsi="Arial"/>
            <w:sz w:val="17"/>
            <w:szCs w:val="17"/>
            <w:color w:val="0000EE"/>
          </w:rPr>
          <w:t xml:space="preserve"> </w:t>
        </w:r>
      </w:hyperlink>
      <w:hyperlink r:id="rId15">
        <w:r>
          <w:rPr>
            <w:rFonts w:ascii="Arial" w:cs="Arial" w:eastAsia="Arial" w:hAnsi="Arial"/>
            <w:sz w:val="17"/>
            <w:szCs w:val="17"/>
            <w:u w:val="single" w:color="auto"/>
            <w:color w:val="0000EE"/>
          </w:rPr>
          <w:t>333-214015</w:t>
        </w:r>
      </w:hyperlink>
      <w:hyperlink r:id="rId13">
        <w:r>
          <w:rPr>
            <w:rFonts w:ascii="Arial" w:cs="Arial" w:eastAsia="Arial" w:hAnsi="Arial"/>
            <w:sz w:val="17"/>
            <w:szCs w:val="17"/>
            <w:color w:val="000000"/>
          </w:rPr>
          <w:t>,</w:t>
        </w:r>
        <w:r>
          <w:rPr>
            <w:rFonts w:ascii="Arial" w:cs="Arial" w:eastAsia="Arial" w:hAnsi="Arial"/>
            <w:sz w:val="17"/>
            <w:szCs w:val="17"/>
            <w:color w:val="0000EE"/>
          </w:rPr>
          <w:t xml:space="preserve"> </w:t>
        </w:r>
      </w:hyperlink>
      <w:hyperlink r:id="rId16">
        <w:r>
          <w:rPr>
            <w:rFonts w:ascii="Arial" w:cs="Arial" w:eastAsia="Arial" w:hAnsi="Arial"/>
            <w:sz w:val="17"/>
            <w:szCs w:val="17"/>
            <w:u w:val="single" w:color="auto"/>
            <w:color w:val="0000EE"/>
          </w:rPr>
          <w:t>333-217039</w:t>
        </w:r>
      </w:hyperlink>
      <w:hyperlink r:id="rId13">
        <w:r>
          <w:rPr>
            <w:rFonts w:ascii="Arial" w:cs="Arial" w:eastAsia="Arial" w:hAnsi="Arial"/>
            <w:sz w:val="17"/>
            <w:szCs w:val="17"/>
            <w:color w:val="000000"/>
          </w:rPr>
          <w:t>,</w:t>
        </w:r>
        <w:r>
          <w:rPr>
            <w:rFonts w:ascii="Arial" w:cs="Arial" w:eastAsia="Arial" w:hAnsi="Arial"/>
            <w:sz w:val="17"/>
            <w:szCs w:val="17"/>
            <w:color w:val="0000EE"/>
          </w:rPr>
          <w:t xml:space="preserve"> </w:t>
        </w:r>
      </w:hyperlink>
      <w:hyperlink r:id="rId17">
        <w:r>
          <w:rPr>
            <w:rFonts w:ascii="Arial" w:cs="Arial" w:eastAsia="Arial" w:hAnsi="Arial"/>
            <w:sz w:val="17"/>
            <w:szCs w:val="17"/>
            <w:u w:val="single" w:color="auto"/>
            <w:color w:val="0000EE"/>
          </w:rPr>
          <w:t>333-223794</w:t>
        </w:r>
      </w:hyperlink>
      <w:hyperlink r:id="rId13">
        <w:r>
          <w:rPr>
            <w:rFonts w:ascii="Arial" w:cs="Arial" w:eastAsia="Arial" w:hAnsi="Arial"/>
            <w:sz w:val="17"/>
            <w:szCs w:val="17"/>
            <w:color w:val="000000"/>
          </w:rPr>
          <w:t>,</w:t>
        </w:r>
        <w:r>
          <w:rPr>
            <w:rFonts w:ascii="Arial" w:cs="Arial" w:eastAsia="Arial" w:hAnsi="Arial"/>
            <w:sz w:val="17"/>
            <w:szCs w:val="17"/>
            <w:color w:val="0000EE"/>
          </w:rPr>
          <w:t xml:space="preserve"> </w:t>
        </w:r>
      </w:hyperlink>
      <w:hyperlink r:id="rId18">
        <w:r>
          <w:rPr>
            <w:rFonts w:ascii="Arial" w:cs="Arial" w:eastAsia="Arial" w:hAnsi="Arial"/>
            <w:sz w:val="17"/>
            <w:szCs w:val="17"/>
            <w:u w:val="single" w:color="auto"/>
            <w:color w:val="0000EE"/>
          </w:rPr>
          <w:t>333-230567</w:t>
        </w:r>
      </w:hyperlink>
      <w:hyperlink r:id="rId13">
        <w:r>
          <w:rPr>
            <w:rFonts w:ascii="Arial" w:cs="Arial" w:eastAsia="Arial" w:hAnsi="Arial"/>
            <w:sz w:val="17"/>
            <w:szCs w:val="17"/>
            <w:color w:val="000000"/>
          </w:rPr>
          <w:t>,</w:t>
        </w:r>
        <w:r>
          <w:rPr>
            <w:rFonts w:ascii="Arial" w:cs="Arial" w:eastAsia="Arial" w:hAnsi="Arial"/>
            <w:sz w:val="17"/>
            <w:szCs w:val="17"/>
            <w:color w:val="0000EE"/>
          </w:rPr>
          <w:t xml:space="preserve"> </w:t>
        </w:r>
      </w:hyperlink>
      <w:hyperlink r:id="rId19">
        <w:r>
          <w:rPr>
            <w:rFonts w:ascii="Arial" w:cs="Arial" w:eastAsia="Arial" w:hAnsi="Arial"/>
            <w:sz w:val="17"/>
            <w:szCs w:val="17"/>
            <w:u w:val="single" w:color="auto"/>
            <w:color w:val="0000EE"/>
          </w:rPr>
          <w:t>333-237346</w:t>
        </w:r>
      </w:hyperlink>
      <w:hyperlink r:id="rId13">
        <w:r>
          <w:rPr>
            <w:rFonts w:ascii="Arial" w:cs="Arial" w:eastAsia="Arial" w:hAnsi="Arial"/>
            <w:sz w:val="17"/>
            <w:szCs w:val="17"/>
            <w:color w:val="000000"/>
          </w:rPr>
          <w:t>,</w:t>
        </w:r>
        <w:r>
          <w:rPr>
            <w:rFonts w:ascii="Arial" w:cs="Arial" w:eastAsia="Arial" w:hAnsi="Arial"/>
            <w:sz w:val="17"/>
            <w:szCs w:val="17"/>
            <w:color w:val="0000EE"/>
          </w:rPr>
          <w:t xml:space="preserve"> </w:t>
        </w:r>
      </w:hyperlink>
      <w:hyperlink r:id="rId20">
        <w:r>
          <w:rPr>
            <w:rFonts w:ascii="Arial" w:cs="Arial" w:eastAsia="Arial" w:hAnsi="Arial"/>
            <w:sz w:val="17"/>
            <w:szCs w:val="17"/>
            <w:u w:val="single" w:color="auto"/>
            <w:color w:val="0000EE"/>
          </w:rPr>
          <w:t>333-254749</w:t>
        </w:r>
      </w:hyperlink>
      <w:hyperlink r:id="rId13">
        <w:r>
          <w:rPr>
            <w:rFonts w:ascii="Arial" w:cs="Arial" w:eastAsia="Arial" w:hAnsi="Arial"/>
            <w:sz w:val="17"/>
            <w:szCs w:val="17"/>
            <w:u w:val="single" w:color="auto"/>
            <w:color w:val="000000"/>
          </w:rPr>
          <w:t>, and</w:t>
        </w:r>
        <w:r>
          <w:rPr>
            <w:rFonts w:ascii="Arial" w:cs="Arial" w:eastAsia="Arial" w:hAnsi="Arial"/>
            <w:sz w:val="17"/>
            <w:szCs w:val="17"/>
            <w:u w:val="single" w:color="auto"/>
            <w:color w:val="0000EE"/>
          </w:rPr>
          <w:t xml:space="preserve"> </w:t>
        </w:r>
      </w:hyperlink>
      <w:hyperlink r:id="rId21">
        <w:r>
          <w:rPr>
            <w:rFonts w:ascii="Arial" w:cs="Arial" w:eastAsia="Arial" w:hAnsi="Arial"/>
            <w:sz w:val="17"/>
            <w:szCs w:val="17"/>
            <w:u w:val="single" w:color="auto"/>
            <w:color w:val="0000EE"/>
          </w:rPr>
          <w:t>333-263975</w:t>
        </w:r>
      </w:hyperlink>
      <w:hyperlink r:id="rId13">
        <w:r>
          <w:rPr>
            <w:rFonts w:ascii="Arial" w:cs="Arial" w:eastAsia="Arial" w:hAnsi="Arial"/>
            <w:sz w:val="17"/>
            <w:szCs w:val="17"/>
            <w:color w:val="000000"/>
          </w:rPr>
          <w:t>).</w:t>
        </w:r>
      </w:hyperlink>
    </w:p>
    <w:p>
      <w:pPr>
        <w:spacing w:after="0" w:line="362" w:lineRule="exact"/>
        <w:rPr>
          <w:rFonts w:ascii="Arial" w:cs="Arial" w:eastAsia="Arial" w:hAnsi="Arial"/>
          <w:sz w:val="17"/>
          <w:szCs w:val="17"/>
          <w:color w:val="0000EE"/>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rFonts w:ascii="Arial" w:cs="Arial" w:eastAsia="Arial" w:hAnsi="Arial"/>
          <w:sz w:val="17"/>
          <w:szCs w:val="17"/>
          <w:color w:val="0000EE"/>
        </w:rPr>
      </w:pPr>
      <w:r>
        <w:rPr>
          <w:rFonts w:ascii="Arial" w:cs="Arial" w:eastAsia="Arial" w:hAnsi="Arial"/>
          <w:sz w:val="17"/>
          <w:szCs w:val="17"/>
          <w:color w:val="0000EE"/>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p>
        </w:tc>
        <w:tc>
          <w:tcPr>
            <w:tcW w:w="7640" w:type="dxa"/>
            <w:vAlign w:val="bottom"/>
            <w:gridSpan w:val="2"/>
          </w:tcPr>
          <w:p>
            <w:pPr>
              <w:ind w:left="3160"/>
              <w:spacing w:after="0"/>
              <w:rPr>
                <w:sz w:val="20"/>
                <w:szCs w:val="20"/>
                <w:color w:val="auto"/>
              </w:rPr>
            </w:pPr>
            <w:r>
              <w:rPr>
                <w:rFonts w:ascii="Arial" w:cs="Arial" w:eastAsia="Arial" w:hAnsi="Arial"/>
                <w:sz w:val="18"/>
                <w:szCs w:val="18"/>
                <w:color w:val="auto"/>
              </w:rPr>
              <w:t>KORNIT DIGITAL LTD.</w:t>
            </w:r>
          </w:p>
        </w:tc>
      </w:tr>
      <w:tr>
        <w:trPr>
          <w:trHeight w:val="439"/>
        </w:trPr>
        <w:tc>
          <w:tcPr>
            <w:tcW w:w="3600" w:type="dxa"/>
            <w:vAlign w:val="bottom"/>
          </w:tcPr>
          <w:p>
            <w:pPr>
              <w:spacing w:after="0"/>
              <w:rPr>
                <w:sz w:val="20"/>
                <w:szCs w:val="20"/>
                <w:color w:val="auto"/>
              </w:rPr>
            </w:pPr>
            <w:r>
              <w:rPr>
                <w:rFonts w:ascii="Arial" w:cs="Arial" w:eastAsia="Arial" w:hAnsi="Arial"/>
                <w:sz w:val="18"/>
                <w:szCs w:val="18"/>
                <w:color w:val="auto"/>
              </w:rPr>
              <w:t>Date: August 11, 2022</w:t>
            </w:r>
          </w:p>
        </w:tc>
        <w:tc>
          <w:tcPr>
            <w:tcW w:w="3720" w:type="dxa"/>
            <w:vAlign w:val="bottom"/>
          </w:tcPr>
          <w:p>
            <w:pPr>
              <w:ind w:left="316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Alon Rozner</w:t>
            </w:r>
          </w:p>
        </w:tc>
      </w:tr>
      <w:tr>
        <w:trPr>
          <w:trHeight w:val="202"/>
        </w:trPr>
        <w:tc>
          <w:tcPr>
            <w:tcW w:w="3600" w:type="dxa"/>
            <w:vAlign w:val="bottom"/>
          </w:tcPr>
          <w:p>
            <w:pPr>
              <w:spacing w:after="0"/>
              <w:rPr>
                <w:sz w:val="17"/>
                <w:szCs w:val="17"/>
                <w:color w:val="auto"/>
              </w:rPr>
            </w:pPr>
          </w:p>
        </w:tc>
        <w:tc>
          <w:tcPr>
            <w:tcW w:w="3720" w:type="dxa"/>
            <w:vAlign w:val="bottom"/>
          </w:tcPr>
          <w:p>
            <w:pPr>
              <w:ind w:left="3160"/>
              <w:spacing w:after="0" w:line="201" w:lineRule="exact"/>
              <w:rPr>
                <w:sz w:val="20"/>
                <w:szCs w:val="20"/>
                <w:color w:val="auto"/>
              </w:rPr>
            </w:pPr>
            <w:r>
              <w:rPr>
                <w:rFonts w:ascii="Arial" w:cs="Arial" w:eastAsia="Arial" w:hAnsi="Arial"/>
                <w:sz w:val="18"/>
                <w:szCs w:val="18"/>
                <w:color w:val="auto"/>
                <w:w w:val="95"/>
              </w:rPr>
              <w:t>Name: </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Alon Rozner</w:t>
            </w:r>
          </w:p>
        </w:tc>
      </w:tr>
      <w:tr>
        <w:trPr>
          <w:trHeight w:val="230"/>
        </w:trPr>
        <w:tc>
          <w:tcPr>
            <w:tcW w:w="3600" w:type="dxa"/>
            <w:vAlign w:val="bottom"/>
          </w:tcPr>
          <w:p>
            <w:pPr>
              <w:spacing w:after="0"/>
              <w:rPr>
                <w:sz w:val="20"/>
                <w:szCs w:val="20"/>
                <w:color w:val="auto"/>
              </w:rPr>
            </w:pPr>
          </w:p>
        </w:tc>
        <w:tc>
          <w:tcPr>
            <w:tcW w:w="3720" w:type="dxa"/>
            <w:vAlign w:val="bottom"/>
          </w:tcPr>
          <w:p>
            <w:pPr>
              <w:ind w:left="316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655"/>
        </w:trPr>
        <w:tc>
          <w:tcPr>
            <w:tcW w:w="36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ind w:left="1980"/>
              <w:spacing w:after="0"/>
              <w:rPr>
                <w:sz w:val="20"/>
                <w:szCs w:val="20"/>
                <w:color w:val="auto"/>
              </w:rPr>
            </w:pPr>
            <w:r>
              <w:rPr>
                <w:rFonts w:ascii="Arial" w:cs="Arial" w:eastAsia="Arial" w:hAnsi="Arial"/>
                <w:sz w:val="18"/>
                <w:szCs w:val="18"/>
                <w:color w:val="auto"/>
              </w:rPr>
              <w:t>2</w:t>
            </w:r>
          </w:p>
        </w:tc>
        <w:tc>
          <w:tcPr>
            <w:tcW w:w="39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22" Type="http://schemas.openxmlformats.org/officeDocument/2006/relationships/image" Target="media/image6.png"/><Relationship Id="rId13" Type="http://schemas.openxmlformats.org/officeDocument/2006/relationships/hyperlink" Target="http://www.sec.gov/Archives/edgar/data/1625791/000121390020026445/ff3asr2020_kornitdigital.htm" TargetMode="External"/><Relationship Id="rId14" Type="http://schemas.openxmlformats.org/officeDocument/2006/relationships/hyperlink" Target="http://www.sec.gov/Archives/edgar/data/1625791/000161577415000908/s101052_forms8.htm" TargetMode="External"/><Relationship Id="rId15" Type="http://schemas.openxmlformats.org/officeDocument/2006/relationships/hyperlink" Target="http://www.sec.gov/Archives/edgar/data/1625791/000121390016017339/fs82016_kornitdigital.htm" TargetMode="External"/><Relationship Id="rId16" Type="http://schemas.openxmlformats.org/officeDocument/2006/relationships/hyperlink" Target="http://www.sec.gov/Archives/edgar/data/1625791/000121390017003012/fs82017_kornitdigital.htm" TargetMode="External"/><Relationship Id="rId17" Type="http://schemas.openxmlformats.org/officeDocument/2006/relationships/hyperlink" Target="http://www.sec.gov/Archives/edgar/data/1625791/000121390018003205/fs82018_kornitdigital.htm" TargetMode="External"/><Relationship Id="rId18" Type="http://schemas.openxmlformats.org/officeDocument/2006/relationships/hyperlink" Target="http://www.sec.gov/Archives/edgar/data/1625791/000121390019005079/fs82019_kornitdigitalltd.htm" TargetMode="External"/><Relationship Id="rId19" Type="http://schemas.openxmlformats.org/officeDocument/2006/relationships/hyperlink" Target="http://www.sec.gov/Archives/edgar/data/1625791/000121390020007116/ea119827-s8_kornitdigital.htm" TargetMode="External"/><Relationship Id="rId20" Type="http://schemas.openxmlformats.org/officeDocument/2006/relationships/hyperlink" Target="http://www.sec.gov/Archives/edgar/data/1625791/000121390021017777/ea138332-s8_kornitdigital.htm" TargetMode="External"/><Relationship Id="rId21" Type="http://schemas.openxmlformats.org/officeDocument/2006/relationships/hyperlink" Target="http://www.sec.gov/Archives/edgar/data/1625791/000121390022016164/ea157447-s8_kornitdigita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2022-08-11T05:42:34Z</dcterms:created>
  <dcterms:modified xsi:type="dcterms:W3CDTF">2022-08-11T05:42:34Z</dcterms:modified>
</cp:coreProperties>
</file>