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333-215404</w:t>
      </w:r>
    </w:p>
    <w:p>
      <w:pPr>
        <w:spacing w:after="0" w:line="13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i w:val="1"/>
          <w:iCs w:val="1"/>
          <w:color w:val="auto"/>
        </w:rPr>
        <w:t>(To prospectus dated January 13,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3,132,481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158115</wp:posOffset>
            </wp:positionV>
            <wp:extent cx="1998345"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8345"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Ordinary Shares</w:t>
      </w:r>
    </w:p>
    <w:p>
      <w:pPr>
        <w:spacing w:after="0" w:line="148"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148" w:lineRule="exact"/>
        <w:rPr>
          <w:sz w:val="24"/>
          <w:szCs w:val="24"/>
          <w:color w:val="auto"/>
        </w:rPr>
      </w:pPr>
    </w:p>
    <w:p>
      <w:pPr>
        <w:ind w:left="460" w:right="459" w:firstLine="432"/>
        <w:spacing w:after="0" w:line="308" w:lineRule="auto"/>
        <w:rPr>
          <w:sz w:val="20"/>
          <w:szCs w:val="20"/>
          <w:color w:val="auto"/>
        </w:rPr>
      </w:pPr>
      <w:r>
        <w:rPr>
          <w:rFonts w:ascii="Arial" w:cs="Arial" w:eastAsia="Arial" w:hAnsi="Arial"/>
          <w:sz w:val="17"/>
          <w:szCs w:val="17"/>
          <w:color w:val="auto"/>
        </w:rPr>
        <w:t>The selling shareholder identified in this prospectus supplement is offering 3,132,481 ordinary shares. We will not receive any of the proceeds from the sale of shares being offered by the selling shareholder.</w:t>
      </w:r>
    </w:p>
    <w:p>
      <w:pPr>
        <w:spacing w:after="0" w:line="79" w:lineRule="exact"/>
        <w:rPr>
          <w:sz w:val="24"/>
          <w:szCs w:val="24"/>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Our ordinary shares are listed on the NASDAQ Global Select Market under the symbol “KRNT.” On November 30, 2018, the last reported sales price of our ordinary shares was $23.02 per share.</w:t>
      </w:r>
    </w:p>
    <w:p>
      <w:pPr>
        <w:spacing w:after="0" w:line="9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30"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Share</w:t>
            </w:r>
          </w:p>
        </w:tc>
        <w:tc>
          <w:tcPr>
            <w:tcW w:w="1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64,215,860.50</w:t>
            </w: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1,566,240.50</w:t>
            </w: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62,649,620.00</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4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4"/>
          <w:szCs w:val="24"/>
          <w:color w:val="auto"/>
        </w:rPr>
      </w:pPr>
    </w:p>
    <w:p>
      <w:pPr>
        <w:ind w:left="900" w:hanging="438"/>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for a description of the compensation payable to the underwriters.</w:t>
      </w:r>
    </w:p>
    <w:p>
      <w:pPr>
        <w:spacing w:after="0" w:line="159" w:lineRule="exact"/>
        <w:rPr>
          <w:sz w:val="24"/>
          <w:szCs w:val="24"/>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We are an “emerging growth company” as defined under federal securities laws and, as such, may elect to comply with certain reduced public company reporting requirements.</w:t>
      </w:r>
    </w:p>
    <w:p>
      <w:pPr>
        <w:spacing w:after="0" w:line="94" w:lineRule="exact"/>
        <w:rPr>
          <w:sz w:val="24"/>
          <w:szCs w:val="24"/>
          <w:color w:val="auto"/>
        </w:rPr>
      </w:pPr>
    </w:p>
    <w:p>
      <w:pPr>
        <w:jc w:val="both"/>
        <w:ind w:left="460" w:right="459" w:firstLine="432"/>
        <w:spacing w:after="0" w:line="347" w:lineRule="auto"/>
        <w:rPr>
          <w:sz w:val="20"/>
          <w:szCs w:val="20"/>
          <w:color w:val="auto"/>
        </w:rPr>
      </w:pPr>
      <w:r>
        <w:rPr>
          <w:rFonts w:ascii="Arial" w:cs="Arial" w:eastAsia="Arial" w:hAnsi="Arial"/>
          <w:sz w:val="16"/>
          <w:szCs w:val="16"/>
          <w:b w:val="1"/>
          <w:bCs w:val="1"/>
          <w:color w:val="auto"/>
        </w:rPr>
        <w:t>Investing in our ordinary shares involves risks that are described in the “Risk Factors” section beginning on page S-3 of this prospectus supplement and in the documents incorporated by reference.</w:t>
      </w:r>
    </w:p>
    <w:p>
      <w:pPr>
        <w:spacing w:after="0" w:line="35" w:lineRule="exact"/>
        <w:rPr>
          <w:sz w:val="24"/>
          <w:szCs w:val="24"/>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113"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underwriters expect to deliver the ordinary shares to purchasers on or about December 7, 2018.</w:t>
      </w:r>
    </w:p>
    <w:p>
      <w:pPr>
        <w:spacing w:after="0" w:line="140"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660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______________________________</w:t>
            </w:r>
          </w:p>
        </w:tc>
      </w:tr>
      <w:tr>
        <w:trPr>
          <w:trHeight w:val="555"/>
        </w:trPr>
        <w:tc>
          <w:tcPr>
            <w:tcW w:w="152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6600" w:type="dxa"/>
            <w:vAlign w:val="bottom"/>
          </w:tcPr>
          <w:p>
            <w:pPr>
              <w:ind w:left="5240"/>
              <w:spacing w:after="0"/>
              <w:rPr>
                <w:sz w:val="20"/>
                <w:szCs w:val="20"/>
                <w:color w:val="auto"/>
              </w:rPr>
            </w:pPr>
            <w:r>
              <w:rPr>
                <w:rFonts w:ascii="Arial" w:cs="Arial" w:eastAsia="Arial" w:hAnsi="Arial"/>
                <w:sz w:val="32"/>
                <w:szCs w:val="32"/>
                <w:b w:val="1"/>
                <w:bCs w:val="1"/>
                <w:color w:val="auto"/>
                <w:w w:val="94"/>
              </w:rPr>
              <w:t>Citigroup</w:t>
            </w:r>
          </w:p>
        </w:tc>
      </w:tr>
      <w:tr>
        <w:trPr>
          <w:trHeight w:val="431"/>
        </w:trPr>
        <w:tc>
          <w:tcPr>
            <w:tcW w:w="1520" w:type="dxa"/>
            <w:vAlign w:val="bottom"/>
          </w:tcPr>
          <w:p>
            <w:pPr>
              <w:spacing w:after="0"/>
              <w:rPr>
                <w:sz w:val="24"/>
                <w:szCs w:val="24"/>
                <w:color w:val="auto"/>
              </w:rPr>
            </w:pPr>
          </w:p>
        </w:tc>
        <w:tc>
          <w:tcPr>
            <w:tcW w:w="6600" w:type="dxa"/>
            <w:vAlign w:val="bottom"/>
          </w:tcPr>
          <w:p>
            <w:pPr>
              <w:jc w:val="center"/>
              <w:ind w:right="1432"/>
              <w:spacing w:after="0"/>
              <w:rPr>
                <w:sz w:val="20"/>
                <w:szCs w:val="20"/>
                <w:color w:val="auto"/>
              </w:rPr>
            </w:pPr>
            <w:r>
              <w:rPr>
                <w:rFonts w:ascii="Arial" w:cs="Arial" w:eastAsia="Arial" w:hAnsi="Arial"/>
                <w:sz w:val="18"/>
                <w:szCs w:val="18"/>
                <w:b w:val="1"/>
                <w:bCs w:val="1"/>
                <w:color w:val="auto"/>
                <w:w w:val="89"/>
              </w:rPr>
              <w:t>______________________________</w:t>
            </w:r>
          </w:p>
        </w:tc>
      </w:tr>
      <w:tr>
        <w:trPr>
          <w:trHeight w:val="432"/>
        </w:trPr>
        <w:tc>
          <w:tcPr>
            <w:tcW w:w="1520" w:type="dxa"/>
            <w:vAlign w:val="bottom"/>
          </w:tcPr>
          <w:p>
            <w:pPr>
              <w:spacing w:after="0"/>
              <w:rPr>
                <w:sz w:val="24"/>
                <w:szCs w:val="24"/>
                <w:color w:val="auto"/>
              </w:rPr>
            </w:pPr>
          </w:p>
        </w:tc>
        <w:tc>
          <w:tcPr>
            <w:tcW w:w="6600" w:type="dxa"/>
            <w:vAlign w:val="bottom"/>
          </w:tcPr>
          <w:p>
            <w:pPr>
              <w:jc w:val="center"/>
              <w:ind w:right="1412"/>
              <w:spacing w:after="0"/>
              <w:rPr>
                <w:sz w:val="20"/>
                <w:szCs w:val="20"/>
                <w:color w:val="auto"/>
              </w:rPr>
            </w:pPr>
            <w:r>
              <w:rPr>
                <w:rFonts w:ascii="Arial" w:cs="Arial" w:eastAsia="Arial" w:hAnsi="Arial"/>
                <w:sz w:val="18"/>
                <w:szCs w:val="18"/>
                <w:color w:val="auto"/>
                <w:w w:val="89"/>
              </w:rPr>
              <w:t>The date of this Prospectus Supplement is December 3, 2018.</w:t>
            </w:r>
          </w:p>
        </w:tc>
      </w:tr>
      <w:tr>
        <w:trPr>
          <w:trHeight w:val="392"/>
        </w:trPr>
        <w:tc>
          <w:tcPr>
            <w:tcW w:w="15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 w:name="page2"/>
    <w:bookmarkEnd w:id="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13"/>
        </w:trPr>
        <w:tc>
          <w:tcPr>
            <w:tcW w:w="7480" w:type="dxa"/>
            <w:vAlign w:val="bottom"/>
            <w:gridSpan w:val="35"/>
          </w:tcPr>
          <w:p>
            <w:pPr>
              <w:spacing w:after="0"/>
              <w:rPr>
                <w:sz w:val="20"/>
                <w:szCs w:val="20"/>
                <w:color w:val="auto"/>
              </w:rPr>
            </w:pPr>
            <w:r>
              <w:rPr>
                <w:rFonts w:ascii="Arial" w:cs="Arial" w:eastAsia="Arial" w:hAnsi="Arial"/>
                <w:sz w:val="16"/>
                <w:szCs w:val="16"/>
                <w:b w:val="1"/>
                <w:bCs w:val="1"/>
                <w:color w:val="auto"/>
              </w:rPr>
              <w:t>Prospectus supplement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183"/>
        </w:trPr>
        <w:tc>
          <w:tcPr>
            <w:tcW w:w="7380" w:type="dxa"/>
            <w:vAlign w:val="bottom"/>
            <w:gridSpan w:val="34"/>
            <w:shd w:val="clear" w:color="auto" w:fill="CCEEFF"/>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S-ii</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S-iii</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S-1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The offering</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2"/>
              </w:rPr>
              <w:t>S-2</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S-3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2"/>
              </w:rPr>
              <w:t>S-6</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Capitalization</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S-7</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Selling shareholder</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2"/>
              </w:rPr>
              <w:t>S-8</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U.S. and Israeli tax considerations for our shareholders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S-9</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Underwriting</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S-17</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S-22</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Enforceability of civil liabilities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Where you can find more information</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S-24</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S-25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426"/>
        </w:trPr>
        <w:tc>
          <w:tcPr>
            <w:tcW w:w="7480" w:type="dxa"/>
            <w:vAlign w:val="bottom"/>
            <w:gridSpan w:val="35"/>
          </w:tcPr>
          <w:p>
            <w:pPr>
              <w:spacing w:after="0"/>
              <w:rPr>
                <w:sz w:val="20"/>
                <w:szCs w:val="20"/>
                <w:color w:val="auto"/>
              </w:rPr>
            </w:pPr>
            <w:r>
              <w:rPr>
                <w:rFonts w:ascii="Arial" w:cs="Arial" w:eastAsia="Arial" w:hAnsi="Arial"/>
                <w:sz w:val="16"/>
                <w:szCs w:val="16"/>
                <w:b w:val="1"/>
                <w:bCs w:val="1"/>
                <w:color w:val="auto"/>
              </w:rPr>
              <w:t>Prospectus</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520" w:type="dxa"/>
            <w:vAlign w:val="bottom"/>
            <w:gridSpan w:val="2"/>
          </w:tcPr>
          <w:p>
            <w:pPr>
              <w:spacing w:after="0"/>
              <w:rPr>
                <w:sz w:val="4"/>
                <w:szCs w:val="4"/>
                <w:color w:val="auto"/>
              </w:rPr>
            </w:pPr>
          </w:p>
        </w:tc>
        <w:tc>
          <w:tcPr>
            <w:tcW w:w="640" w:type="dxa"/>
            <w:vAlign w:val="bottom"/>
          </w:tcPr>
          <w:p>
            <w:pPr>
              <w:spacing w:after="0"/>
              <w:rPr>
                <w:sz w:val="4"/>
                <w:szCs w:val="4"/>
                <w:color w:val="auto"/>
              </w:rPr>
            </w:pPr>
          </w:p>
        </w:tc>
      </w:tr>
      <w:tr>
        <w:trPr>
          <w:trHeight w:val="183"/>
        </w:trPr>
        <w:tc>
          <w:tcPr>
            <w:tcW w:w="7380" w:type="dxa"/>
            <w:vAlign w:val="bottom"/>
            <w:tcBorders>
              <w:top w:val="single" w:sz="8" w:color="auto"/>
            </w:tcBorders>
            <w:gridSpan w:val="34"/>
            <w:shd w:val="clear" w:color="auto" w:fill="CCEEFF"/>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Kornit Digital Ltd.</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1</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Offer Statistics and Expected Timetable</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Ratio of Earnings to Fixed Charges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Capitalization</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Price Range of Ordinary Shares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Selling Shareholders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Securities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Ordinary Shares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99"/>
              </w:rPr>
              <w:t>6</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Rights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Debt Securities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14</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Units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16</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17</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Expenses Associated with the Registration</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20</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35"/>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Incorporation of Certain Documents By Reference</w:t>
              </w:r>
            </w:hyperlink>
          </w:p>
        </w:tc>
        <w:tc>
          <w:tcPr>
            <w:tcW w:w="640" w:type="dxa"/>
            <w:vAlign w:val="bottom"/>
          </w:tcPr>
          <w:p>
            <w:pPr>
              <w:jc w:val="center"/>
              <w:spacing w:after="0" w:line="202" w:lineRule="exact"/>
              <w:rPr>
                <w:sz w:val="20"/>
                <w:szCs w:val="20"/>
                <w:color w:val="auto"/>
              </w:rPr>
            </w:pPr>
            <w:r>
              <w:rPr>
                <w:rFonts w:ascii="Arial" w:cs="Arial" w:eastAsia="Arial" w:hAnsi="Arial"/>
                <w:sz w:val="18"/>
                <w:szCs w:val="18"/>
                <w:color w:val="auto"/>
                <w:w w:val="89"/>
              </w:rPr>
              <w:t>22</w:t>
            </w:r>
          </w:p>
        </w:tc>
      </w:tr>
      <w:tr>
        <w:trPr>
          <w:trHeight w:val="61"/>
        </w:trPr>
        <w:tc>
          <w:tcPr>
            <w:tcW w:w="5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203"/>
        </w:trPr>
        <w:tc>
          <w:tcPr>
            <w:tcW w:w="7480" w:type="dxa"/>
            <w:vAlign w:val="bottom"/>
            <w:gridSpan w:val="35"/>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Enforceability of Civil Liabilities</w:t>
              </w:r>
            </w:hyperlink>
          </w:p>
        </w:tc>
        <w:tc>
          <w:tcPr>
            <w:tcW w:w="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9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The selling shareholder is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1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and Section 21E of the Securities Exchange Act of 1934, as amended,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88"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752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7522845"/>
                    </a:xfrm>
                    <a:prstGeom prst="rect">
                      <a:avLst/>
                    </a:prstGeom>
                    <a:noFill/>
                  </pic:spPr>
                </pic:pic>
              </a:graphicData>
            </a:graphic>
          </wp:anchor>
        </w:drawing>
        <w:t>Prospectus supplement summary</w:t>
      </w:r>
    </w:p>
    <w:p>
      <w:pPr>
        <w:spacing w:after="0" w:line="148" w:lineRule="exact"/>
        <w:rPr>
          <w:sz w:val="20"/>
          <w:szCs w:val="20"/>
          <w:color w:val="auto"/>
        </w:rPr>
      </w:pPr>
    </w:p>
    <w:p>
      <w:pPr>
        <w:jc w:val="both"/>
        <w:ind w:left="560" w:right="539" w:firstLine="432"/>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jc w:val="both"/>
        <w:ind w:left="560" w:right="539" w:firstLine="432"/>
        <w:spacing w:after="0" w:line="268"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significant shareholder</w:t>
      </w:r>
    </w:p>
    <w:p>
      <w:pPr>
        <w:spacing w:after="0" w:line="162" w:lineRule="exact"/>
        <w:rPr>
          <w:sz w:val="20"/>
          <w:szCs w:val="20"/>
          <w:color w:val="auto"/>
        </w:rPr>
      </w:pPr>
    </w:p>
    <w:p>
      <w:pPr>
        <w:jc w:val="both"/>
        <w:ind w:left="560" w:right="559" w:firstLine="432"/>
        <w:spacing w:after="0" w:line="312" w:lineRule="auto"/>
        <w:rPr>
          <w:sz w:val="20"/>
          <w:szCs w:val="20"/>
          <w:color w:val="auto"/>
        </w:rPr>
      </w:pPr>
      <w:r>
        <w:rPr>
          <w:rFonts w:ascii="Arial" w:cs="Arial" w:eastAsia="Arial" w:hAnsi="Arial"/>
          <w:sz w:val="16"/>
          <w:szCs w:val="16"/>
          <w:color w:val="auto"/>
        </w:rPr>
        <w:t>As of November 15, 2018, entities affiliated with Fortissimo Capital Fund II (Israel), L.P. (“Fortissimo Capital”), beneficially owned 9.0% of our outstanding shares in the aggregate. Upon the completion of this offering, Fortissimo Capital will no longer beneficially own any of our outstanding shares.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Material business updates</w:t>
      </w:r>
    </w:p>
    <w:p>
      <w:pPr>
        <w:spacing w:after="0" w:line="148" w:lineRule="exact"/>
        <w:rPr>
          <w:sz w:val="20"/>
          <w:szCs w:val="20"/>
          <w:color w:val="auto"/>
        </w:rPr>
      </w:pPr>
    </w:p>
    <w:p>
      <w:pPr>
        <w:jc w:val="both"/>
        <w:ind w:left="560" w:right="539" w:firstLine="432"/>
        <w:spacing w:after="0" w:line="272" w:lineRule="auto"/>
        <w:rPr>
          <w:sz w:val="20"/>
          <w:szCs w:val="20"/>
          <w:color w:val="auto"/>
        </w:rPr>
      </w:pPr>
      <w:r>
        <w:rPr>
          <w:rFonts w:ascii="Arial" w:cs="Arial" w:eastAsia="Arial" w:hAnsi="Arial"/>
          <w:sz w:val="17"/>
          <w:szCs w:val="17"/>
          <w:color w:val="auto"/>
        </w:rPr>
        <w:t>Our Sales Representative Agreement with Hirsch International Corporation (“Hirsch”) that covers distribution of our products in the United States and Canada will not be renewed and will terminate as of April 1, 2019. Consistent with our strategy of expanding direct sales in place of indirect sales, we intend to distribute our products directly in these regions. Hirsch is required to act in the ordinary course of business until termination of the agreement and to transition existing customer relationships and existing orders to our direct care, while also ceasing to use our intellectual property and proprietary assets, thereby disassociating itself from our company and our products.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560" w:right="539" w:firstLine="432"/>
        <w:spacing w:after="0" w:line="312" w:lineRule="auto"/>
        <w:rPr>
          <w:sz w:val="20"/>
          <w:szCs w:val="20"/>
          <w:color w:val="auto"/>
        </w:rPr>
      </w:pPr>
      <w:r>
        <w:rPr>
          <w:rFonts w:ascii="Arial" w:cs="Arial" w:eastAsia="Arial" w:hAnsi="Arial"/>
          <w:sz w:val="16"/>
          <w:szCs w:val="16"/>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79" w:lineRule="exact"/>
        <w:rPr>
          <w:sz w:val="20"/>
          <w:szCs w:val="20"/>
          <w:color w:val="auto"/>
        </w:rPr>
      </w:pPr>
    </w:p>
    <w:p>
      <w:pPr>
        <w:jc w:val="both"/>
        <w:ind w:left="560" w:right="539" w:firstLine="432"/>
        <w:spacing w:after="0" w:line="255" w:lineRule="auto"/>
        <w:rPr>
          <w:sz w:val="20"/>
          <w:szCs w:val="20"/>
          <w:color w:val="auto"/>
        </w:rPr>
      </w:pPr>
      <w:r>
        <w:rPr>
          <w:rFonts w:ascii="Arial" w:cs="Arial" w:eastAsia="Arial" w:hAnsi="Arial"/>
          <w:sz w:val="18"/>
          <w:szCs w:val="18"/>
          <w:color w:val="auto"/>
        </w:rPr>
        <w:t xml:space="preserve">We are subject to the provisions of the Israeli Companies Law, 5759-1999, as amended. Our principal executive offices are located at 12 Ha’Amal Street, Rosh Ha’Ayin 4809246, Israel, and our telephone number is +972-3-908-5800. Our website address is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(262) 518-0200.</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spacing w:after="0" w:line="396" w:lineRule="exact"/>
        <w:rPr>
          <w:sz w:val="20"/>
          <w:szCs w:val="20"/>
          <w:color w:val="auto"/>
        </w:rPr>
      </w:pPr>
    </w:p>
    <w:p>
      <w:pPr>
        <w:ind w:left="740" w:right="40" w:hanging="179"/>
        <w:spacing w:after="0" w:line="277" w:lineRule="auto"/>
        <w:rPr>
          <w:sz w:val="20"/>
          <w:szCs w:val="20"/>
          <w:color w:val="auto"/>
        </w:rPr>
      </w:pPr>
      <w:r>
        <w:rPr>
          <w:rFonts w:ascii="Arial" w:cs="Arial" w:eastAsia="Arial" w:hAnsi="Arial"/>
          <w:sz w:val="18"/>
          <w:szCs w:val="18"/>
          <w:color w:val="auto"/>
        </w:rPr>
        <w:t>Ordinary shares being offered by the selling shareholder</w:t>
      </w:r>
    </w:p>
    <w:p>
      <w:pPr>
        <w:spacing w:after="0" w:line="143" w:lineRule="exact"/>
        <w:rPr>
          <w:sz w:val="20"/>
          <w:szCs w:val="20"/>
          <w:color w:val="auto"/>
        </w:rPr>
      </w:pPr>
    </w:p>
    <w:p>
      <w:pPr>
        <w:ind w:left="740" w:hanging="179"/>
        <w:spacing w:after="0" w:line="277" w:lineRule="auto"/>
        <w:rPr>
          <w:sz w:val="20"/>
          <w:szCs w:val="20"/>
          <w:color w:val="auto"/>
        </w:rPr>
      </w:pPr>
      <w:r>
        <w:rPr>
          <w:rFonts w:ascii="Arial" w:cs="Arial" w:eastAsia="Arial" w:hAnsi="Arial"/>
          <w:sz w:val="18"/>
          <w:szCs w:val="18"/>
          <w:color w:val="auto"/>
        </w:rPr>
        <w:t>Ordinary shares outstanding before and after this offering</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NASDAQ Global Select Market symbol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-384810</wp:posOffset>
            </wp:positionV>
            <wp:extent cx="5149850" cy="389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9850" cy="389572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3,132,481 ordinary shares.</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34,837,914 ordinary shares.</w:t>
      </w:r>
    </w:p>
    <w:p>
      <w:pPr>
        <w:spacing w:after="0" w:line="198" w:lineRule="exact"/>
        <w:rPr>
          <w:sz w:val="20"/>
          <w:szCs w:val="20"/>
          <w:color w:val="auto"/>
        </w:rPr>
      </w:pPr>
    </w:p>
    <w:p>
      <w:pPr>
        <w:jc w:val="both"/>
        <w:ind w:left="20" w:right="559"/>
        <w:spacing w:after="0" w:line="277" w:lineRule="auto"/>
        <w:rPr>
          <w:sz w:val="20"/>
          <w:szCs w:val="20"/>
          <w:color w:val="auto"/>
        </w:rPr>
      </w:pPr>
      <w:r>
        <w:rPr>
          <w:rFonts w:ascii="Arial" w:cs="Arial" w:eastAsia="Arial" w:hAnsi="Arial"/>
          <w:sz w:val="18"/>
          <w:szCs w:val="18"/>
          <w:color w:val="auto"/>
        </w:rPr>
        <w:t>We will not receive any of the proceeds from the sale of shares by the selling shareholder.</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“KRNT”</w:t>
      </w:r>
    </w:p>
    <w:p>
      <w:pPr>
        <w:spacing w:after="0" w:line="198" w:lineRule="exact"/>
        <w:rPr>
          <w:sz w:val="20"/>
          <w:szCs w:val="20"/>
          <w:color w:val="auto"/>
        </w:rPr>
      </w:pPr>
    </w:p>
    <w:p>
      <w:pPr>
        <w:jc w:val="both"/>
        <w:ind w:left="20" w:right="559"/>
        <w:spacing w:after="0" w:line="257" w:lineRule="auto"/>
        <w:rPr>
          <w:sz w:val="20"/>
          <w:szCs w:val="20"/>
          <w:color w:val="auto"/>
        </w:rPr>
      </w:pPr>
      <w:r>
        <w:rPr>
          <w:rFonts w:ascii="Arial" w:cs="Arial" w:eastAsia="Arial" w:hAnsi="Arial"/>
          <w:sz w:val="18"/>
          <w:szCs w:val="18"/>
          <w:color w:val="auto"/>
        </w:rPr>
        <w:t>See “Risk Factors” and other information included and incorporated by reference in this prospectus supplement and the accompanying prospectus for a discussion of factors you should carefully consider before deciding to invest in our ordinary shares.</w:t>
      </w:r>
    </w:p>
    <w:p>
      <w:pPr>
        <w:spacing w:after="0" w:line="200" w:lineRule="exact"/>
        <w:rPr>
          <w:sz w:val="20"/>
          <w:szCs w:val="20"/>
          <w:color w:val="auto"/>
        </w:rPr>
      </w:pPr>
    </w:p>
    <w:p>
      <w:pPr>
        <w:sectPr>
          <w:pgSz w:w="11900" w:h="16838" w:orient="portrait"/>
          <w:cols w:equalWidth="0" w:num="2">
            <w:col w:w="3760" w:space="280"/>
            <w:col w:w="4979"/>
          </w:cols>
          <w:pgMar w:left="1440" w:top="540" w:right="1440" w:bottom="1440" w:gutter="0" w:footer="0" w:header="0"/>
        </w:sectPr>
      </w:pPr>
    </w:p>
    <w:p>
      <w:pPr>
        <w:spacing w:after="0" w:line="29" w:lineRule="exact"/>
        <w:rPr>
          <w:sz w:val="20"/>
          <w:szCs w:val="20"/>
          <w:color w:val="auto"/>
        </w:rPr>
      </w:pPr>
    </w:p>
    <w:p>
      <w:pPr>
        <w:jc w:val="both"/>
        <w:ind w:left="560" w:right="539" w:firstLine="432"/>
        <w:spacing w:after="0" w:line="272" w:lineRule="auto"/>
        <w:rPr>
          <w:sz w:val="20"/>
          <w:szCs w:val="20"/>
          <w:color w:val="auto"/>
        </w:rPr>
      </w:pPr>
      <w:r>
        <w:rPr>
          <w:rFonts w:ascii="Arial" w:cs="Arial" w:eastAsia="Arial" w:hAnsi="Arial"/>
          <w:sz w:val="17"/>
          <w:szCs w:val="17"/>
          <w:color w:val="auto"/>
        </w:rPr>
        <w:t>Unless otherwise indicated, the number of ordinary shares outstanding before and after this offering is based on the number of ordinary shares outstanding as of September 30, 2018 and excludes as of that date (1) 1,219,736 ordinary shares reserved for future issuance under our equity incentive plans and an additional 1,971,453 ordinary shares underlying outstanding options at a weighted average exercise price of $13.73 per share, of which 680,197 ordinary shares underlie vested options, (2) 855,210 ordinary shares underlying warrants granted to Amazon.com, Inc., all of which were vested and exercisable at an exercise price of $13.04 per share, and (3) 418,364 restricted share units outstanding.</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4 of our Annual Report on Form 20-F for the year ended December 31, 2017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Our Ordinary Shares and the Offering</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assessing our strategy of indirect and direct sales and intend to move towards a higher proportion of direct sales.</w:t>
      </w:r>
    </w:p>
    <w:p>
      <w:pPr>
        <w:spacing w:after="0" w:line="89"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color w:val="auto"/>
        </w:rPr>
        <w:t>Our go to market strategy consists of a hybrid model of indirect and direct sales. We continually evaluate this strategy in the geographies we serve in an effort to best serve our direct or indirect customers. As part of this evaluation, we have been assessing the adoption of a direct sales model in one or more of our key markets, including the United States. Our Sales Representative Agreement with Hirsch, our primary distributor in the United States and Canada, which accounted for 18% of our revenues in the year ended December 31, 2017, will not be renewed and will terminate as of April 1, 2019. Consistent with our strategy of expanding direct sales in place of indirect sales, we intend to distribute our products directly in these regions. As we shift towards such a model, we may experience an initial disruption to our sales efforts in those jurisdictions as we transition from our previous sales structure. In addition, a shift to a direct sales model may result in a short-term impact on our results of operations, including due to the acquisition of inventory that might require a step up in basis and other such accounting impacts and costs associated with increased headcount and related expenses. Moreover, the implementation of a direct sales model may require significant management time and attention which could result in an adverse impact on our business and results of operations during the transition period. There is no assurance that a direct sales approach will increase sales. We may be exposed to risks as a result of transitioning from an indirect sales model to a direct sales model, such as difficulties maintaining relationships with specific customers, hiring appropriately trained personnel and ensuring compliance with local product registration requirements, any of which could result in lower revenues than previously received from the distributors in that market.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results of operations will be adversely impacted by our failure to timely introduce new products.</w:t>
      </w:r>
    </w:p>
    <w:p>
      <w:pPr>
        <w:spacing w:after="0" w:line="18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Our ability to develop innovative new systems and products is important to our business strategy and competitive position. For example, in 2018 we introduced new systems as part of our Avalanche line and are planning to release a new mass production system in the first quarter of 2019 and a new solution for printing on dark polyester in the second quarter of 2019. Difficulties or delays in research, development, production or commercialization of new systems and products could adversely impact our sales and competitive position. If we fail to develop and launch new systems and products, experience cost overruns in connection with such development, or the market does not accept our new systems and products, such as our new mass market production system or dark polyester solutions, our business, results of operations and financial condition would be adversely affected.</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have a concentration of sales with Amazon and any substantial reduction in sales to Amazon or the loss of Amazon as a customer would have a material adverse effect on our results of operations and financial condition.</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For the year ended December 31, 2017 and the nine months ended September 30, 2018, Amazon Corporate LLC, a subsidiary of Amazon.com, Inc. (“Amazon”), accounted for approximately 13% and 18% of our revenues, respectively. During 2017, we experienced delays in delivery of systems to Amazon due to delays in obtaining certain regulatory permits for Amazon’s facility, which negatively impacted our revenues and profitability. The loss of Amazon as a customer or any significant reduction in orders from, or a shift in revenues from quarter to quarter by, Amazon could have a material adverse effect on our business, results of operations and financial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 w:name="page8"/>
    <w:bookmarkEnd w:id="7"/>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impact of the warrants that we issued to Amazon on our results of operations increases if our share price increases.</w:t>
      </w:r>
    </w:p>
    <w:p>
      <w:pPr>
        <w:spacing w:after="0" w:line="103"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In January 2017, in connection with our entry into a master purchase agreement with Amazon, we issued to an affiliate of Amazon warrants to purchase up to 2,932,176 of our ordinary shares which vest based on payments made by Amazon in connection with the purchase of goods and services from us. Our revenues are presented net of the relative value of the warrants in each particular period related to the revenues recognized. Since the value of the warrants depends, in part, on the price of our ordinary shares, our net revenues fluctuate due to the non-cash impact of the value of the warrants on our gross revenues. Accordingly, the value of the warrants, and their corresponding adverse impact on our net revenues, increases as our share price increases. We are unable to predict with certainty how investors or analysts will assess the impact of the warrants on our results of operations and whether the value attributed to the warrants will adversely impact their perceptions of our performance.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unable to protect our trademarks from infringement, our business prospects may be harmed.</w:t>
      </w:r>
    </w:p>
    <w:p>
      <w:pPr>
        <w:spacing w:after="0" w:line="167"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We own trademarks that identify “Kornit” “NeoPigment” and the “K” logo among others, and have registered these trademarks in certain key markets. Although we take steps to monitor the possible infringement or misuse of our trademarks, third parties may violate our trademark rights. In addition, we may not have trademark rights in all of the markets in which we may sell our products. Any unauthorized use of our trademarks could harm our reputation or commercial interests. In addition, efforts to enforce our trademarks may be expensive and time-consuming, and may not effectively prevent infringement.</w:t>
      </w:r>
    </w:p>
    <w:p>
      <w:pPr>
        <w:spacing w:after="0" w:line="111"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In September 2016, we filed an application with the European Union Intellectual Property Office (“EUIPO”) to register the “Kornit” trademark in the European Union. In October 2016, Grupo FB Maquinaria, S.A. (“Grupo”) filed an opposition to our application on the premise that it was identical to an earlier mark, and covered identical goods and/or services, as Grupo’s “Kornit” trademark. Grupo had filed an application to register its “Kornit” trademark in January 2016. We believe that the opposition is meritless and filed an application with EUIPO in July 2017 to declare the Grupo’s registration of the “Kornit” trademark invalid on the basis that the registration was done in bad faith. We are awaiting a ruling by the EUIPO and there can be no assurance that we will prevail. If the EUIPO denies our application to register the “Kornit” trademark, we could be forced to stop using the trademark in the European Union or enter into a license agreement with Grupo to use the mark, which could adversely impact our brand recognition in the European Union and our results of operations.</w:t>
      </w:r>
    </w:p>
    <w:p>
      <w:pPr>
        <w:spacing w:after="0" w:line="1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b w:val="1"/>
          <w:bCs w:val="1"/>
          <w:i w:val="1"/>
          <w:iCs w:val="1"/>
          <w:color w:val="auto"/>
        </w:rPr>
        <w:t>Our new Kiryat Gat facility will be constructed on lands leased by the Company from the Israel Lands Administration (“ILA”). If we are unable to continue to use such lands, we would be unable to construct or subsequently use the facility and our results of operations and future prospects will suffer as a result.</w:t>
      </w:r>
    </w:p>
    <w:p>
      <w:pPr>
        <w:spacing w:after="0" w:line="7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November 2018, we entered into a development agreement (the “Development Agreement”) with the ILA for the construction of our new, modern, manufacturing facility in Kiryat Gat on lands leased from the ILA. Construction is currently expected to begin in 2019 and to be completed by 2021. The Development Agreement provides that if the Company were a “foreign subject,” which includes the Company being under foreign control (i.e., a majority of our ordinary shares are held by non-Israelis), this would constitute a fundamental breach under the agreement. We intend to follow a specific standard process for seeking approval from the ILA in which the ILA approves our entering into the Development Agreement despite our potential status as a “foreign subject,” since our shares are traded on NASDAQ, and we are held by multiple shareholders whose identities are unknown. However, should such approval not be provided, the ILA would be entitled to terminate the Development Agreement if the Company is considered a “foreign subject” under the terms of such agreement. If the Development Agreement were terminated, we would be unable to use the property subject to the Development Agreement for the construction of the new Kiryat Gat facility, which would have a material adverse effect on our results of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subject to additional tax liabilities in the future as a result of audits of our tax returns.</w:t>
      </w:r>
    </w:p>
    <w:p>
      <w:pPr>
        <w:spacing w:after="0" w:line="15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We are currently subject to a tax audit for the years 2013 to 2016 by the Israeli Tax Authority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 w:name="page9"/>
    <w:bookmarkEnd w:id="8"/>
    <w:p>
      <w:pPr>
        <w:jc w:val="both"/>
        <w:ind w:left="460" w:right="459"/>
        <w:spacing w:after="0" w:line="308" w:lineRule="auto"/>
        <w:rPr>
          <w:sz w:val="20"/>
          <w:szCs w:val="20"/>
          <w:color w:val="auto"/>
        </w:rPr>
      </w:pPr>
      <w:r>
        <w:rPr>
          <w:rFonts w:ascii="Arial" w:cs="Arial" w:eastAsia="Arial" w:hAnsi="Arial"/>
          <w:sz w:val="17"/>
          <w:szCs w:val="17"/>
          <w:color w:val="auto"/>
        </w:rPr>
        <w:t>(“ITA”). The ITA may disagree with our positions taken in our tax returns for these years and we may be subject to additional tax liabilities, which could have a material adverse effect on our results of operations.</w:t>
      </w:r>
    </w:p>
    <w:p>
      <w:pPr>
        <w:spacing w:after="0" w:line="14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could be negatively affected by this offering and future sales of our ordinary shares.</w:t>
      </w:r>
    </w:p>
    <w:p>
      <w:pPr>
        <w:spacing w:after="0" w:line="8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1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the selling shareholder, and our executive officers and directors have agreed with the underwriters that, subject to limited exceptions, for a period of 30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Barclays Capital Inc. and Citigroup Global Markets Inc., who may, in their sole discretion and at any time without notice, release all or any portion of the shares subject to those lock-up agreements. See “Underwriting.”</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Amazon is entitled to certain registration rights, which commenced on January 10, 2018, pursuant to a transaction agreement we entered into with Amazon on January 10, 2017. All shares sold pursuant to an offering covered by a registration statement will be freely transferable except if purchased by an affiliate. See “ITEM 7.B — Related Party Transactions — Investors’ Rights Agreement” and “ITEM 10.C — Material Contracts — Agreements with Amazon” in our annual report on Form 20-F for the year ended December 31, 2017.</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addition, 680,197 ordinary shares are issuable under currently vested and exercisable share options granted to employees and office holders as of September 30, 2018. We have filed registration statements on Form S-8 under the U.S. Securities Act of 1933 registering ordinary shares that we may issue under our share incentive plans, of which as of September 30, 2018 there were options, restricted share units and warrants to purchase 3,245,027 shares outstanding. Shares included in such registration statements may be freely sold in the public market upon issuance, except for shares held by affiliates who have certain restrictions on their ability to sell.</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Fortissimo Capital has, and upon completion of this offering will continue to have, influence over us.</w:t>
      </w:r>
    </w:p>
    <w:p>
      <w:pPr>
        <w:spacing w:after="0" w:line="18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Although after completion of this offering, Fortissimo Capital will no longer beneficially own any of our outstanding shares, three of its principals will continue to be members of our nine-member board of directors (the “Board”). Our Board has the authority to direct our business and to appoint and remove our officers. Accordingly, Fortissimo Capital will be able to continue to assert influence over our operations and business strategy, including with respect to matters such as approving or rejecting a merger, consolidation or other business combination; raising future capital; and amending our articles, which govern the rights attached to our ordinary shares.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392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will not receive any of the proceeds from the sale of shares by the selling shareholder.</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our cash and cash equivalents, available for sale marketable securities and total capitalization as of September 30, 2018.</w:t>
      </w:r>
    </w:p>
    <w:p>
      <w:pPr>
        <w:spacing w:after="0" w:line="8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There has been no material change in our capitalization from debt or equity issuances, re-capitalizations or special dividends between September 30, 2018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2017 and our U.S. GAAP financial information contained in the (i) consolidated statements of income, (ii) consolidated balance sheets and (iii) consolidated statement of cash flows for the three months ended September 30, 2018 incorporated by reference from our Current Report on Form 6-K filed on November 13, 2018. See “Where you can find more information.”</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center"/>
              <w:ind w:right="252"/>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6"/>
                <w:szCs w:val="16"/>
                <w:b w:val="1"/>
                <w:bCs w:val="1"/>
                <w:color w:val="auto"/>
              </w:rPr>
              <w:t>(in thousands, except share data)</w:t>
            </w:r>
          </w:p>
        </w:tc>
        <w:tc>
          <w:tcPr>
            <w:tcW w:w="280" w:type="dxa"/>
            <w:vAlign w:val="bottom"/>
          </w:tcPr>
          <w:p>
            <w:pPr>
              <w:spacing w:after="0"/>
              <w:rPr>
                <w:sz w:val="18"/>
                <w:szCs w:val="18"/>
                <w:color w:val="auto"/>
              </w:rPr>
            </w:pPr>
          </w:p>
        </w:tc>
        <w:tc>
          <w:tcPr>
            <w:tcW w:w="980" w:type="dxa"/>
            <w:vAlign w:val="bottom"/>
          </w:tcPr>
          <w:p>
            <w:pPr>
              <w:jc w:val="center"/>
              <w:ind w:right="212"/>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deposits and available for sale marketable securities</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110,925</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line="201" w:lineRule="exact"/>
              <w:rPr>
                <w:sz w:val="20"/>
                <w:szCs w:val="20"/>
                <w:color w:val="auto"/>
              </w:rPr>
            </w:pPr>
            <w:r>
              <w:rPr>
                <w:rFonts w:ascii="Arial" w:cs="Arial" w:eastAsia="Arial" w:hAnsi="Arial"/>
                <w:sz w:val="18"/>
                <w:szCs w:val="18"/>
                <w:color w:val="auto"/>
                <w:w w:val="97"/>
              </w:rPr>
              <w:t>Ordinary shares, NIS 0.01 par value: 200,000,000 shares authorized, actual; 34,837,914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shares issued and outstanding</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149,231</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165,184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165,184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preceding table excludes as of September 30, 2018 (1) 1,219,736 ordinary shares reserved for future issuance under our equity incentive plans and an additional 1,971,453 ordinary shares underlying outstanding options, at a weighted average exercise price of $13.73 per share, of which 680,197 ordinary shares underlie vested options, (2) 855,210 ordinary shares underlying warrants granted to Amazon.com, Inc., all of which were vested and exercisable at an exercise price of $13.04 per share, and (3) 418,364 restricted share units outstanding.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the selling shareholder of our ordinary shares as of November 15, 2018.</w:t>
      </w:r>
    </w:p>
    <w:p>
      <w:pPr>
        <w:spacing w:after="0" w:line="8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Except as otherwise indicated, to our knowledge, the entity named in the table below has sole voting and investment power with respect to all shares of ordinary shares shown as beneficially owned by it, subject to community property laws, where applicable.</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number of shares beneficially owned by the selling shareholder is determined pursuant to Rule 13d-3 promulgated by the SEC under the Exchange Act. The information does not necessarily indicate beneficial ownership for any other purpose.</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percentages of shares outstanding provided in the table are based on a total of 35,001,853 of our ordinary shares outstanding on November 15, 2018.</w:t>
      </w:r>
    </w:p>
    <w:p>
      <w:pPr>
        <w:spacing w:after="0" w:line="8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For more information regarding our relationships with the entity named below, see “Major Shareholders and Related Party Transactions” in our Annual Report on Form 20-F for the year ended December 31, 2017 filed with the SEC on March 20, 2018.</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3340" w:type="dxa"/>
            <w:vAlign w:val="bottom"/>
          </w:tcPr>
          <w:p>
            <w:pPr>
              <w:spacing w:after="0"/>
              <w:rPr>
                <w:sz w:val="19"/>
                <w:szCs w:val="19"/>
                <w:color w:val="auto"/>
              </w:rPr>
            </w:pPr>
          </w:p>
        </w:tc>
        <w:tc>
          <w:tcPr>
            <w:tcW w:w="1900" w:type="dxa"/>
            <w:vAlign w:val="bottom"/>
            <w:gridSpan w:val="4"/>
          </w:tcPr>
          <w:p>
            <w:pPr>
              <w:jc w:val="center"/>
              <w:ind w:left="39"/>
              <w:spacing w:after="0"/>
              <w:rPr>
                <w:sz w:val="20"/>
                <w:szCs w:val="20"/>
                <w:color w:val="auto"/>
              </w:rPr>
            </w:pPr>
            <w:r>
              <w:rPr>
                <w:rFonts w:ascii="Arial" w:cs="Arial" w:eastAsia="Arial" w:hAnsi="Arial"/>
                <w:sz w:val="16"/>
                <w:szCs w:val="16"/>
                <w:b w:val="1"/>
                <w:bCs w:val="1"/>
                <w:color w:val="auto"/>
                <w:w w:val="88"/>
              </w:rPr>
              <w:t>Shares beneficially owned</w:t>
            </w:r>
          </w:p>
        </w:tc>
        <w:tc>
          <w:tcPr>
            <w:tcW w:w="10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Shares beneficially owned</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prior to offering</w:t>
            </w:r>
          </w:p>
        </w:tc>
        <w:tc>
          <w:tcPr>
            <w:tcW w:w="100" w:type="dxa"/>
            <w:vAlign w:val="bottom"/>
          </w:tcPr>
          <w:p>
            <w:pPr>
              <w:spacing w:after="0"/>
              <w:rPr>
                <w:sz w:val="18"/>
                <w:szCs w:val="18"/>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after offering</w:t>
            </w: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w:t>
            </w:r>
          </w:p>
        </w:tc>
        <w:tc>
          <w:tcPr>
            <w:tcW w:w="840" w:type="dxa"/>
            <w:vAlign w:val="bottom"/>
          </w:tcPr>
          <w:p>
            <w:pPr>
              <w:jc w:val="right"/>
              <w:ind w:right="74"/>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offered</w:t>
            </w: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w:t>
            </w:r>
          </w:p>
        </w:tc>
        <w:tc>
          <w:tcPr>
            <w:tcW w:w="940" w:type="dxa"/>
            <w:vAlign w:val="bottom"/>
          </w:tcPr>
          <w:p>
            <w:pPr>
              <w:ind w:left="20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47"/>
        </w:trPr>
        <w:tc>
          <w:tcPr>
            <w:tcW w:w="3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3,132,481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3,132,481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jc w:val="both"/>
        <w:ind w:left="900" w:right="459" w:hanging="438"/>
        <w:spacing w:after="0" w:line="315" w:lineRule="auto"/>
        <w:tabs>
          <w:tab w:leader="none" w:pos="900"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Fortissimo Capital Fund II (GP), L.P., an Israeli limited partnership (“Fortissimo II GP”), serves as the general partner of Fortissimo Capital Fund II (Israel), L.P., a Cayman Islands limited partnership. The general partner of Fortissimo II GP is Fortissimo Capital 2 Management (GP) Ltd., an Israeli company (“Fortissimo Management”). Messrs. Eli Blatt, Yuval Cohen and Marc Lesnick are members of the investment committee of Fortissimo Management and share voting and dispositive power with respect to such shares. The principal address of Fortissimo Capital and of Messrs. Blatt, Cohen and Lesnick is 14 Hamelacha Street, Park Afek, Rosh Ha’Ayin 48091, Israel.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 and Israeli tax considerations for our shareholders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58"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i w:val="1"/>
          <w:iCs w:val="1"/>
          <w:color w:val="auto"/>
        </w:rPr>
        <w:t xml:space="preserve">Capital Gains Taxes Applicable to Non-Israeli Resident Shareholders. </w:t>
      </w:r>
      <w:r>
        <w:rPr>
          <w:rFonts w:ascii="Arial" w:cs="Arial" w:eastAsia="Arial" w:hAnsi="Arial"/>
          <w:sz w:val="16"/>
          <w:szCs w:val="16"/>
          <w:color w:val="auto"/>
        </w:rPr>
        <w:t>Generally, a non-Israeli 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 individual or a corporation) who derives capital gains from the sale of shares in an Israeli resident company that were purchased after the company was listed for trading on a stock exchange outside of Israel should be exempt from Israeli capital gains tax so long as (i) the shares were not held through a permanent establishment that the non-resident maintains in Israel, and (ii) neither the shareholder nor the particular capital gain is otherwise subject to the Israeli Income Tax Law (Inflationary Adjustments) 5745-1985. If not exempt, a non-Israeli would generally be subject to tax on capital gain at the ordinary corporate tax rate (23% in 2018 and thereafter), if generated by a company, or at the rate of 25%, if generated by an individual, or 30%, if generated by an individual who is a substantial shareholder (as defined under the Israeli Income Tax Ordinance) at the time of sale or at any time during the preceding 12-month period (or if the shareholder claims a deduction for interest and linkage differences expenses in connection with the purchase and holding of such shares). Individual and corporate shareholders dealing in securities in Israel are taxed at the tax rates applicable to business income (a corporate tax rate for a corporation and a marginal tax rate of up to 47% for an individual in 2018) unless contrary provisions in a relevant tax treaty apply.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05"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if (a) the capital gain arising from such sale, exchange or disposition can be allocated to a permanent establishment that the shareholder maintained in Israel, under certain conditions, (b) the shareholder holds, directly or indirectly, shares representing 10% or more of the voting capital of the company during any part of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jc w:val="both"/>
        <w:ind w:left="460" w:right="459" w:firstLine="432"/>
        <w:spacing w:after="0" w:line="290" w:lineRule="auto"/>
        <w:rPr>
          <w:sz w:val="20"/>
          <w:szCs w:val="20"/>
          <w:color w:val="auto"/>
        </w:rPr>
      </w:pPr>
      <w:r>
        <w:rPr>
          <w:rFonts w:ascii="Arial" w:cs="Arial" w:eastAsia="Arial" w:hAnsi="Arial"/>
          <w:sz w:val="16"/>
          <w:szCs w:val="16"/>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85"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 only with respect to shareholders which cannot demonstrate that they are exempt from tax on their capital gains from such transaction.</w:t>
      </w:r>
    </w:p>
    <w:p>
      <w:pPr>
        <w:spacing w:after="0" w:line="99"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i w:val="1"/>
          <w:iCs w:val="1"/>
          <w:color w:val="auto"/>
        </w:rPr>
        <w:t>Taxation of Non-Israeli Shareholders on Receipt of Dividends</w:t>
      </w:r>
      <w:r>
        <w:rPr>
          <w:rFonts w:ascii="Arial" w:cs="Arial" w:eastAsia="Arial" w:hAnsi="Arial"/>
          <w:sz w:val="16"/>
          <w:szCs w:val="16"/>
          <w:color w:val="auto"/>
        </w:rPr>
        <w:t>. Non-Israeli residents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or corporations) are generally subject to Israeli income tax on the receipt of dividends paid on our ordinary shares at the rate of 25%, unless relief is provided in a treaty between Israel and the shareholder’s country of residence (provided that a certificate from the Israel Tax Authority allowing for a reduced withholding tax rate is obtained in advance).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(provided that a certificate from the Israel Tax Authority allowing for a reduced withholding tax rate is obtained in advance).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(as such terms are defined in the Law for the Encouragement of Capital Investments, 5719-1959), unless a reduced tax rate is provided under an applicable tax treaty (provided that a certificate from the Israel Tax Authority allowing for a reduced withholding tax rate is obtained in advance). We cannot assure you that we will designate the profits that we may distribute in a way that will reduce shareholders’ tax liability.</w:t>
      </w:r>
    </w:p>
    <w:p>
      <w:pPr>
        <w:spacing w:after="0" w:line="32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0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jc w:val="both"/>
        <w:ind w:left="460" w:right="459" w:firstLine="432"/>
        <w:spacing w:after="0" w:line="257"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Excess tax</w:t>
      </w:r>
    </w:p>
    <w:p>
      <w:pPr>
        <w:spacing w:after="0" w:line="14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Individuals who are subject to tax in Israel are also subject to an additional tax at a rate of 3% (beginning as of 2017) on annual income exceeding NIS 640,000 (which amount is linked to the annual change in the Israeli consumer price index).</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The following is a discussion of the material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77" w:lineRule="exact"/>
        <w:rPr>
          <w:sz w:val="20"/>
          <w:szCs w:val="20"/>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persons that receive our shares as compensation for the performance of services;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38"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92"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partnerships (including entities classified as partnerships for U.S. federal income tax purposes) or other pass-through entities, or persons that will hold our shares through such an entity;</w:t>
      </w:r>
    </w:p>
    <w:p>
      <w:pPr>
        <w:spacing w:after="0" w:line="79" w:lineRule="exact"/>
        <w:rPr>
          <w:rFonts w:ascii="Arial" w:cs="Arial" w:eastAsia="Arial" w:hAnsi="Arial"/>
          <w:sz w:val="17"/>
          <w:szCs w:val="17"/>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persons holding our shares in connection with a trade or business conducted outside the United States;</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 or</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persons that own directly, indirectly or through attribution 10.0% or more of the voting power or value of our shares.</w:t>
      </w:r>
    </w:p>
    <w:p>
      <w:pPr>
        <w:spacing w:after="0" w:line="10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0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jc w:val="both"/>
        <w:ind w:left="460" w:right="459"/>
        <w:spacing w:after="0" w:line="259" w:lineRule="auto"/>
        <w:rPr>
          <w:sz w:val="20"/>
          <w:szCs w:val="20"/>
          <w:color w:val="auto"/>
        </w:rPr>
      </w:pPr>
      <w:r>
        <w:rPr>
          <w:rFonts w:ascii="Arial" w:cs="Arial" w:eastAsia="Arial" w:hAnsi="Arial"/>
          <w:sz w:val="18"/>
          <w:szCs w:val="18"/>
          <w:color w:val="auto"/>
        </w:rPr>
        <w:t>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income tax purposes, is:</w:t>
      </w:r>
    </w:p>
    <w:p>
      <w:pPr>
        <w:spacing w:after="0" w:line="143" w:lineRule="exact"/>
        <w:rPr>
          <w:sz w:val="20"/>
          <w:szCs w:val="20"/>
          <w:color w:val="auto"/>
        </w:rPr>
      </w:pPr>
    </w:p>
    <w:p>
      <w:pPr>
        <w:ind w:left="1320" w:hanging="425"/>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36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00" w:lineRule="exact"/>
        <w:rPr>
          <w:rFonts w:ascii="Arial" w:cs="Arial" w:eastAsia="Arial" w:hAnsi="Arial"/>
          <w:sz w:val="18"/>
          <w:szCs w:val="18"/>
          <w:color w:val="auto"/>
        </w:rPr>
      </w:pPr>
    </w:p>
    <w:p>
      <w:pPr>
        <w:ind w:left="1320" w:hanging="425"/>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80" w:lineRule="exact"/>
        <w:rPr>
          <w:rFonts w:ascii="Arial" w:cs="Arial" w:eastAsia="Arial" w:hAnsi="Arial"/>
          <w:sz w:val="16"/>
          <w:szCs w:val="16"/>
          <w:color w:val="auto"/>
        </w:rPr>
      </w:pPr>
    </w:p>
    <w:p>
      <w:pPr>
        <w:jc w:val="both"/>
        <w:ind w:left="1320" w:right="459" w:hanging="425"/>
        <w:spacing w:after="0" w:line="259" w:lineRule="auto"/>
        <w:tabs>
          <w:tab w:leader="none" w:pos="147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19"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69"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owning and disposing of our ordinary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w:t>
      </w:r>
    </w:p>
    <w:p>
      <w:pPr>
        <w:spacing w:after="0" w:line="14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16"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be qualified dividends provided that we are not classified as a PFIC in the last year prior to the year in which such dividend is paid and the year in which such dividend is paid.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jc w:val="both"/>
        <w:ind w:left="460" w:right="459" w:firstLine="432"/>
        <w:spacing w:after="0" w:line="270"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97"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01" w:lineRule="exact"/>
        <w:rPr>
          <w:sz w:val="20"/>
          <w:szCs w:val="20"/>
          <w:color w:val="auto"/>
        </w:rPr>
      </w:pPr>
    </w:p>
    <w:p>
      <w:pPr>
        <w:jc w:val="both"/>
        <w:ind w:left="460" w:right="459" w:firstLine="432"/>
        <w:spacing w:after="0" w:line="284" w:lineRule="auto"/>
        <w:rPr>
          <w:sz w:val="20"/>
          <w:szCs w:val="20"/>
          <w:color w:val="auto"/>
        </w:rPr>
      </w:pPr>
      <w:r>
        <w:rPr>
          <w:rFonts w:ascii="Arial" w:cs="Arial" w:eastAsia="Arial" w:hAnsi="Arial"/>
          <w:sz w:val="16"/>
          <w:szCs w:val="16"/>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w:t>
      </w:r>
    </w:p>
    <w:p>
      <w:pPr>
        <w:spacing w:after="0" w:line="3" w:lineRule="exact"/>
        <w:rPr>
          <w:sz w:val="20"/>
          <w:szCs w:val="20"/>
          <w:color w:val="auto"/>
        </w:rPr>
      </w:pPr>
    </w:p>
    <w:p>
      <w:pPr>
        <w:jc w:val="both"/>
        <w:ind w:left="460" w:right="459" w:firstLine="2"/>
        <w:spacing w:after="0" w:line="253" w:lineRule="auto"/>
        <w:tabs>
          <w:tab w:leader="none" w:pos="7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jc w:val="both"/>
        <w:ind w:left="460" w:right="459" w:firstLine="432"/>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00" w:lineRule="exact"/>
        <w:rPr>
          <w:sz w:val="20"/>
          <w:szCs w:val="20"/>
          <w:color w:val="auto"/>
        </w:rPr>
      </w:pPr>
    </w:p>
    <w:p>
      <w:pPr>
        <w:ind w:left="1320" w:hanging="42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9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Based on historic and certain estimates of our gross income, gross assets, and market capitalization (which may fluctuate from time to time) and the nature of our business, we do not believe that we were a PFIC for the taxable year ending December 31, 2017 and we do not expect that we will be classified as a PFIC for the taxable year ending December 31, 2018. However, because PFIC status is based on our income, assets and activities for the entire taxable year, it is not possible to determine whether we will be characterized as a PFIC for the 2018 taxable year until after the close of the year. Moreover, we must determine our PFIC status annually based on tests which are factual in nature, and our status in future years will depend on our income, assets, market capitalization and activities in those years. There can be no assurance that we will not be considered a PFIC for any taxable year.</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2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0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jc w:val="both"/>
        <w:ind w:left="460" w:right="459"/>
        <w:spacing w:after="0" w:line="257" w:lineRule="auto"/>
        <w:rPr>
          <w:sz w:val="20"/>
          <w:szCs w:val="20"/>
          <w:color w:val="auto"/>
        </w:rPr>
      </w:pPr>
      <w:r>
        <w:rPr>
          <w:rFonts w:ascii="Arial" w:cs="Arial" w:eastAsia="Arial" w:hAnsi="Arial"/>
          <w:sz w:val="18"/>
          <w:szCs w:val="18"/>
          <w:color w:val="auto"/>
        </w:rPr>
        <w:t>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07"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10"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rules to their investment in our ordinary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jc w:val="both"/>
        <w:ind w:left="460" w:right="459"/>
        <w:spacing w:after="0" w:line="259" w:lineRule="auto"/>
        <w:rPr>
          <w:sz w:val="20"/>
          <w:szCs w:val="20"/>
          <w:color w:val="auto"/>
        </w:rPr>
      </w:pPr>
      <w:r>
        <w:rPr>
          <w:rFonts w:ascii="Arial" w:cs="Arial" w:eastAsia="Arial" w:hAnsi="Arial"/>
          <w:sz w:val="18"/>
          <w:szCs w:val="18"/>
          <w:color w:val="auto"/>
        </w:rPr>
        <w:t>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Barclays Capital Inc. and Citigroup Global Markets Inc. are acting as underwriters of this offering. Under the terms of an underwriting agreement, dated December 3, 2018, each of the underwriters named below has severally agreed to purchase from us and the selling shareholder the respective number of ordinary shares shown opposite its name below:</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94"/>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Underwriters</w:t>
            </w:r>
          </w:p>
        </w:tc>
        <w:tc>
          <w:tcPr>
            <w:tcW w:w="1260" w:type="dxa"/>
            <w:vAlign w:val="bottom"/>
          </w:tcPr>
          <w:p>
            <w:pPr>
              <w:jc w:val="right"/>
              <w:ind w:right="314"/>
              <w:spacing w:after="0"/>
              <w:rPr>
                <w:sz w:val="20"/>
                <w:szCs w:val="20"/>
                <w:color w:val="auto"/>
              </w:rPr>
            </w:pPr>
            <w:r>
              <w:rPr>
                <w:rFonts w:ascii="Arial" w:cs="Arial" w:eastAsia="Arial" w:hAnsi="Arial"/>
                <w:sz w:val="16"/>
                <w:szCs w:val="16"/>
                <w:b w:val="1"/>
                <w:bCs w:val="1"/>
                <w:color w:val="auto"/>
              </w:rPr>
              <w:t>Shares</w:t>
            </w:r>
          </w:p>
        </w:tc>
      </w:tr>
      <w:tr>
        <w:trPr>
          <w:trHeight w:val="47"/>
        </w:trPr>
        <w:tc>
          <w:tcPr>
            <w:tcW w:w="6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1,566,241</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1,566,240</w:t>
            </w:r>
          </w:p>
        </w:tc>
      </w:tr>
      <w:tr>
        <w:trPr>
          <w:trHeight w:val="27"/>
        </w:trPr>
        <w:tc>
          <w:tcPr>
            <w:tcW w:w="6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3,132,481</w:t>
            </w: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ordinary shares to the public at the public offering price set forth on the cover page of this prospectus and to dealers at that price less a concession not in excess of $0.05 per share. After the initial offering, the public offering price, concession or any other term of this offering may be changed.</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to the selling shareholder, before expenses.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Share</w:t>
            </w:r>
          </w:p>
        </w:tc>
        <w:tc>
          <w:tcPr>
            <w:tcW w:w="20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Price to the public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64,215,860.50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1,566,240.50</w:t>
            </w:r>
          </w:p>
        </w:tc>
      </w:tr>
      <w:tr>
        <w:trPr>
          <w:trHeight w:val="41"/>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selling shareholder, before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62,649,620.00</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100"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underwriting agreement provides that the underwriters’ obligation to purchase ordinary shares depends on the satisfaction of the conditions contained in the underwriting agreement including:</w:t>
      </w:r>
    </w:p>
    <w:p>
      <w:pPr>
        <w:spacing w:after="0" w:line="79" w:lineRule="exact"/>
        <w:rPr>
          <w:sz w:val="20"/>
          <w:szCs w:val="20"/>
          <w:color w:val="auto"/>
        </w:rPr>
      </w:pPr>
    </w:p>
    <w:p>
      <w:pPr>
        <w:ind w:left="1320" w:right="459" w:hanging="425"/>
        <w:spacing w:after="0" w:line="277" w:lineRule="auto"/>
        <w:tabs>
          <w:tab w:leader="none" w:pos="15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if any of the shares are purchased;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representations and warranties made by us and the selling shareholder to the underwriters are true;</w:t>
      </w:r>
    </w:p>
    <w:p>
      <w:pPr>
        <w:spacing w:after="0" w:line="89" w:lineRule="exact"/>
        <w:rPr>
          <w:rFonts w:ascii="Arial" w:cs="Arial" w:eastAsia="Arial" w:hAnsi="Arial"/>
          <w:sz w:val="18"/>
          <w:szCs w:val="18"/>
          <w:color w:val="auto"/>
        </w:rPr>
      </w:pPr>
    </w:p>
    <w:p>
      <w:pPr>
        <w:ind w:left="1320" w:hanging="425"/>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the selling shareholder deliver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estimate that our expenses for the offering, excluding underwriting discounts and commissions, will be approximately $350,000. We will bear $175,000 of the expenses for the offering and the selling shareholder will bear the remaining amount.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all of our directors and executive officers, and the selling shareholder have agreed that, for a period of 30 days after the date of this prospectus supplement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sell or grant options or rights with respect to any ordinary shares or securities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both"/>
        <w:ind w:left="460" w:right="459"/>
        <w:spacing w:after="0" w:line="270" w:lineRule="auto"/>
        <w:rPr>
          <w:sz w:val="20"/>
          <w:szCs w:val="20"/>
          <w:color w:val="auto"/>
        </w:rPr>
      </w:pPr>
      <w:r>
        <w:rPr>
          <w:rFonts w:ascii="Arial" w:cs="Arial" w:eastAsia="Arial" w:hAnsi="Arial"/>
          <w:sz w:val="17"/>
          <w:szCs w:val="17"/>
          <w:color w:val="auto"/>
        </w:rPr>
        <w:t>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84" w:lineRule="exact"/>
        <w:rPr>
          <w:sz w:val="20"/>
          <w:szCs w:val="20"/>
          <w:color w:val="auto"/>
        </w:rPr>
      </w:pPr>
    </w:p>
    <w:p>
      <w:pPr>
        <w:ind w:left="1320" w:right="459" w:hanging="425"/>
        <w:spacing w:after="0" w:line="277" w:lineRule="auto"/>
        <w:tabs>
          <w:tab w:leader="none" w:pos="1419"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102" w:lineRule="exact"/>
        <w:rPr>
          <w:rFonts w:ascii="Arial" w:cs="Arial" w:eastAsia="Arial" w:hAnsi="Arial"/>
          <w:sz w:val="18"/>
          <w:szCs w:val="18"/>
          <w:color w:val="auto"/>
        </w:rPr>
      </w:pPr>
    </w:p>
    <w:p>
      <w:pPr>
        <w:jc w:val="both"/>
        <w:ind w:left="1320" w:right="459" w:hanging="425"/>
        <w:spacing w:after="0" w:line="272" w:lineRule="auto"/>
        <w:tabs>
          <w:tab w:leader="none" w:pos="1351"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10" w:lineRule="exact"/>
        <w:rPr>
          <w:rFonts w:ascii="Arial" w:cs="Arial" w:eastAsia="Arial" w:hAnsi="Arial"/>
          <w:sz w:val="17"/>
          <w:szCs w:val="17"/>
          <w:color w:val="auto"/>
        </w:rPr>
      </w:pPr>
    </w:p>
    <w:p>
      <w:pPr>
        <w:ind w:left="1320" w:right="459" w:hanging="425"/>
        <w:spacing w:after="0" w:line="308" w:lineRule="auto"/>
        <w:tabs>
          <w:tab w:leader="none" w:pos="1392" w:val="left"/>
        </w:tabs>
        <w:numPr>
          <w:ilvl w:val="0"/>
          <w:numId w:val="8"/>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ordinary shares in the open market after the distribution has been completed in order to cover syndicate short positions.</w:t>
      </w:r>
    </w:p>
    <w:p>
      <w:pPr>
        <w:spacing w:after="0" w:line="65" w:lineRule="exact"/>
        <w:rPr>
          <w:rFonts w:ascii="Arial" w:cs="Arial" w:eastAsia="Arial" w:hAnsi="Arial"/>
          <w:sz w:val="17"/>
          <w:szCs w:val="17"/>
          <w:color w:val="auto"/>
        </w:rPr>
      </w:pPr>
    </w:p>
    <w:p>
      <w:pPr>
        <w:jc w:val="both"/>
        <w:ind w:left="1320" w:right="459" w:hanging="425"/>
        <w:spacing w:after="0" w:line="264" w:lineRule="auto"/>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1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05"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2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ordinary shares (including the offered shares) are listed on the Nasdaq Global Select Market under the symbol “KRNT.”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4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26"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4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is responsible for undertaking its own target market assessment in respect of the securities (by either adopting or refining the manufacturer’s target market assessment) and determining appropriate distribution channels.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distributor subject to MiFID II that is offering, selling or recommending the securities is responsible for undertaking its own target market assessment in respect of the securities and determining its own distribution channels for the purposes of the MiFID product governance rules under Commission Delegated Directive (EU) 2017/593, or the Delegated Directive. None of we, the selling stockholders or any of the underwriters make or makes any representations or warranties as to a distributor’s compliance with the Delegated Directive.</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supplement may not be made in that Relevant Member State, except that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4" w:name="page25"/>
    <w:bookmarkEnd w:id="24"/>
    <w:p>
      <w:pPr>
        <w:jc w:val="both"/>
        <w:ind w:left="460" w:right="459"/>
        <w:spacing w:after="0" w:line="264" w:lineRule="auto"/>
        <w:rPr>
          <w:sz w:val="20"/>
          <w:szCs w:val="20"/>
          <w:color w:val="auto"/>
        </w:rPr>
      </w:pPr>
      <w:r>
        <w:rPr>
          <w:rFonts w:ascii="Arial" w:cs="Arial" w:eastAsia="Arial" w:hAnsi="Arial"/>
          <w:sz w:val="18"/>
          <w:szCs w:val="18"/>
          <w:color w:val="auto"/>
        </w:rPr>
        <w:t>an offer to the public in that Relevant Member State of any securities may be made at any time under the following exemptions under the Prospectus Directive, if they have been implemented in that Relevant Member State:</w:t>
      </w:r>
    </w:p>
    <w:p>
      <w:pPr>
        <w:spacing w:after="0" w:line="100" w:lineRule="exact"/>
        <w:rPr>
          <w:sz w:val="20"/>
          <w:szCs w:val="20"/>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7" w:lineRule="exact"/>
        <w:rPr>
          <w:rFonts w:ascii="Arial" w:cs="Arial" w:eastAsia="Arial" w:hAnsi="Arial"/>
          <w:sz w:val="18"/>
          <w:szCs w:val="18"/>
          <w:color w:val="auto"/>
        </w:rPr>
      </w:pPr>
    </w:p>
    <w:p>
      <w:pPr>
        <w:jc w:val="both"/>
        <w:ind w:left="1320" w:right="459" w:hanging="425"/>
        <w:spacing w:after="0" w:line="257" w:lineRule="auto"/>
        <w:tabs>
          <w:tab w:leader="none" w:pos="1378"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120" w:lineRule="exact"/>
        <w:rPr>
          <w:rFonts w:ascii="Arial" w:cs="Arial" w:eastAsia="Arial" w:hAnsi="Arial"/>
          <w:sz w:val="18"/>
          <w:szCs w:val="18"/>
          <w:color w:val="auto"/>
        </w:rPr>
      </w:pPr>
    </w:p>
    <w:p>
      <w:pPr>
        <w:ind w:left="1320" w:hanging="42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44"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provided that no such offer of ordinary shares shall require us, the selling stockholders or any of the underwriters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For the purposes of this provision, the expression an “offer of ordinary shares to the public” in relation to the ordinary shares in any Relevant Member State means the communication in any form and by any means of sufficient information on the terms of the offer and the ordinary shares to be offered, so as to enable an investor to decide to purchase or subscribe to the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prospectus supplement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validity of the ordinary shares being offered by this prospectus supplement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Shenhav &amp; Co., Tel Aviv, Israel, with respect to Israeli law, and by Skadden, Arps, Slate, Meagher &amp; Flom LLP, New York, New York, with respect to U.S.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supplement by reference to Kornit Digital Ltd.’s Annual Report on Form 20-F for the year ended December 31, 2017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supplement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97"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 xml:space="preserve">We maintain a corporate website at </w:t>
      </w:r>
      <w:r>
        <w:rPr>
          <w:rFonts w:ascii="Arial" w:cs="Arial" w:eastAsia="Arial" w:hAnsi="Arial"/>
          <w:sz w:val="16"/>
          <w:szCs w:val="16"/>
          <w:i w:val="1"/>
          <w:iCs w:val="1"/>
          <w:color w:val="auto"/>
        </w:rPr>
        <w:t>www.kornit.com</w:t>
      </w:r>
      <w:r>
        <w:rPr>
          <w:rFonts w:ascii="Arial" w:cs="Arial" w:eastAsia="Arial" w:hAnsi="Arial"/>
          <w:sz w:val="16"/>
          <w:szCs w:val="16"/>
          <w:color w:val="auto"/>
        </w:rPr>
        <w:t>.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9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21" w:lineRule="exact"/>
        <w:rPr>
          <w:sz w:val="20"/>
          <w:szCs w:val="20"/>
          <w:color w:val="auto"/>
        </w:rPr>
      </w:pPr>
    </w:p>
    <w:p>
      <w:pPr>
        <w:ind w:left="1320" w:right="459" w:hanging="425"/>
        <w:spacing w:after="0" w:line="277" w:lineRule="auto"/>
        <w:tabs>
          <w:tab w:leader="none" w:pos="1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2017, filed with the SEC on March 20, 2018;</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May 8, 2018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May 10, 2018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May 21, 2018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June 4, 2018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June 12, 2018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June 13, 2018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July 19, 2018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August 6, 2018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September 21, 2018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November 13, 2018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9" w:name="page30"/>
    <w:bookmarkEnd w:id="29"/>
    <w:p>
      <w:pPr>
        <w:jc w:val="both"/>
        <w:ind w:left="460" w:right="459" w:firstLine="432"/>
        <w:spacing w:after="0" w:line="272" w:lineRule="auto"/>
        <w:rPr>
          <w:sz w:val="20"/>
          <w:szCs w:val="20"/>
          <w:color w:val="auto"/>
        </w:rPr>
      </w:pPr>
      <w:r>
        <w:rPr>
          <w:rFonts w:ascii="Arial" w:cs="Arial" w:eastAsia="Arial" w:hAnsi="Arial"/>
          <w:sz w:val="17"/>
          <w:szCs w:val="17"/>
          <w:color w:val="auto"/>
        </w:rPr>
        <w:t>Unless expressly incorporated by reference, nothing in this prospectus supplement and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color w:val="auto"/>
        </w:rPr>
        <w:t>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$100,000,000 of Ordinary Shares, Warrants, Rights, Debt Securities</w:t>
      </w:r>
    </w:p>
    <w:p>
      <w:pPr>
        <w:jc w:val="center"/>
        <w:spacing w:after="0" w:line="238" w:lineRule="auto"/>
        <w:rPr>
          <w:sz w:val="20"/>
          <w:szCs w:val="20"/>
          <w:color w:val="auto"/>
        </w:rPr>
      </w:pPr>
      <w:r>
        <w:rPr>
          <w:rFonts w:ascii="Arial" w:cs="Arial" w:eastAsia="Arial" w:hAnsi="Arial"/>
          <w:sz w:val="22"/>
          <w:szCs w:val="22"/>
          <w:color w:val="auto"/>
        </w:rPr>
        <w:t>and/or Units Offered by the Company</w:t>
      </w:r>
    </w:p>
    <w:p>
      <w:pPr>
        <w:jc w:val="center"/>
        <w:spacing w:after="0" w:line="230" w:lineRule="auto"/>
        <w:rPr>
          <w:sz w:val="20"/>
          <w:szCs w:val="20"/>
          <w:color w:val="auto"/>
        </w:rPr>
      </w:pPr>
      <w:r>
        <w:rPr>
          <w:rFonts w:ascii="Arial" w:cs="Arial" w:eastAsia="Arial" w:hAnsi="Arial"/>
          <w:sz w:val="22"/>
          <w:szCs w:val="22"/>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Up to 15,127,481 Ordinary Shares Offered by 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175895</wp:posOffset>
            </wp:positionV>
            <wp:extent cx="1998345" cy="1174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9834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Kornit Digital Ltd.</w:t>
      </w:r>
    </w:p>
    <w:p>
      <w:pPr>
        <w:spacing w:after="0" w:line="3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may offer from time to time in one or more series or issuances ordinary shares, warrants to purchase ordinary shares, rights, debt securities consisting of debentures, notes or other evidences of indebtedness and/or securities and units comprised of, or other combinations of, the foregoing securities. We refer to the ordinary shares, warrants, rights, debt securities and units collectively as “securities” in this prospectus.</w:t>
      </w:r>
    </w:p>
    <w:p>
      <w:pPr>
        <w:spacing w:after="0" w:line="87"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addition, the selling shareholders identified in this prospectus may offer up to 15,127,481 ordinary shares. We will not receive any of the proceeds from the sale of ordinary shares by the selling shareholders.</w:t>
      </w:r>
    </w:p>
    <w:p>
      <w:pPr>
        <w:spacing w:after="0" w:line="5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Each time we or the selling shareholders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may, from time to time, offer the securities and the selling shareholders may, from time to time, offer the ordinary shares through public or private transactions, directly or through underwriters, agents or dealers, on or off the NASDAQ Stock Market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w:t>
      </w:r>
    </w:p>
    <w:p>
      <w:pPr>
        <w:spacing w:after="0" w:line="12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ordinary shares are traded on the NASDAQ Global Select Market under the symbol “KRNT.” The closing price of our ordinary shares, as reported on the NASDAQ Global Select Market on December 30, 2016 was $12.65.</w:t>
      </w:r>
    </w:p>
    <w:p>
      <w:pPr>
        <w:spacing w:after="0" w:line="11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77" w:lineRule="exact"/>
        <w:rPr>
          <w:sz w:val="20"/>
          <w:szCs w:val="20"/>
          <w:color w:val="auto"/>
        </w:rPr>
      </w:pPr>
    </w:p>
    <w:p>
      <w:pPr>
        <w:jc w:val="both"/>
        <w:ind w:left="460" w:right="459" w:firstLine="432"/>
        <w:spacing w:after="0" w:line="282" w:lineRule="auto"/>
        <w:rPr>
          <w:sz w:val="20"/>
          <w:szCs w:val="20"/>
          <w:color w:val="auto"/>
        </w:rPr>
      </w:pPr>
      <w:r>
        <w:rPr>
          <w:rFonts w:ascii="Arial" w:cs="Arial" w:eastAsia="Arial" w:hAnsi="Arial"/>
          <w:sz w:val="18"/>
          <w:szCs w:val="18"/>
          <w:b w:val="1"/>
          <w:bCs w:val="1"/>
          <w:color w:val="auto"/>
        </w:rPr>
        <w:t>We are an “emerging growth company” as defined under U.S. federal securities laws and, as such, may elect to comply with certain reduced public company reporting requirements.</w:t>
      </w:r>
    </w:p>
    <w:p>
      <w:pPr>
        <w:spacing w:after="0" w:line="9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77"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Investing in these securities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securities.</w:t>
      </w:r>
    </w:p>
    <w:p>
      <w:pPr>
        <w:spacing w:after="0" w:line="11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77"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being offered by this prospectus, or determined if this prospectus is truthful or complete. Any representation to the contrary is a criminal offense.</w:t>
      </w:r>
    </w:p>
    <w:p>
      <w:pPr>
        <w:spacing w:after="0" w:line="9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January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263525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 w:name="page32"/>
    <w:bookmarkEnd w:id="31"/>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13"/>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5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500" w:type="dxa"/>
            <w:vAlign w:val="bottom"/>
            <w:gridSpan w:val="24"/>
            <w:shd w:val="clear" w:color="auto" w:fill="CCEEFF"/>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ii</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Kornit Digital Ltd.</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Offer Statistics and Expected Timetable</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Ratio of Earnings to Fixed Charges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Capitalization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Price Range of Ordinary Shares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Selling Shareholders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Securities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5</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Ordinary Shares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79"/>
              </w:rPr>
              <w:t>6</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Warrants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Rights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Debt Securities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14</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Units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16</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17</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Expenses Associated with the Registration</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20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Where You Can Find More Information</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500" w:type="dxa"/>
            <w:vAlign w:val="bottom"/>
            <w:gridSpan w:val="24"/>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Incorporation of Certain Documents By Reference</w:t>
              </w:r>
            </w:hyperlink>
          </w:p>
        </w:tc>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89"/>
              </w:rPr>
              <w:t>22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500" w:type="dxa"/>
            <w:vAlign w:val="bottom"/>
            <w:gridSpan w:val="24"/>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Enforceability of Civil Liabilities</w:t>
              </w:r>
            </w:hyperlink>
          </w:p>
        </w:tc>
        <w:tc>
          <w:tcPr>
            <w:tcW w:w="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8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process, we may offer and sell our securities under this prospectus and the selling shareholders referred to in this prospectus and identified in supplements to this prospectus may also offer and sell our ordinary shares under this prospectus.</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Under this shelf process, we may sell the securities described in this prospectus in one or more offerings up to a total price to the public of $100 million. The selling shareholders may sell up to 15,127,481 ordinary shares in one or more offerings. The offer and sale of securities under this prospectus may be made from time to time, in one or more offerings, in any manner described under the section in this prospectus entitled “Plan of Distribution.”</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securities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10541-10601 North Commerce Street, Mequon, Wisconsin 53092, and its telephone number is (262) 518-0200.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An investment in our securities involves a high degree of risk. Our business, financial condition or results of operations could be adversely affected by any of these risks. If any of these risks occur, the value of our ordinary shares and our other securities may decline. You should carefully consider the risk factors discussed under the caption “Risk Factors” in our annual report on Form 20-F for the year ended December 31, 2015 and in any other filings we make with the SEC subsequent to the date of this prospectus which are incorporated herein by reference, and in any supplement to this prospectus, before making your investment decision.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STATISTICS AND EXPECTED TIMETABLE</w:t>
      </w:r>
    </w:p>
    <w:p>
      <w:pPr>
        <w:spacing w:after="0" w:line="14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sell from time to time pursuant to this prospectus (as may be detailed in a prospectus supplement) an indeterminate number of ordinary shares, warrants to purchase ordinary shares, rights and/or units comprised of any of the foregoing securities as shall have a maximum aggregate offering price of $100 million. The selling shareholders may sell from time to time pursuant to this prospectus up to 15,127,481 ordinary shares. The actual price per share or per security of the securities that we or the selling shareholders will offer pursuant hereto will depend on a number of factors that may be relevant as of the time of offer. See “Plan of Distribution.”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following table sets forth our ratio of earnings to fixed charges for the periods indicated. The ratio of earnings to fixed charges is computed by dividing fixed charges into earnings before income taxes plus fixed charges.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Nine Months</w:t>
            </w:r>
          </w:p>
        </w:tc>
      </w:tr>
      <w:tr>
        <w:trPr>
          <w:trHeight w:val="203"/>
        </w:trPr>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r>
      <w:tr>
        <w:trPr>
          <w:trHeight w:val="210"/>
        </w:trPr>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Year Ended December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47"/>
        </w:trPr>
        <w:tc>
          <w:tcPr>
            <w:tcW w:w="29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1"/>
        </w:trPr>
        <w:tc>
          <w:tcPr>
            <w:tcW w:w="296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900" w:type="dxa"/>
            <w:vAlign w:val="bottom"/>
          </w:tcPr>
          <w:p>
            <w:pPr>
              <w:jc w:val="right"/>
              <w:ind w:right="216"/>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r>
      <w:tr>
        <w:trPr>
          <w:trHeight w:val="47"/>
        </w:trPr>
        <w:tc>
          <w:tcPr>
            <w:tcW w:w="29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4"/>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0"/>
                <w:szCs w:val="20"/>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920" w:hanging="45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ratio of earnings to fixed charges is computed by dividing (i) income before income taxes plus fixed charges by</w:t>
      </w:r>
    </w:p>
    <w:p>
      <w:pPr>
        <w:spacing w:after="0" w:line="33" w:lineRule="exact"/>
        <w:rPr>
          <w:rFonts w:ascii="Arial" w:cs="Arial" w:eastAsia="Arial" w:hAnsi="Arial"/>
          <w:sz w:val="15"/>
          <w:szCs w:val="15"/>
          <w:color w:val="auto"/>
        </w:rPr>
      </w:pPr>
    </w:p>
    <w:p>
      <w:pPr>
        <w:jc w:val="both"/>
        <w:ind w:left="900" w:right="459" w:hanging="5"/>
        <w:spacing w:after="0" w:line="276" w:lineRule="auto"/>
        <w:tabs>
          <w:tab w:leader="none" w:pos="1149" w:val="left"/>
        </w:tabs>
        <w:numPr>
          <w:ilvl w:val="1"/>
          <w:numId w:val="12"/>
        </w:numPr>
        <w:rPr>
          <w:rFonts w:ascii="Arial" w:cs="Arial" w:eastAsia="Arial" w:hAnsi="Arial"/>
          <w:sz w:val="16"/>
          <w:szCs w:val="16"/>
          <w:color w:val="auto"/>
        </w:rPr>
      </w:pPr>
      <w:r>
        <w:rPr>
          <w:rFonts w:ascii="Arial" w:cs="Arial" w:eastAsia="Arial" w:hAnsi="Arial"/>
          <w:sz w:val="16"/>
          <w:szCs w:val="16"/>
          <w:color w:val="auto"/>
        </w:rPr>
        <w:t>fixed charges. Fixed charges include the portion of rental expense that management believes is representative of the interest component and amortization of premium. See Exhibit 12.1 of the Registration Statement on Form F-3, of which this prospectus is a part.</w:t>
      </w:r>
    </w:p>
    <w:p>
      <w:pPr>
        <w:spacing w:after="0" w:line="113"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As of the date of this prospectus, we have no preferred shares outstanding and have neither declared nor paid any dividends on preferred shares for the periods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Our capitalization will be set forth in a prospectus supplement to this prospectus or in a report of a foreign private issuer on Form 6-K subsequently furnished to the SEC and specifically incorporated herein by reference.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have been quoted on the NASDAQ Global Select Market under the symbol “KRNT” since April 2, 2015. Prior to that date, there was no public trading market for our ordinary shares. Our initial public offering was priced at $10.00 per share on April 1, 2015. The following table sets forth for the periods indicated the high and low closing sales prices per ordinary share as reported on NASDAQ:</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Low</w:t>
            </w:r>
          </w:p>
        </w:tc>
        <w:tc>
          <w:tcPr>
            <w:tcW w:w="340" w:type="dxa"/>
            <w:vAlign w:val="bottom"/>
          </w:tcPr>
          <w:p>
            <w:pPr>
              <w:spacing w:after="0"/>
              <w:rPr>
                <w:sz w:val="18"/>
                <w:szCs w:val="18"/>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High</w:t>
            </w:r>
          </w:p>
        </w:tc>
      </w:tr>
      <w:tr>
        <w:trPr>
          <w:trHeight w:val="47"/>
        </w:trPr>
        <w:tc>
          <w:tcPr>
            <w:tcW w:w="60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gridSpan w:val="3"/>
          </w:tcPr>
          <w:p>
            <w:pPr>
              <w:spacing w:after="0"/>
              <w:rPr>
                <w:sz w:val="4"/>
                <w:szCs w:val="4"/>
                <w:color w:val="auto"/>
              </w:rPr>
            </w:pPr>
          </w:p>
        </w:tc>
      </w:tr>
      <w:tr>
        <w:trPr>
          <w:trHeight w:val="224"/>
        </w:trPr>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3"/>
          </w:tcPr>
          <w:p>
            <w:pPr>
              <w:jc w:val="right"/>
              <w:ind w:right="371"/>
              <w:spacing w:after="0"/>
              <w:rPr>
                <w:sz w:val="20"/>
                <w:szCs w:val="20"/>
                <w:color w:val="auto"/>
              </w:rPr>
            </w:pPr>
            <w:r>
              <w:rPr>
                <w:rFonts w:ascii="Arial" w:cs="Arial" w:eastAsia="Arial" w:hAnsi="Arial"/>
                <w:sz w:val="18"/>
                <w:szCs w:val="18"/>
                <w:color w:val="auto"/>
              </w:rPr>
              <w:t>(in U.S. dollars)</w:t>
            </w:r>
          </w:p>
        </w:tc>
      </w:tr>
      <w:tr>
        <w:trPr>
          <w:trHeight w:val="40"/>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8.10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604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Third Quarter 2016</w:t>
            </w: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8.10</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First Quarter 2016</w:t>
            </w: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8.91</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Third Quarter 2015</w:t>
            </w: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11.42</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15.85</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11.76</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6040" w:type="dxa"/>
            <w:vAlign w:val="bottom"/>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 (through December 30, 2016)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11.25</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November 2016</w:t>
            </w: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12.30</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9.35</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September 2016</w:t>
            </w: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2016</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9.50</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July 2016</w:t>
            </w:r>
          </w:p>
        </w:tc>
        <w:tc>
          <w:tcPr>
            <w:tcW w:w="2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9.39</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41"/>
        </w:trPr>
        <w:tc>
          <w:tcPr>
            <w:tcW w:w="6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8.48</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41"/>
        </w:trPr>
        <w:tc>
          <w:tcPr>
            <w:tcW w:w="6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The closing price of our ordinary shares, as reported on NASDAQ on December 30, 2016, was $12.65.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 The timing and amount of our actual expenditures will be based on many factors, including cash flows from operations and the anticipated growth of our business. As a result, unless otherwise indicated in the applicable prospectus supplement, our management will have broad discretion to allocate the net proceeds of the offerings.</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will not receive any proceeds from the sale of ordinary shares by the selling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62"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In addition to the securities that may be offered by us from time to time, this prospectus relates to the possible offering and sale, from time to time, of up to 15,127,481 ordinary shares by the selling shareholders.</w:t>
      </w:r>
    </w:p>
    <w:p>
      <w:pPr>
        <w:spacing w:after="0" w:line="5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following table sets forth: (1) the number and percentage of our ordinary shares that each selling shareholder beneficially owned prior to the offering of the shares; (2) the number of our ordinary shares offered by each selling shareholder from time to time; and (3) the number and percentage of our ordinary shares to be beneficially owned by each selling shareholder assuming the sale of all of the ordinary shares offered by such selling shareholder. The applicable percentages of beneficial ownership are based on an aggregate of 30,989,873 ordinary shares outstanding as of December 31, 2016.</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4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Shares Beneficially Owned</w:t>
            </w:r>
          </w:p>
        </w:tc>
        <w:tc>
          <w:tcPr>
            <w:tcW w:w="17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1"/>
              </w:rPr>
              <w:t>Number of Shares</w:t>
            </w: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Prior to Offering</w:t>
            </w:r>
          </w:p>
        </w:tc>
        <w:tc>
          <w:tcPr>
            <w:tcW w:w="17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to be Offered</w:t>
            </w:r>
          </w:p>
        </w:tc>
        <w:tc>
          <w:tcPr>
            <w:tcW w:w="1940" w:type="dxa"/>
            <w:vAlign w:val="bottom"/>
            <w:gridSpan w:val="3"/>
          </w:tcPr>
          <w:p>
            <w:pPr>
              <w:jc w:val="right"/>
              <w:ind w:right="393"/>
              <w:spacing w:after="0"/>
              <w:rPr>
                <w:sz w:val="20"/>
                <w:szCs w:val="20"/>
                <w:color w:val="auto"/>
              </w:rPr>
            </w:pPr>
            <w:r>
              <w:rPr>
                <w:rFonts w:ascii="Arial" w:cs="Arial" w:eastAsia="Arial" w:hAnsi="Arial"/>
                <w:sz w:val="16"/>
                <w:szCs w:val="16"/>
                <w:b w:val="1"/>
                <w:bCs w:val="1"/>
                <w:color w:val="auto"/>
              </w:rPr>
              <w:t>After Offering</w:t>
            </w:r>
          </w:p>
        </w:tc>
      </w:tr>
      <w:tr>
        <w:trPr>
          <w:trHeight w:val="47"/>
        </w:trPr>
        <w:tc>
          <w:tcPr>
            <w:tcW w:w="23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31"/>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Selling Shareholders</w:t>
            </w:r>
          </w:p>
        </w:tc>
        <w:tc>
          <w:tcPr>
            <w:tcW w:w="10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w:t>
            </w: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Percent</w:t>
            </w: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Number</w:t>
            </w: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Percent</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Number</w:t>
            </w:r>
          </w:p>
        </w:tc>
        <w:tc>
          <w:tcPr>
            <w:tcW w:w="1040" w:type="dxa"/>
            <w:vAlign w:val="bottom"/>
          </w:tcPr>
          <w:p>
            <w:pPr>
              <w:jc w:val="right"/>
              <w:ind w:right="193"/>
              <w:spacing w:after="0"/>
              <w:rPr>
                <w:sz w:val="20"/>
                <w:szCs w:val="20"/>
                <w:color w:val="auto"/>
              </w:rPr>
            </w:pPr>
            <w:r>
              <w:rPr>
                <w:rFonts w:ascii="Arial" w:cs="Arial" w:eastAsia="Arial" w:hAnsi="Arial"/>
                <w:sz w:val="16"/>
                <w:szCs w:val="16"/>
                <w:b w:val="1"/>
                <w:bCs w:val="1"/>
                <w:color w:val="auto"/>
              </w:rPr>
              <w:t>Percent</w:t>
            </w:r>
          </w:p>
        </w:tc>
      </w:tr>
      <w:tr>
        <w:trPr>
          <w:trHeight w:val="47"/>
        </w:trPr>
        <w:tc>
          <w:tcPr>
            <w:tcW w:w="20" w:type="dxa"/>
            <w:vAlign w:val="bottom"/>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95"/>
        </w:trPr>
        <w:tc>
          <w:tcPr>
            <w:tcW w:w="20" w:type="dxa"/>
            <w:vAlign w:val="bottom"/>
          </w:tcPr>
          <w:p>
            <w:pPr>
              <w:spacing w:after="0"/>
              <w:rPr>
                <w:sz w:val="16"/>
                <w:szCs w:val="16"/>
                <w:color w:val="auto"/>
              </w:rPr>
            </w:pPr>
          </w:p>
        </w:tc>
        <w:tc>
          <w:tcPr>
            <w:tcW w:w="2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Fortissimo Capital Fund II</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71"/>
        </w:trPr>
        <w:tc>
          <w:tcPr>
            <w:tcW w:w="20" w:type="dxa"/>
            <w:vAlign w:val="bottom"/>
          </w:tcPr>
          <w:p>
            <w:pPr>
              <w:spacing w:after="0"/>
              <w:rPr>
                <w:sz w:val="23"/>
                <w:szCs w:val="23"/>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(Israel), L.P.</w:t>
            </w:r>
            <w:r>
              <w:rPr>
                <w:rFonts w:ascii="Arial" w:cs="Arial" w:eastAsia="Arial" w:hAnsi="Arial"/>
                <w:sz w:val="20"/>
                <w:szCs w:val="20"/>
                <w:color w:val="auto"/>
                <w:vertAlign w:val="superscript"/>
              </w:rPr>
              <w:t>(1)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15,037,481</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15,037,481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91"/>
        </w:trPr>
        <w:tc>
          <w:tcPr>
            <w:tcW w:w="2380" w:type="dxa"/>
            <w:vAlign w:val="bottom"/>
            <w:gridSpan w:val="2"/>
          </w:tcPr>
          <w:p>
            <w:pPr>
              <w:spacing w:after="0"/>
              <w:rPr>
                <w:sz w:val="20"/>
                <w:szCs w:val="20"/>
                <w:color w:val="auto"/>
              </w:rPr>
            </w:pPr>
            <w:r>
              <w:rPr>
                <w:rFonts w:ascii="Arial" w:cs="Arial" w:eastAsia="Arial" w:hAnsi="Arial"/>
                <w:sz w:val="18"/>
                <w:szCs w:val="18"/>
                <w:color w:val="auto"/>
              </w:rPr>
              <w:t>Gabi Seligsohn</w:t>
            </w:r>
            <w:r>
              <w:rPr>
                <w:rFonts w:ascii="Arial" w:cs="Arial" w:eastAsia="Arial" w:hAnsi="Arial"/>
                <w:sz w:val="20"/>
                <w:szCs w:val="20"/>
                <w:color w:val="auto"/>
                <w:vertAlign w:val="superscript"/>
              </w:rPr>
              <w:t>(2)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528,914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438,914</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jc w:val="both"/>
        <w:ind w:left="900" w:right="459" w:hanging="438"/>
        <w:spacing w:after="0" w:line="282" w:lineRule="auto"/>
        <w:tabs>
          <w:tab w:leader="none" w:pos="9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3" w:lineRule="exact"/>
        <w:rPr>
          <w:rFonts w:ascii="Arial" w:cs="Arial" w:eastAsia="Arial" w:hAnsi="Arial"/>
          <w:sz w:val="15"/>
          <w:szCs w:val="15"/>
          <w:color w:val="auto"/>
        </w:rPr>
      </w:pPr>
    </w:p>
    <w:p>
      <w:pPr>
        <w:jc w:val="both"/>
        <w:ind w:left="900" w:right="459" w:hanging="438"/>
        <w:spacing w:after="0" w:line="272" w:lineRule="auto"/>
        <w:tabs>
          <w:tab w:leader="none" w:pos="98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36,357 ordinary shares and options to purchase 492,557 ordinary shares exercisable within 60 days of January 3, 2017. As of January 3, 2017, Mr. Seligsohn also holds additional options to purchase 398,435 ordinary shares that are not exercisable within 60 days of January 3, 2017. Mr. Seligsohn’s address is c/o Kornit Digital Ltd., 12 Ha’Amal Street, Rosh Ha’Ayin 4809246, Israel.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the particular terms of any securities offered by such prospectus supplement. If we so indicate in the applicable prospectus supplement, the terms of the securities may differ from the terms we have summarized below.</w:t>
      </w:r>
    </w:p>
    <w:p>
      <w:pPr>
        <w:spacing w:after="0" w:line="105"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may sell from time to time, in one or more offerings, ordinary shares, warrants, rights and/or units comprising any combination of these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and incorporated by reference herein.</w:t>
      </w:r>
    </w:p>
    <w:p>
      <w:pPr>
        <w:spacing w:after="0" w:line="10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30,989,873 shares were issued and outstanding as of December 31, 2016. As of December 31, 2016, no preferred shares were authorized under our articles of association.</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of association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w:t>
      </w:r>
    </w:p>
    <w:p>
      <w:pPr>
        <w:spacing w:after="0" w:line="11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our articles of association, our board of directors must consist of not less than five but no more than nine directors, including two external directors 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jc w:val="both"/>
        <w:ind w:left="460" w:right="459"/>
        <w:spacing w:after="0" w:line="264" w:lineRule="auto"/>
        <w:rPr>
          <w:sz w:val="20"/>
          <w:szCs w:val="20"/>
          <w:color w:val="auto"/>
        </w:rPr>
      </w:pPr>
      <w:r>
        <w:rPr>
          <w:rFonts w:ascii="Arial" w:cs="Arial" w:eastAsia="Arial" w:hAnsi="Arial"/>
          <w:sz w:val="18"/>
          <w:szCs w:val="18"/>
          <w:color w:val="auto"/>
        </w:rPr>
        <w:t>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0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21" w:lineRule="exact"/>
        <w:rPr>
          <w:sz w:val="20"/>
          <w:szCs w:val="20"/>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jc w:val="both"/>
        <w:ind w:left="460" w:right="459" w:firstLine="432"/>
        <w:spacing w:after="0" w:line="286" w:lineRule="auto"/>
        <w:rPr>
          <w:sz w:val="20"/>
          <w:szCs w:val="20"/>
          <w:color w:val="auto"/>
        </w:rPr>
      </w:pPr>
      <w:r>
        <w:rPr>
          <w:rFonts w:ascii="Arial" w:cs="Arial" w:eastAsia="Arial" w:hAnsi="Arial"/>
          <w:sz w:val="16"/>
          <w:szCs w:val="16"/>
          <w:color w:val="auto"/>
        </w:rPr>
        <w:t>The Israeli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9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certain compensation-related matters requires the approval of special majorities by shareholders.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99"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jc w:val="both"/>
        <w:ind w:left="460" w:right="459"/>
        <w:spacing w:after="0" w:line="264" w:lineRule="auto"/>
        <w:rPr>
          <w:sz w:val="20"/>
          <w:szCs w:val="20"/>
          <w:color w:val="auto"/>
        </w:rPr>
      </w:pPr>
      <w:r>
        <w:rPr>
          <w:rFonts w:ascii="Arial" w:cs="Arial" w:eastAsia="Arial" w:hAnsi="Arial"/>
          <w:sz w:val="18"/>
          <w:szCs w:val="18"/>
          <w:color w:val="auto"/>
        </w:rPr>
        <w:t>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Israeli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Demand Registration Rights</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At any time, Fortissimo Capital Fund II (Israel), L.P., or Fortissimo Capital, which owns 48.5% of our outstanding shares as of the date of this prospectus,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Piggyback Registration Rights</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Shelf Registration Rights</w:t>
      </w:r>
    </w:p>
    <w:p>
      <w:pPr>
        <w:spacing w:after="0" w:line="15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Provisions</w:t>
      </w:r>
    </w:p>
    <w:p>
      <w:pPr>
        <w:spacing w:after="0" w:line="158"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6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1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1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w:t>
      </w:r>
    </w:p>
    <w:p>
      <w:pPr>
        <w:spacing w:after="0" w:line="15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jc w:val="both"/>
        <w:ind w:left="460" w:right="459"/>
        <w:spacing w:after="0" w:line="312" w:lineRule="auto"/>
        <w:rPr>
          <w:sz w:val="20"/>
          <w:szCs w:val="20"/>
          <w:color w:val="auto"/>
        </w:rPr>
      </w:pPr>
      <w:r>
        <w:rPr>
          <w:rFonts w:ascii="Arial" w:cs="Arial" w:eastAsia="Arial" w:hAnsi="Arial"/>
          <w:sz w:val="16"/>
          <w:szCs w:val="16"/>
          <w:color w:val="auto"/>
        </w:rPr>
        <w:t>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6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4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We may issue warrants to purchase our ordinary shares in one or more series together with other securities or separately, as described in the applicable prospectus supplement.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8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103" w:lineRule="exact"/>
        <w:rPr>
          <w:sz w:val="20"/>
          <w:szCs w:val="20"/>
          <w:color w:val="auto"/>
        </w:rPr>
      </w:pPr>
    </w:p>
    <w:p>
      <w:pPr>
        <w:ind w:left="1320" w:hanging="42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upon exercise of such warrants may be purchased;</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designation, amount and terms of the securities purchasable upon exercise of such warrants;</w:t>
      </w:r>
    </w:p>
    <w:p>
      <w:pPr>
        <w:spacing w:after="0" w:line="167" w:lineRule="exact"/>
        <w:rPr>
          <w:rFonts w:ascii="Arial" w:cs="Arial" w:eastAsia="Arial" w:hAnsi="Arial"/>
          <w:sz w:val="16"/>
          <w:szCs w:val="16"/>
          <w:color w:val="auto"/>
        </w:rPr>
      </w:pPr>
    </w:p>
    <w:p>
      <w:pPr>
        <w:ind w:left="1320" w:right="459" w:hanging="425"/>
        <w:spacing w:after="0" w:line="277" w:lineRule="auto"/>
        <w:tabs>
          <w:tab w:leader="none" w:pos="1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any material Israeli and U.S. federal income tax considerations;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 and</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We may issue subscription rights to purchase our ordinary shares. Rights may be issued independently or together with any other offered security and may or may not be transferable by the person purchasing or receiving the rights.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8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103" w:lineRule="exact"/>
        <w:rPr>
          <w:sz w:val="20"/>
          <w:szCs w:val="20"/>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the material Israeli and U.S. income tax considerations applicable to the issuance or exercise of such rights;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rights shall expire (subject to any extension);</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02" w:lineRule="exact"/>
        <w:rPr>
          <w:rFonts w:ascii="Arial" w:cs="Arial" w:eastAsia="Arial" w:hAnsi="Arial"/>
          <w:sz w:val="18"/>
          <w:szCs w:val="18"/>
          <w:color w:val="auto"/>
        </w:rPr>
      </w:pPr>
    </w:p>
    <w:p>
      <w:pPr>
        <w:ind w:left="1320" w:right="459" w:hanging="425"/>
        <w:spacing w:after="0" w:line="308" w:lineRule="auto"/>
        <w:tabs>
          <w:tab w:leader="none" w:pos="1338"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applicable, the material terms of any standby underwriting or other purchase arrangement, or any agency agreement, that we may enter into in connection with the rights offering; and</w:t>
      </w:r>
    </w:p>
    <w:p>
      <w:pPr>
        <w:spacing w:after="0" w:line="65" w:lineRule="exact"/>
        <w:rPr>
          <w:rFonts w:ascii="Arial" w:cs="Arial" w:eastAsia="Arial" w:hAnsi="Arial"/>
          <w:sz w:val="17"/>
          <w:szCs w:val="17"/>
          <w:color w:val="auto"/>
        </w:rPr>
      </w:pPr>
    </w:p>
    <w:p>
      <w:pPr>
        <w:ind w:left="1320" w:right="459" w:hanging="425"/>
        <w:spacing w:after="0" w:line="277" w:lineRule="auto"/>
        <w:tabs>
          <w:tab w:leader="none" w:pos="1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such rights, including terms, procedures and limitations relating to the exchange and exercise of such rights.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Rights</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Each right will entitle the holder of the right to purchase for cash such number of ordinary shares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w:t>
      </w:r>
    </w:p>
    <w:p>
      <w:pPr>
        <w:spacing w:after="0" w:line="12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Rights may be exercised as set forth in the prospectus supplement relating to the rights offered thereby. Upon receipt of payment and the rights certificate properly completed and duly executed at the corporate trust office of the rights agent or any other office indicated in the prospectus supplement, we will forward, as soon as practicable, the securities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may issue debt securities together with other securities or separately, as described in the applicable prospectus supplement, under an indenture to be entered into between Kornit Digital Ltd.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1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103" w:lineRule="exact"/>
        <w:rPr>
          <w:sz w:val="20"/>
          <w:szCs w:val="20"/>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4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5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denominations in which such debt securities may be issuable, if other than denomination of $1,000, or any integral multiple of that number;</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securities are to be issuable in the form of certificated debt securities or global debt securities;</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w:t>
      </w:r>
    </w:p>
    <w:p>
      <w:pPr>
        <w:spacing w:after="0" w:line="89" w:lineRule="exact"/>
        <w:rPr>
          <w:rFonts w:ascii="Arial" w:cs="Arial" w:eastAsia="Arial" w:hAnsi="Arial"/>
          <w:sz w:val="18"/>
          <w:szCs w:val="18"/>
          <w:color w:val="auto"/>
        </w:rPr>
      </w:pPr>
    </w:p>
    <w:p>
      <w:pPr>
        <w:jc w:val="both"/>
        <w:ind w:left="1320" w:right="459" w:hanging="425"/>
        <w:spacing w:after="0" w:line="286" w:lineRule="auto"/>
        <w:tabs>
          <w:tab w:leader="none" w:pos="13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denominations, the manner in which exchange rate with respect to such payments will be determined;</w:t>
      </w:r>
    </w:p>
    <w:p>
      <w:pPr>
        <w:spacing w:after="0" w:line="97" w:lineRule="exact"/>
        <w:rPr>
          <w:rFonts w:ascii="Arial" w:cs="Arial" w:eastAsia="Arial" w:hAnsi="Arial"/>
          <w:sz w:val="17"/>
          <w:szCs w:val="17"/>
          <w:color w:val="auto"/>
        </w:rPr>
      </w:pPr>
    </w:p>
    <w:p>
      <w:pPr>
        <w:jc w:val="both"/>
        <w:ind w:left="1320" w:right="459" w:hanging="425"/>
        <w:spacing w:after="0" w:line="259" w:lineRule="auto"/>
        <w:tabs>
          <w:tab w:leader="none" w:pos="13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05"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ordinary shares;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ectPr>
          <w:pgSz w:w="11900" w:h="16838" w:orient="portrait"/>
          <w:cols w:equalWidth="0" w:num="1">
            <w:col w:w="9019"/>
          </w:cols>
          <w:pgMar w:left="1440" w:top="337"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7" w:name="page48"/>
    <w:bookmarkEnd w:id="47"/>
    <w:p>
      <w:pPr>
        <w:ind w:left="1320" w:right="459" w:hanging="425"/>
        <w:spacing w:after="0" w:line="277" w:lineRule="auto"/>
        <w:tabs>
          <w:tab w:leader="none" w:pos="14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other indebtedness of Kornit Digital Ltd.</w:t>
      </w:r>
    </w:p>
    <w:p>
      <w:pPr>
        <w:spacing w:after="0" w:line="8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One or more debt securities may be sold at a substantial discount below their stated principal amount.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19"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As specified in the applicable prospectus supplement, we may issue units consisting of our ordinary shares, warrants, rights, debt securities and/or any combination of such securities. The applicable prospectus supplement will describe:</w:t>
      </w:r>
    </w:p>
    <w:p>
      <w:pPr>
        <w:spacing w:after="0" w:line="100" w:lineRule="exact"/>
        <w:rPr>
          <w:sz w:val="20"/>
          <w:szCs w:val="20"/>
          <w:color w:val="auto"/>
        </w:rPr>
      </w:pPr>
    </w:p>
    <w:p>
      <w:pPr>
        <w:jc w:val="both"/>
        <w:ind w:left="1320" w:right="459" w:hanging="425"/>
        <w:spacing w:after="0" w:line="264" w:lineRule="auto"/>
        <w:tabs>
          <w:tab w:leader="none" w:pos="13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warrants, rights and/or debt securities comprising the units, including whether and under what circumstances the securities comprising the units may be traded separately;</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4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or any arrangement with an agent that may act on our behalf in connection with the unit offering; and</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description of the provisions for the payment, settlement, transfer or exchange of the units.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We or the selling shareholders may sell the securities included in this prospectus from time to time in one or more transactions, including without limitation:</w:t>
      </w:r>
    </w:p>
    <w:p>
      <w:pPr>
        <w:spacing w:after="0" w:line="89" w:lineRule="exact"/>
        <w:rPr>
          <w:sz w:val="20"/>
          <w:szCs w:val="20"/>
          <w:color w:val="auto"/>
        </w:rPr>
      </w:pPr>
    </w:p>
    <w:p>
      <w:pPr>
        <w:ind w:left="1320" w:hanging="42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or through one or more underwriters on a firm commitment or agency basis;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the securities;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on a negotiated basis or otherwise;</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or</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58"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jurisdictions, if applicable, the securities sold under this prospectus may only be sold through registered or licensed brokers or 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01"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89" w:lineRule="exact"/>
        <w:rPr>
          <w:sz w:val="20"/>
          <w:szCs w:val="20"/>
          <w:color w:val="auto"/>
        </w:rPr>
      </w:pPr>
    </w:p>
    <w:p>
      <w:pPr>
        <w:jc w:val="both"/>
        <w:ind w:left="460" w:right="459" w:firstLine="432"/>
        <w:spacing w:after="0" w:line="253"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pacing w:after="0" w:line="125"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both"/>
        <w:ind w:left="460" w:right="459"/>
        <w:spacing w:after="0" w:line="312" w:lineRule="auto"/>
        <w:rPr>
          <w:sz w:val="20"/>
          <w:szCs w:val="20"/>
          <w:color w:val="auto"/>
        </w:rPr>
      </w:pPr>
      <w:r>
        <w:rPr>
          <w:rFonts w:ascii="Arial" w:cs="Arial" w:eastAsia="Arial" w:hAnsi="Arial"/>
          <w:sz w:val="16"/>
          <w:szCs w:val="16"/>
          <w:color w:val="auto"/>
        </w:rPr>
        <w:t>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6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a dealer is used in the sale of the securities, we, the selling shareholders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21"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Agents, underwriters and dealers may be entitled under agreements which may be entered into with us or the selling shareholders to indemnification by us against specified liabilities, including liabilities incurred under the Securities Act, or to contribution by us or the selling shareholders to payments they may be required to make in respect of such liabilities. If required, the prospectus supplement will describe the terms and conditions of the indemnification or contribution. Some of the agents, underwriters or dealers, or their affiliates may be customers of, engage in transactions with or perform services for us or our subsidiaries.</w:t>
      </w:r>
    </w:p>
    <w:p>
      <w:pPr>
        <w:spacing w:after="0" w:line="84"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pacing w:after="0" w:line="110"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105" w:lineRule="exact"/>
        <w:rPr>
          <w:sz w:val="20"/>
          <w:szCs w:val="20"/>
          <w:color w:val="auto"/>
        </w:rPr>
      </w:pPr>
    </w:p>
    <w:p>
      <w:pPr>
        <w:ind w:left="1320" w:right="459" w:hanging="425"/>
        <w:spacing w:after="0" w:line="277" w:lineRule="auto"/>
        <w:tabs>
          <w:tab w:leader="none" w:pos="1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89" w:lineRule="exact"/>
        <w:rPr>
          <w:rFonts w:ascii="Arial" w:cs="Arial" w:eastAsia="Arial" w:hAnsi="Arial"/>
          <w:sz w:val="18"/>
          <w:szCs w:val="18"/>
          <w:color w:val="auto"/>
        </w:rPr>
      </w:pPr>
    </w:p>
    <w:p>
      <w:pPr>
        <w:jc w:val="both"/>
        <w:ind w:left="1320" w:right="459" w:hanging="425"/>
        <w:spacing w:after="0" w:line="264" w:lineRule="auto"/>
        <w:tabs>
          <w:tab w:leader="none" w:pos="15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113" w:lineRule="exact"/>
        <w:rPr>
          <w:rFonts w:ascii="Arial" w:cs="Arial" w:eastAsia="Arial" w:hAnsi="Arial"/>
          <w:sz w:val="18"/>
          <w:szCs w:val="18"/>
          <w:color w:val="auto"/>
        </w:rPr>
      </w:pPr>
    </w:p>
    <w:p>
      <w:pPr>
        <w:jc w:val="both"/>
        <w:ind w:left="1320" w:right="459" w:hanging="425"/>
        <w:spacing w:after="0" w:line="312" w:lineRule="auto"/>
        <w:tabs>
          <w:tab w:leader="none" w:pos="1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These transactions may be effected on an exchange, if the securities are listed on that exchange, or in the over-the-counter market or otherwise.</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the event that any underwriter or agent acts as principal, or broker-dealer acts as underwriter, it may engage in certain transactions that stabilize, maintain or otherwise affect the price of our securities. We will describe any such activities in the prospectus supplement relating to the transaction.</w:t>
      </w:r>
    </w:p>
    <w:p>
      <w:pPr>
        <w:spacing w:after="0" w:line="9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so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ordinary shares may be issued upon conversion of or in exchange for debt securities or other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jc w:val="both"/>
        <w:ind w:left="460" w:right="459" w:firstLine="432"/>
        <w:spacing w:after="0" w:line="279" w:lineRule="auto"/>
        <w:rPr>
          <w:sz w:val="20"/>
          <w:szCs w:val="20"/>
          <w:color w:val="auto"/>
        </w:rPr>
      </w:pPr>
      <w:r>
        <w:rPr>
          <w:rFonts w:ascii="Arial" w:cs="Arial" w:eastAsia="Arial" w:hAnsi="Arial"/>
          <w:sz w:val="17"/>
          <w:szCs w:val="17"/>
          <w:color w:val="auto"/>
        </w:rP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90"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securities that qualify for sale pursuant to Rule 144 or Regulation S under the Securities Act may be sold under Rule 144 or Regulation S rather than pursuant to this prospectus.</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To the extent that we or the selling shareholders make sales to or through one or more underwriters or agents in at-the-market offerings, we or the selling shareholders will do so pursuant to the terms of a distribution agreement between us or the selling shareholders and the underwriters or agents. If we engage in at-the-market sales pursuant to a distribution agreement, we or the selling shareholders will sell our ordinary shares to or through one or more underwriters or agents, which may act on an agency basis or on a principal basis. During the term of any such agreement, we or the selling shareholders may sell ordinary shares on a daily basis in exchange transactions or otherwise as we agree with the underwriters or agents. The distribution agreement will provide that any ordinary shares sold will be sold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or the selling shareholders also may agree to sell, and the relevant underwriters or agents may agree to solicit offers to purchase, blocks of our ordinary shares or warrants. The terms of each such distribution agreement will be set forth in more detail in a prospectus supplement to this prospectus.</w:t>
      </w:r>
    </w:p>
    <w:p>
      <w:pPr>
        <w:spacing w:after="0" w:line="107"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the selling shareholders directly to institutional investors or others, who may be deemed to be underwriters within the meaning of the Securities Act with respect to any re-sales of the securities. The terms of any offer made in this manner will be included in the prospectus supplement relating to the offer.</w:t>
      </w:r>
    </w:p>
    <w:p>
      <w:pPr>
        <w:spacing w:after="0" w:line="7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In connection with offerings made through underwriters or agents, we or the selling shareholders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or the selling shareholders under these arrangements to close out any related open borrowings of securities.</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or the selling shareholders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the selling shareholders or borrowed from us, the selling shareholders or others to settle those sales or to close out any related open borrowings of shares, and may use securities received from us or the selling shareholders in settlement of those derivatives to close out any related open borrowings of shares. The third parties (or affiliates of such third parties) in such sale transactions will be underwriters and, if not identified in this prospectus, will be identified in the applicable prospectus supplement (or a post-effective amendment).</w:t>
      </w:r>
    </w:p>
    <w:p>
      <w:pPr>
        <w:spacing w:after="0" w:line="10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or the selling shareholders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EXPENSES ASSOCIATED WITH THE REGISTRATION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following is a statement of expenses in connection with the distribution of the securities registered. All amounts shown are estimates except the SEC registration fee and the FINRA filing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FINRA filing fee</w:t>
            </w:r>
          </w:p>
        </w:tc>
        <w:tc>
          <w:tcPr>
            <w:tcW w:w="3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44,613</w:t>
            </w: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3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41"/>
        </w:trPr>
        <w:tc>
          <w:tcPr>
            <w:tcW w:w="3140" w:type="dxa"/>
            <w:vAlign w:val="bottom"/>
          </w:tcPr>
          <w:p>
            <w:pPr>
              <w:spacing w:after="0"/>
              <w:rPr>
                <w:sz w:val="3"/>
                <w:szCs w:val="3"/>
                <w:color w:val="auto"/>
              </w:rPr>
            </w:pPr>
          </w:p>
        </w:tc>
        <w:tc>
          <w:tcPr>
            <w:tcW w:w="3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fees</w:t>
            </w:r>
          </w:p>
        </w:tc>
        <w:tc>
          <w:tcPr>
            <w:tcW w:w="3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Miscellaneous</w:t>
            </w:r>
          </w:p>
        </w:tc>
        <w:tc>
          <w:tcPr>
            <w:tcW w:w="3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20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Certain legal matters with respect to Israeli law and with respect to the validity of the offered securities under Israeli law will be passed upon for us by Meitar Liquornik Geva Leshem Tal, Ramat Gan, Israel. Certain legal matters with respect to New York law and the validity of the debt securities under New York law will be passed upon for us by White &amp; Case LLP, New York, New York.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2015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We are subject to the information reporting requirements of the Exchange Act. Under the Exchange Act, we are required to file annual and special reports and other information with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8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 xml:space="preserve">You may read and copy the registration statement, including the related exhibits and schedules, as well as any document we file with the SEC without charge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00"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The SEC allows us to “incorporate by reference” into this prospectus the information in documents we file with it. This means that we can disclose important information to you by referring you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99"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87" w:lineRule="exact"/>
        <w:rPr>
          <w:sz w:val="20"/>
          <w:szCs w:val="20"/>
          <w:color w:val="auto"/>
        </w:rPr>
      </w:pPr>
    </w:p>
    <w:p>
      <w:pPr>
        <w:ind w:left="1320" w:hanging="425"/>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2015;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reports of foreign private issuer on Form 6-K furnished to the SEC on:</w:t>
      </w:r>
    </w:p>
    <w:p>
      <w:pPr>
        <w:spacing w:after="0" w:line="144" w:lineRule="exact"/>
        <w:rPr>
          <w:rFonts w:ascii="Arial" w:cs="Arial" w:eastAsia="Arial" w:hAnsi="Arial"/>
          <w:sz w:val="18"/>
          <w:szCs w:val="18"/>
          <w:color w:val="auto"/>
        </w:rPr>
      </w:pPr>
    </w:p>
    <w:p>
      <w:pPr>
        <w:ind w:left="1760" w:right="459" w:hanging="433"/>
        <w:spacing w:after="0" w:line="277" w:lineRule="auto"/>
        <w:tabs>
          <w:tab w:leader="none" w:pos="17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May 5, 2016 (only the GAAP financial statements with respect to the quarter ended March 31, 2016 attached to the press release annexed as Exhibit 99.1 thereto);</w:t>
      </w:r>
    </w:p>
    <w:p>
      <w:pPr>
        <w:spacing w:after="0" w:line="102" w:lineRule="exact"/>
        <w:rPr>
          <w:rFonts w:ascii="Arial" w:cs="Arial" w:eastAsia="Arial" w:hAnsi="Arial"/>
          <w:sz w:val="18"/>
          <w:szCs w:val="18"/>
          <w:color w:val="auto"/>
        </w:rPr>
      </w:pPr>
    </w:p>
    <w:p>
      <w:pPr>
        <w:ind w:left="1740" w:hanging="413"/>
        <w:spacing w:after="0"/>
        <w:tabs>
          <w:tab w:leader="none" w:pos="1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July 14, 2016;</w:t>
      </w:r>
    </w:p>
    <w:p>
      <w:pPr>
        <w:spacing w:after="0" w:line="157" w:lineRule="exact"/>
        <w:rPr>
          <w:rFonts w:ascii="Arial" w:cs="Arial" w:eastAsia="Arial" w:hAnsi="Arial"/>
          <w:sz w:val="18"/>
          <w:szCs w:val="18"/>
          <w:color w:val="auto"/>
        </w:rPr>
      </w:pPr>
    </w:p>
    <w:p>
      <w:pPr>
        <w:ind w:left="1760" w:right="459" w:hanging="433"/>
        <w:spacing w:after="0" w:line="342" w:lineRule="auto"/>
        <w:tabs>
          <w:tab w:leader="none" w:pos="19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August 3, 2016 (only the GAAP financial statements with respect to the quarter and six months ended June 30, 2016 attached to the press release annexed as Exhibit 99.1 thereto);</w:t>
      </w:r>
    </w:p>
    <w:p>
      <w:pPr>
        <w:spacing w:after="0" w:line="42" w:lineRule="exact"/>
        <w:rPr>
          <w:rFonts w:ascii="Arial" w:cs="Arial" w:eastAsia="Arial" w:hAnsi="Arial"/>
          <w:sz w:val="16"/>
          <w:szCs w:val="16"/>
          <w:color w:val="auto"/>
        </w:rPr>
      </w:pPr>
    </w:p>
    <w:p>
      <w:pPr>
        <w:jc w:val="both"/>
        <w:ind w:left="1760" w:right="459" w:hanging="433"/>
        <w:spacing w:after="0" w:line="264" w:lineRule="auto"/>
        <w:tabs>
          <w:tab w:leader="none" w:pos="1805"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November 9, 2016 (only the GAAP financial statements with respect to the quarter and nine months ended September 30, 2016 attached to the press release annexed as Exhibit 99.1 thereto); and</w:t>
      </w:r>
    </w:p>
    <w:p>
      <w:pPr>
        <w:spacing w:after="0" w:line="113" w:lineRule="exact"/>
        <w:rPr>
          <w:rFonts w:ascii="Arial" w:cs="Arial" w:eastAsia="Arial" w:hAnsi="Arial"/>
          <w:sz w:val="18"/>
          <w:szCs w:val="18"/>
          <w:color w:val="auto"/>
        </w:rPr>
      </w:pPr>
    </w:p>
    <w:p>
      <w:pPr>
        <w:jc w:val="both"/>
        <w:ind w:left="1760" w:right="459" w:hanging="433"/>
        <w:spacing w:after="0" w:line="259" w:lineRule="auto"/>
        <w:tabs>
          <w:tab w:leader="none" w:pos="17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January 3, 2017 (including our condensed interim consolidated financial statements as of, and for the nine months ended, September 30, 2016, and our management’s Operating and Financial Review and Prospects for that nine month period appended as Exhibits 99.1 and 99.2 thereto, respectively).</w:t>
      </w:r>
    </w:p>
    <w:p>
      <w:pPr>
        <w:spacing w:after="0" w:line="119"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6"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ectPr>
          <w:pgSz w:w="11900" w:h="16838" w:orient="portrait"/>
          <w:cols w:equalWidth="0" w:num="1">
            <w:col w:w="9019"/>
          </w:cols>
          <w:pgMar w:left="1440" w:top="337"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89"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174625</wp:posOffset>
            </wp:positionV>
            <wp:extent cx="514540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26035"/>
                    </a:xfrm>
                    <a:prstGeom prst="rect">
                      <a:avLst/>
                    </a:prstGeom>
                    <a:noFill/>
                  </pic:spPr>
                </pic:pic>
              </a:graphicData>
            </a:graphic>
          </wp:anchor>
        </w:drawing>
        <w:t>3,132,481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432435</wp:posOffset>
            </wp:positionV>
            <wp:extent cx="1998345" cy="1174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9834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60" w:type="dxa"/>
        <w:tblCellMar>
          <w:top w:w="0" w:type="dxa"/>
          <w:left w:w="0" w:type="dxa"/>
          <w:bottom w:w="0" w:type="dxa"/>
          <w:right w:w="0" w:type="dxa"/>
        </w:tblCellMar>
      </w:tblPr>
      <w:tr>
        <w:trPr>
          <w:trHeight w:val="421"/>
        </w:trPr>
        <w:tc>
          <w:tcPr>
            <w:tcW w:w="1960" w:type="dxa"/>
            <w:vAlign w:val="bottom"/>
          </w:tcPr>
          <w:p>
            <w:pPr>
              <w:spacing w:after="0"/>
              <w:rPr>
                <w:sz w:val="24"/>
                <w:szCs w:val="24"/>
                <w:color w:val="auto"/>
              </w:rPr>
            </w:pPr>
          </w:p>
        </w:tc>
        <w:tc>
          <w:tcPr>
            <w:tcW w:w="6160" w:type="dxa"/>
            <w:vAlign w:val="bottom"/>
          </w:tcPr>
          <w:p>
            <w:pPr>
              <w:jc w:val="center"/>
              <w:ind w:right="1857"/>
              <w:spacing w:after="0"/>
              <w:rPr>
                <w:sz w:val="20"/>
                <w:szCs w:val="20"/>
                <w:color w:val="auto"/>
              </w:rPr>
            </w:pPr>
            <w:r>
              <w:rPr>
                <w:rFonts w:ascii="Arial" w:cs="Arial" w:eastAsia="Arial" w:hAnsi="Arial"/>
                <w:sz w:val="32"/>
                <w:szCs w:val="32"/>
                <w:b w:val="1"/>
                <w:bCs w:val="1"/>
                <w:color w:val="auto"/>
                <w:w w:val="97"/>
              </w:rPr>
              <w:t>Kornit Digital Ltd.</w:t>
            </w:r>
          </w:p>
        </w:tc>
      </w:tr>
      <w:tr>
        <w:trPr>
          <w:trHeight w:val="670"/>
        </w:trPr>
        <w:tc>
          <w:tcPr>
            <w:tcW w:w="1960" w:type="dxa"/>
            <w:vAlign w:val="bottom"/>
          </w:tcPr>
          <w:p>
            <w:pPr>
              <w:spacing w:after="0"/>
              <w:rPr>
                <w:sz w:val="24"/>
                <w:szCs w:val="24"/>
                <w:color w:val="auto"/>
              </w:rPr>
            </w:pPr>
          </w:p>
        </w:tc>
        <w:tc>
          <w:tcPr>
            <w:tcW w:w="6160" w:type="dxa"/>
            <w:vAlign w:val="bottom"/>
          </w:tcPr>
          <w:p>
            <w:pPr>
              <w:jc w:val="center"/>
              <w:ind w:right="1857"/>
              <w:spacing w:after="0"/>
              <w:rPr>
                <w:sz w:val="20"/>
                <w:szCs w:val="20"/>
                <w:color w:val="auto"/>
              </w:rPr>
            </w:pPr>
            <w:r>
              <w:rPr>
                <w:rFonts w:ascii="Arial" w:cs="Arial" w:eastAsia="Arial" w:hAnsi="Arial"/>
                <w:sz w:val="22"/>
                <w:szCs w:val="22"/>
                <w:b w:val="1"/>
                <w:bCs w:val="1"/>
                <w:color w:val="auto"/>
                <w:w w:val="89"/>
              </w:rPr>
              <w:t>Ordinary Shares</w:t>
            </w:r>
          </w:p>
        </w:tc>
      </w:tr>
      <w:tr>
        <w:trPr>
          <w:trHeight w:val="854"/>
        </w:trPr>
        <w:tc>
          <w:tcPr>
            <w:tcW w:w="1960" w:type="dxa"/>
            <w:vAlign w:val="bottom"/>
          </w:tcPr>
          <w:p>
            <w:pPr>
              <w:spacing w:after="0"/>
              <w:rPr>
                <w:sz w:val="24"/>
                <w:szCs w:val="24"/>
                <w:color w:val="auto"/>
              </w:rPr>
            </w:pPr>
          </w:p>
        </w:tc>
        <w:tc>
          <w:tcPr>
            <w:tcW w:w="6160" w:type="dxa"/>
            <w:vAlign w:val="bottom"/>
          </w:tcPr>
          <w:p>
            <w:pPr>
              <w:jc w:val="center"/>
              <w:ind w:right="1857"/>
              <w:spacing w:after="0"/>
              <w:rPr>
                <w:sz w:val="20"/>
                <w:szCs w:val="20"/>
                <w:color w:val="auto"/>
              </w:rPr>
            </w:pPr>
            <w:r>
              <w:rPr>
                <w:rFonts w:ascii="Arial" w:cs="Arial" w:eastAsia="Arial" w:hAnsi="Arial"/>
                <w:sz w:val="18"/>
                <w:szCs w:val="18"/>
                <w:b w:val="1"/>
                <w:bCs w:val="1"/>
                <w:color w:val="auto"/>
                <w:w w:val="89"/>
              </w:rPr>
              <w:t>______________________________</w:t>
            </w:r>
          </w:p>
        </w:tc>
      </w:tr>
      <w:tr>
        <w:trPr>
          <w:trHeight w:val="522"/>
        </w:trPr>
        <w:tc>
          <w:tcPr>
            <w:tcW w:w="1960" w:type="dxa"/>
            <w:vAlign w:val="bottom"/>
          </w:tcPr>
          <w:p>
            <w:pPr>
              <w:spacing w:after="0"/>
              <w:rPr>
                <w:sz w:val="24"/>
                <w:szCs w:val="24"/>
                <w:color w:val="auto"/>
              </w:rPr>
            </w:pPr>
          </w:p>
        </w:tc>
        <w:tc>
          <w:tcPr>
            <w:tcW w:w="6160" w:type="dxa"/>
            <w:vAlign w:val="bottom"/>
          </w:tcPr>
          <w:p>
            <w:pPr>
              <w:jc w:val="center"/>
              <w:ind w:right="1837"/>
              <w:spacing w:after="0"/>
              <w:rPr>
                <w:sz w:val="20"/>
                <w:szCs w:val="20"/>
                <w:color w:val="auto"/>
              </w:rPr>
            </w:pPr>
            <w:r>
              <w:rPr>
                <w:rFonts w:ascii="Arial" w:cs="Arial" w:eastAsia="Arial" w:hAnsi="Arial"/>
                <w:sz w:val="25"/>
                <w:szCs w:val="25"/>
                <w:b w:val="1"/>
                <w:bCs w:val="1"/>
                <w:color w:val="auto"/>
                <w:w w:val="88"/>
              </w:rPr>
              <w:t>Prospectus Supplement</w:t>
            </w:r>
          </w:p>
        </w:tc>
      </w:tr>
      <w:tr>
        <w:trPr>
          <w:trHeight w:val="289"/>
        </w:trPr>
        <w:tc>
          <w:tcPr>
            <w:tcW w:w="1960" w:type="dxa"/>
            <w:vAlign w:val="bottom"/>
          </w:tcPr>
          <w:p>
            <w:pPr>
              <w:spacing w:after="0"/>
              <w:rPr>
                <w:sz w:val="24"/>
                <w:szCs w:val="24"/>
                <w:color w:val="auto"/>
              </w:rPr>
            </w:pPr>
          </w:p>
        </w:tc>
        <w:tc>
          <w:tcPr>
            <w:tcW w:w="6160" w:type="dxa"/>
            <w:vAlign w:val="bottom"/>
          </w:tcPr>
          <w:p>
            <w:pPr>
              <w:jc w:val="center"/>
              <w:ind w:right="1857"/>
              <w:spacing w:after="0"/>
              <w:rPr>
                <w:sz w:val="20"/>
                <w:szCs w:val="20"/>
                <w:color w:val="auto"/>
              </w:rPr>
            </w:pPr>
            <w:r>
              <w:rPr>
                <w:rFonts w:ascii="Arial" w:cs="Arial" w:eastAsia="Arial" w:hAnsi="Arial"/>
                <w:sz w:val="18"/>
                <w:szCs w:val="18"/>
                <w:b w:val="1"/>
                <w:bCs w:val="1"/>
                <w:color w:val="auto"/>
                <w:w w:val="89"/>
              </w:rPr>
              <w:t>______________________________</w:t>
            </w:r>
          </w:p>
        </w:tc>
      </w:tr>
      <w:tr>
        <w:trPr>
          <w:trHeight w:val="555"/>
        </w:trPr>
        <w:tc>
          <w:tcPr>
            <w:tcW w:w="1960" w:type="dxa"/>
            <w:vAlign w:val="bottom"/>
          </w:tcPr>
          <w:p>
            <w:pPr>
              <w:spacing w:after="0"/>
              <w:rPr>
                <w:sz w:val="20"/>
                <w:szCs w:val="20"/>
                <w:color w:val="auto"/>
              </w:rPr>
            </w:pPr>
            <w:r>
              <w:rPr>
                <w:rFonts w:ascii="Arial" w:cs="Arial" w:eastAsia="Arial" w:hAnsi="Arial"/>
                <w:sz w:val="32"/>
                <w:szCs w:val="32"/>
                <w:b w:val="1"/>
                <w:bCs w:val="1"/>
                <w:color w:val="auto"/>
              </w:rPr>
              <w:t>Barclays</w:t>
            </w:r>
          </w:p>
        </w:tc>
        <w:tc>
          <w:tcPr>
            <w:tcW w:w="6160" w:type="dxa"/>
            <w:vAlign w:val="bottom"/>
          </w:tcPr>
          <w:p>
            <w:pPr>
              <w:ind w:left="4800"/>
              <w:spacing w:after="0"/>
              <w:rPr>
                <w:sz w:val="20"/>
                <w:szCs w:val="20"/>
                <w:color w:val="auto"/>
              </w:rPr>
            </w:pPr>
            <w:r>
              <w:rPr>
                <w:rFonts w:ascii="Arial" w:cs="Arial" w:eastAsia="Arial" w:hAnsi="Arial"/>
                <w:sz w:val="32"/>
                <w:szCs w:val="32"/>
                <w:b w:val="1"/>
                <w:bCs w:val="1"/>
                <w:color w:val="auto"/>
                <w:w w:val="94"/>
              </w:rPr>
              <w:t>Citigroup</w:t>
            </w:r>
          </w:p>
        </w:tc>
      </w:tr>
      <w:tr>
        <w:trPr>
          <w:trHeight w:val="303"/>
        </w:trPr>
        <w:tc>
          <w:tcPr>
            <w:tcW w:w="1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r>
        <w:trPr>
          <w:trHeight w:val="48"/>
        </w:trPr>
        <w:tc>
          <w:tcPr>
            <w:tcW w:w="1960" w:type="dxa"/>
            <w:vAlign w:val="bottom"/>
            <w:tcBorders>
              <w:bottom w:val="single" w:sz="8" w:color="auto"/>
            </w:tcBorders>
          </w:tcPr>
          <w:p>
            <w:pPr>
              <w:spacing w:after="0"/>
              <w:rPr>
                <w:sz w:val="4"/>
                <w:szCs w:val="4"/>
                <w:color w:val="auto"/>
              </w:rPr>
            </w:pPr>
          </w:p>
        </w:tc>
        <w:tc>
          <w:tcPr>
            <w:tcW w:w="6160" w:type="dxa"/>
            <w:vAlign w:val="bottom"/>
            <w:tcBorders>
              <w:bottom w:val="single" w:sz="8" w:color="auto"/>
            </w:tcBorders>
          </w:tcPr>
          <w:p>
            <w:pPr>
              <w:spacing w:after="0"/>
              <w:rPr>
                <w:sz w:val="4"/>
                <w:szCs w:val="4"/>
                <w:color w:val="auto"/>
              </w:rPr>
            </w:pPr>
          </w:p>
        </w:tc>
      </w:tr>
      <w:tr>
        <w:trPr>
          <w:trHeight w:val="392"/>
        </w:trPr>
        <w:tc>
          <w:tcPr>
            <w:tcW w:w="1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1)"/>
      <w:numFmt w:val="decimal"/>
      <w:start w:val="1"/>
    </w:lvl>
    <w:lvl w:ilvl="1">
      <w:lvlJc w:val="left"/>
      <w:lvlText w:val="(%2)"/>
      <w:numFmt w:val="lowerRoman"/>
      <w:start w:val="2"/>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2019-12-08T11:49:14Z</dcterms:created>
  <dcterms:modified xsi:type="dcterms:W3CDTF">2019-12-08T11:49:14Z</dcterms:modified>
</cp:coreProperties>
</file>