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March 23, 2020</w:t>
      </w:r>
    </w:p>
    <w:p>
      <w:pPr>
        <w:spacing w:after="0" w:line="19"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State of Israel</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12 Ha’ Amal Street, Afek Park,</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Rosh-Ha’Ayin, Israel</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4809246</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South Dean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Englewood, NJ 07631, USA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608-5750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Guy Avidan</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Aviv Avidan-Shalit, Adv.</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Chief Financial Officer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Jonathan M. Nathan, Adv.</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Kornit Digital Ltd.</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3"/>
              </w:rPr>
              <w:t>Meitar | Law Offices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12 Ha’ Amal Street, Afek Park,</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3"/>
              </w:rPr>
              <w:t>16 Abba Hillel Silver Rd.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Rosh-Ha’Ayin 4809246, Israel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Ramat Gan 5250608, Israel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Tel: +972-3-908-5800</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Tel: +972-3-610-3100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Fax: +972-3-908-0280</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Fax: +972-3-610-3111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gridSpan w:val="4"/>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Proposed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Proposed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maximum</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maximum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50"/>
              <w:spacing w:after="0"/>
              <w:rPr>
                <w:sz w:val="20"/>
                <w:szCs w:val="20"/>
                <w:color w:val="auto"/>
              </w:rPr>
            </w:pPr>
            <w:r>
              <w:rPr>
                <w:rFonts w:ascii="Arial" w:cs="Arial" w:eastAsia="Arial" w:hAnsi="Arial"/>
                <w:sz w:val="18"/>
                <w:szCs w:val="18"/>
                <w:color w:val="auto"/>
                <w:w w:val="91"/>
              </w:rPr>
              <w:t>Amount to be</w:t>
            </w: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offering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Amount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registered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offering price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registration</w:t>
            </w:r>
          </w:p>
        </w:tc>
      </w:tr>
      <w:tr>
        <w:trPr>
          <w:trHeight w:val="23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securities to be registered</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(4)</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fee</w:t>
            </w:r>
          </w:p>
        </w:tc>
        <w:tc>
          <w:tcPr>
            <w:tcW w:w="100" w:type="dxa"/>
            <w:vAlign w:val="bottom"/>
            <w:tcBorders>
              <w:bottom w:val="single" w:sz="8" w:color="CCEEFF"/>
            </w:tcBorders>
          </w:tcPr>
          <w:p>
            <w:pPr>
              <w:spacing w:after="0"/>
              <w:rPr>
                <w:sz w:val="20"/>
                <w:szCs w:val="20"/>
                <w:color w:val="auto"/>
              </w:rPr>
            </w:pPr>
          </w:p>
        </w:tc>
      </w:tr>
      <w:tr>
        <w:trPr>
          <w:trHeight w:val="24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NIS 0.01 per share</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1,220,439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33,525,459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4"/>
          <w:szCs w:val="24"/>
          <w:color w:val="auto"/>
        </w:rPr>
      </w:pPr>
    </w:p>
    <w:p>
      <w:pPr>
        <w:ind w:left="340" w:right="60" w:hanging="332"/>
        <w:spacing w:after="0" w:line="27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this Registration Statement also covers such indeterminate number of additional shares that may become issuable under the terms of the Registrant’s 2015 Incentive Compensation Plan (the “</w:t>
      </w:r>
      <w:r>
        <w:rPr>
          <w:rFonts w:ascii="Arial" w:cs="Arial" w:eastAsia="Arial" w:hAnsi="Arial"/>
          <w:sz w:val="17"/>
          <w:szCs w:val="17"/>
          <w:b w:val="1"/>
          <w:bCs w:val="1"/>
          <w:color w:val="auto"/>
        </w:rPr>
        <w:t>2015</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by reason of any share split, share dividend, recapitalization or other similar transaction effected without the Registrant’s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which results in an increase in the number of the outstanding shares of the Registrant’s ordinary shares.</w:t>
      </w:r>
    </w:p>
    <w:p>
      <w:pPr>
        <w:spacing w:after="0" w:line="2" w:lineRule="exact"/>
        <w:rPr>
          <w:rFonts w:ascii="Arial" w:cs="Arial" w:eastAsia="Arial" w:hAnsi="Arial"/>
          <w:sz w:val="17"/>
          <w:szCs w:val="17"/>
          <w:color w:val="auto"/>
        </w:rPr>
      </w:pPr>
    </w:p>
    <w:p>
      <w:pPr>
        <w:ind w:left="340" w:right="60" w:hanging="332"/>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429 under the Securities Act, the prospectus delivered to participants under this registration statement also relates to an aggregate of 3,698,706 shares previously registered in a registration statement on Form S-8, SEC file number 333-203970, issuable under the Kornit Digital Ltd. 2004 Share Option Plan, the Kornit Digital Ltd. 2012 Share Incentive Plan, the Kornit Digital Ltd. 2015 Employee Share Purchase Plan and the 2015 Plan, as well as an additional 906,345, 929,689, 1,023,726 and 1,051,956 shares previously registered in registration statements on Form S-8, SEC file numbers 333-214015, 333-217039, 333-223794 and 333-230567 respectively, issuable under the 2015 Plan.</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2015 Plan, effective January 1, 2020.</w:t>
      </w:r>
    </w:p>
    <w:p>
      <w:pPr>
        <w:spacing w:after="0" w:line="9" w:lineRule="exact"/>
        <w:rPr>
          <w:rFonts w:ascii="Arial" w:cs="Arial" w:eastAsia="Arial" w:hAnsi="Arial"/>
          <w:sz w:val="18"/>
          <w:szCs w:val="18"/>
          <w:color w:val="auto"/>
        </w:rPr>
      </w:pPr>
    </w:p>
    <w:p>
      <w:pPr>
        <w:ind w:left="340" w:right="560" w:hanging="332"/>
        <w:spacing w:after="0" w:line="29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in accordance with Rule 457(h)(1) and 457(c) promulgated under the Securities Act, based on the average of the high and low prices ($29.94 and $25.00) of the Registrant’s Ordinary Shares on the NASDAQ Global Select Market on March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The Registrant is filing this Registration Statement (this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register an additional 1,220,439 ordinary shares, par value NIS 0.01 per share (“</w:t>
      </w:r>
      <w:r>
        <w:rPr>
          <w:rFonts w:ascii="Arial" w:cs="Arial" w:eastAsia="Arial" w:hAnsi="Arial"/>
          <w:sz w:val="16"/>
          <w:szCs w:val="16"/>
          <w:b w:val="1"/>
          <w:bCs w:val="1"/>
          <w:color w:val="auto"/>
        </w:rPr>
        <w:t>ordinary shares</w:t>
      </w:r>
      <w:r>
        <w:rPr>
          <w:rFonts w:ascii="Arial" w:cs="Arial" w:eastAsia="Arial" w:hAnsi="Arial"/>
          <w:sz w:val="16"/>
          <w:szCs w:val="16"/>
          <w:color w:val="auto"/>
        </w:rPr>
        <w:t>”), of Kornit Digital Ltd. (the “</w:t>
      </w:r>
      <w:r>
        <w:rPr>
          <w:rFonts w:ascii="Arial" w:cs="Arial" w:eastAsia="Arial" w:hAnsi="Arial"/>
          <w:sz w:val="16"/>
          <w:szCs w:val="16"/>
          <w:b w:val="1"/>
          <w:bCs w:val="1"/>
          <w:color w:val="auto"/>
        </w:rPr>
        <w:t>Registrant</w:t>
      </w:r>
      <w:r>
        <w:rPr>
          <w:rFonts w:ascii="Arial" w:cs="Arial" w:eastAsia="Arial" w:hAnsi="Arial"/>
          <w:sz w:val="16"/>
          <w:szCs w:val="16"/>
          <w:color w:val="auto"/>
        </w:rPr>
        <w:t>”) issuable pursuant to the Registrant’s 2015 Incentive Compensation Plan.</w:t>
      </w:r>
    </w:p>
    <w:p>
      <w:pPr>
        <w:spacing w:after="0" w:line="1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Instruction E of Form S-8, the contents of the Registrant’s registration statements on Form S-8 (File No.’s 333-203970, 333-214015, 333-217039, 333-223794 and 333-230567)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May 7, 2015, October 6, 2016, March 30, 2017, March 20, 2018 and March 28, 2019, respectively, are incorporated herein by reference, and the information required by Part II is omitted, except as supplemented by the information set forth below.</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ind w:firstLine="656"/>
        <w:spacing w:after="0" w:line="289"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for the fiscal year ended December 31, 2019, filed with the Commission on March 23, 2020 (the “</w:t>
      </w:r>
      <w:r>
        <w:rPr>
          <w:rFonts w:ascii="Arial" w:cs="Arial" w:eastAsia="Arial" w:hAnsi="Arial"/>
          <w:sz w:val="18"/>
          <w:szCs w:val="18"/>
          <w:b w:val="1"/>
          <w:bCs w:val="1"/>
          <w:color w:val="auto"/>
        </w:rPr>
        <w:t>2019 Form 20-F</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980" w:right="24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ordinary shares contained in (a) Item 1 of the Registration Statement on </w:t>
      </w:r>
      <w:hyperlink r:id="rId1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001-36903) filed with the Commission on March 31, 2015, as updated by (b) Exhibit 2.2 to the 2019 Form 20-F, and any amendment or report filed for the purpose of further updating that description.</w:t>
      </w:r>
    </w:p>
    <w:p>
      <w:pPr>
        <w:spacing w:after="0" w:line="184" w:lineRule="exact"/>
        <w:rPr>
          <w:sz w:val="20"/>
          <w:szCs w:val="20"/>
          <w:color w:val="auto"/>
        </w:rPr>
      </w:pPr>
    </w:p>
    <w:p>
      <w:pPr>
        <w:ind w:firstLine="693"/>
        <w:spacing w:after="0" w:line="254" w:lineRule="auto"/>
        <w:rPr>
          <w:sz w:val="20"/>
          <w:szCs w:val="20"/>
          <w:color w:val="auto"/>
        </w:rPr>
      </w:pPr>
      <w:r>
        <w:rPr>
          <w:rFonts w:ascii="Arial" w:cs="Arial" w:eastAsia="Arial" w:hAnsi="Arial"/>
          <w:sz w:val="18"/>
          <w:szCs w:val="18"/>
          <w:color w:val="auto"/>
        </w:rPr>
        <w:t>In addition to the foregoing, all documents subsequently filed by the Registrant pursuant to Sections 13(a), 13(c), 14 or 15(d) of the Securities Exchange Act of 1934, as amended,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0"/>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140" w:type="dxa"/>
            <w:vAlign w:val="bottom"/>
          </w:tcPr>
          <w:p>
            <w:pPr>
              <w:spacing w:after="0"/>
              <w:rPr>
                <w:sz w:val="24"/>
                <w:szCs w:val="24"/>
                <w:color w:val="auto"/>
              </w:rPr>
            </w:pPr>
          </w:p>
        </w:tc>
        <w:tc>
          <w:tcPr>
            <w:tcW w:w="5960" w:type="dxa"/>
            <w:vAlign w:val="bottom"/>
            <w:gridSpan w:val="9"/>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Kornit Digital Ltd. 2015 Incentive Compensation Plan (incorporated by reference to Exhibit 10.21 to the Registration Statement on Form 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1 of the Registrant (File No. 333-202291), filed with the Commission on March 18, 2015)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Arial" w:cs="Arial" w:eastAsia="Arial" w:hAnsi="Arial"/>
                <w:sz w:val="18"/>
                <w:szCs w:val="18"/>
                <w:color w:val="0000EE"/>
                <w:w w:val="97"/>
              </w:rPr>
            </w:pPr>
            <w:hyperlink r:id="rId19">
              <w:r>
                <w:rPr>
                  <w:rFonts w:ascii="Arial" w:cs="Arial" w:eastAsia="Arial" w:hAnsi="Arial"/>
                  <w:sz w:val="18"/>
                  <w:szCs w:val="18"/>
                  <w:color w:val="0000EE"/>
                  <w:w w:val="97"/>
                </w:rPr>
                <w:t>Articles of Association of the Registrant (incorporated by reference to Exhibit 3.2 to the Registration Statement on Form F-1 of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Registrant (File No. 333-202291), filed with the Commission on March 18, 2015)</w:t>
              </w:r>
            </w:hyperlink>
          </w:p>
        </w:tc>
        <w:tc>
          <w:tcPr>
            <w:tcW w:w="660" w:type="dxa"/>
            <w:vAlign w:val="bottom"/>
            <w:gridSpan w:val="3"/>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Specimen ordinary share certificate of the Registrant (incorporated by reference to Exhibit 4.1 to the Registration Statement on Form F-1 of</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1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the Registrant (File No. 333-202291), filed with the Commission on March 10, 2015)</w:t>
              </w:r>
            </w:hyperlink>
          </w:p>
        </w:tc>
        <w:tc>
          <w:tcPr>
            <w:tcW w:w="390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Opinion of Meitar | Law Offices, Israeli counsel to the Registrant, as to the validity of the ordinary shares (including consent)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Consent of Kost, Forer, Gabbay and Kasierer, a member firm of Ernst &amp; Young Global, an independent registered public accounting firm</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tcPr>
          <w:p>
            <w:pPr>
              <w:spacing w:after="0"/>
              <w:rPr>
                <w:sz w:val="15"/>
                <w:szCs w:val="15"/>
                <w:color w:val="auto"/>
              </w:rPr>
            </w:pPr>
          </w:p>
        </w:tc>
        <w:tc>
          <w:tcPr>
            <w:tcW w:w="988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Consent of Meitar | Law Offices (included in Exhibit 5.1)</w:t>
              </w:r>
            </w:hyperlink>
          </w:p>
        </w:tc>
        <w:tc>
          <w:tcPr>
            <w:tcW w:w="22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Power of Attorney (included in signature page to this Registration Statement)</w:t>
              </w:r>
            </w:hyperlink>
          </w:p>
        </w:tc>
      </w:tr>
      <w:tr>
        <w:trPr>
          <w:trHeight w:val="574"/>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gridSpan w:val="2"/>
          </w:tcPr>
          <w:p>
            <w:pPr>
              <w:ind w:left="4440"/>
              <w:spacing w:after="0"/>
              <w:rPr>
                <w:sz w:val="20"/>
                <w:szCs w:val="20"/>
                <w:color w:val="auto"/>
              </w:rPr>
            </w:pPr>
            <w:r>
              <w:rPr>
                <w:rFonts w:ascii="Arial" w:cs="Arial" w:eastAsia="Arial" w:hAnsi="Arial"/>
                <w:sz w:val="22"/>
                <w:szCs w:val="22"/>
                <w:color w:val="auto"/>
              </w:rPr>
              <w:t>4</w:t>
            </w:r>
          </w:p>
        </w:tc>
        <w:tc>
          <w:tcPr>
            <w:tcW w:w="3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5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23rd day of March, 2020.</w:t>
      </w:r>
    </w:p>
    <w:p>
      <w:pPr>
        <w:spacing w:after="0" w:line="180"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Guy Avidan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Ronen Samuel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March 23, 2020 in the capacities indicated: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3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63215" cy="2540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Ronen Samuel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Guy Avidan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Stephen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Stephen Nigro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Yehoshua (Shuki) Nir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Dov Ofer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Gabi Seligsohn</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Arnon Dror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Arnon Dror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VP Finance and Operations</w:t>
            </w:r>
          </w:p>
        </w:tc>
      </w:tr>
    </w:tbl>
    <w:p>
      <w:pPr>
        <w:spacing w:after="0" w:line="20" w:lineRule="exact"/>
        <w:rPr>
          <w:sz w:val="20"/>
          <w:szCs w:val="20"/>
          <w:color w:val="auto"/>
        </w:rPr>
      </w:pPr>
      <w:r>
        <w:rPr>
          <w:sz w:val="20"/>
          <w:szCs w:val="20"/>
          <w:color w:val="auto"/>
        </w:rPr>
        <w:br w:type="column"/>
      </w:r>
    </w:p>
    <w:p>
      <w:pPr>
        <w:ind w:left="29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413194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4131945" cy="25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Director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9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520" w:space="360"/>
            <w:col w:w="6220"/>
          </w:cols>
          <w:pgMar w:left="320" w:top="796"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4954905" cy="80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49549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We have acted as Israeli counsel to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covering up to an additional 1,220,439 ordinary shares of the Company, par value New Israeli Shekel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that are available for issuance under the Kornit Digital Ltd. 2015 Incentive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5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Meitar |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Meitar | Law Offices</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69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2015 Incentive Compensation Plan of Kornit Digital Ltd. of our reports, dated March 23, 2020, with respect to the consolidated financial statements and the effectiveness of internal control over financial reporting of Kornit Digital Ltd., included in its Annual Report (Form 20-F) for the year ended December 31, 2019, filed with the Securities and Exchange Commission.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vMerge w:val="restart"/>
          </w:tcPr>
          <w:p>
            <w:pPr>
              <w:spacing w:after="0"/>
              <w:rPr>
                <w:sz w:val="20"/>
                <w:szCs w:val="20"/>
                <w:color w:val="auto"/>
              </w:rPr>
            </w:pPr>
            <w:r>
              <w:rPr>
                <w:rFonts w:ascii="Arial" w:cs="Arial" w:eastAsia="Arial" w:hAnsi="Arial"/>
                <w:sz w:val="18"/>
                <w:szCs w:val="18"/>
                <w:color w:val="auto"/>
              </w:rPr>
              <w:t>Tel-Aviv, Israel</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Kost Forer Gabbay &amp; Kasierer</w:t>
            </w:r>
          </w:p>
        </w:tc>
        <w:tc>
          <w:tcPr>
            <w:tcW w:w="0" w:type="dxa"/>
            <w:vAlign w:val="bottom"/>
          </w:tcPr>
          <w:p>
            <w:pPr>
              <w:spacing w:after="0"/>
              <w:rPr>
                <w:sz w:val="1"/>
                <w:szCs w:val="1"/>
                <w:color w:val="auto"/>
              </w:rPr>
            </w:pPr>
          </w:p>
        </w:tc>
      </w:tr>
      <w:tr>
        <w:trPr>
          <w:trHeight w:val="202"/>
        </w:trPr>
        <w:tc>
          <w:tcPr>
            <w:tcW w:w="6760" w:type="dxa"/>
            <w:vAlign w:val="bottom"/>
            <w:vMerge w:val="continue"/>
          </w:tcPr>
          <w:p>
            <w:pPr>
              <w:spacing w:after="0"/>
              <w:rPr>
                <w:sz w:val="17"/>
                <w:szCs w:val="17"/>
                <w:color w:val="auto"/>
              </w:rPr>
            </w:pPr>
          </w:p>
        </w:tc>
        <w:tc>
          <w:tcPr>
            <w:tcW w:w="4480" w:type="dxa"/>
            <w:vAlign w:val="bottom"/>
          </w:tcPr>
          <w:p>
            <w:pPr>
              <w:jc w:val="center"/>
              <w:spacing w:after="0" w:line="201" w:lineRule="exact"/>
              <w:rPr>
                <w:sz w:val="20"/>
                <w:szCs w:val="20"/>
                <w:color w:val="auto"/>
              </w:rPr>
            </w:pPr>
            <w:r>
              <w:rPr>
                <w:rFonts w:ascii="Arial" w:cs="Arial" w:eastAsia="Arial" w:hAnsi="Arial"/>
                <w:sz w:val="18"/>
                <w:szCs w:val="18"/>
                <w:color w:val="auto"/>
                <w:w w:val="97"/>
              </w:rPr>
              <w:t>KOST FORER GABBAY &amp; KASIERER</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March 23, 2020</w:t>
            </w: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A Member of Ernst &amp; Young Global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jpeg"/><Relationship Id="rId37" Type="http://schemas.openxmlformats.org/officeDocument/2006/relationships/image" Target="media/image27.png"/><Relationship Id="rId17" Type="http://schemas.openxmlformats.org/officeDocument/2006/relationships/hyperlink" Target="http://www.sec.gov/Archives/edgar/data/1625791/000161577415000604/s100918_8a12b.htm" TargetMode="External"/><Relationship Id="rId19" Type="http://schemas.openxmlformats.org/officeDocument/2006/relationships/hyperlink" Target="http://www.sec.gov/Archives/edgar/data/1625791/000161577415000505/s100871_ex3-2.htm" TargetMode="External"/><Relationship Id="rId20"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2020-03-23T15:19:21Z</dcterms:created>
  <dcterms:modified xsi:type="dcterms:W3CDTF">2020-03-23T15:19:21Z</dcterms:modified>
</cp:coreProperties>
</file>