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August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2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Proxy Statement and Proxy Card for Annual Shareholder Meeting</w:t>
      </w:r>
    </w:p>
    <w:p>
      <w:pPr>
        <w:spacing w:after="0" w:line="225"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publishes notice of its 2025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which is scheduled to take place at 12:00 p.m. (Israel time) on Monday, September 15, 2025, at Kornit’s offices at 12 Ha’Amal Street, Park Afek, Rosh Ha’Ayin, Israel.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Monday, August 11, 2025 are entitled to vote at the Meeting.</w:t>
      </w:r>
    </w:p>
    <w:p>
      <w:pPr>
        <w:spacing w:after="0" w:line="221"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Report of Foreign Private Issuer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are the Notice and Proxy Statement for the Meeting, which contain information concerning the agenda for the Meeting, the background to the proposals, and the required majority for approval of the proposals at the Meeting, as well as logistical information concerning the required vote and means of voting on the proposals and additional general information concerning Kornit’s board of directors, corporate governance and significant shareholders.</w:t>
      </w:r>
    </w:p>
    <w:p>
      <w:pPr>
        <w:spacing w:after="0" w:line="180"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Form 6-K is the form of proxy card being distributed by Kornit to its shareholders of record as of the record date for the Meeting, which serves as a means by which those shareholders may cast their votes on the proposals to be presented at the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3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4"/>
                <w:szCs w:val="24"/>
                <w:color w:val="auto"/>
              </w:rPr>
            </w:pPr>
          </w:p>
        </w:tc>
        <w:tc>
          <w:tcPr>
            <w:tcW w:w="9800" w:type="dxa"/>
            <w:vAlign w:val="bottom"/>
            <w:gridSpan w:val="2"/>
          </w:tcPr>
          <w:p>
            <w:pPr>
              <w:ind w:left="4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3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and Proxy Statement for 2025 Annual General Meeting of Shareholders of Kornit Digital Ltd.</w:t>
            </w:r>
          </w:p>
        </w:tc>
        <w:tc>
          <w:tcPr>
            <w:tcW w:w="28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to be used for voting by record shareholders for the 2025 Annual General Meeting of Shareholders of Kornit Digital</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Ltd.</w:t>
            </w:r>
          </w:p>
        </w:tc>
        <w:tc>
          <w:tcPr>
            <w:tcW w:w="9800" w:type="dxa"/>
            <w:vAlign w:val="bottom"/>
            <w:gridSpan w:val="2"/>
          </w:tcPr>
          <w:p>
            <w:pPr>
              <w:spacing w:after="0"/>
              <w:rPr>
                <w:sz w:val="17"/>
                <w:szCs w:val="17"/>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jc w:val="both"/>
        <w:ind w:firstLine="63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Exhibits 99.1 and 99.2 to this Form 6-K are hereby incorporated by reference into the Company’s Registration Statements on Form S-8 (File No.’s </w:t>
      </w:r>
      <w:hyperlink r:id="rId13">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333-254749</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333-263975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333-286158</w:t>
        </w:r>
      </w:hyperlink>
      <w:r>
        <w:rPr>
          <w:rFonts w:ascii="Times New Roman" w:cs="Times New Roman" w:eastAsia="Times New Roman" w:hAnsi="Times New Roman"/>
          <w:sz w:val="18"/>
          <w:szCs w:val="18"/>
          <w:color w:val="auto"/>
        </w:rPr>
        <w:t>).</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156845</wp:posOffset>
            </wp:positionV>
            <wp:extent cx="2417445" cy="960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4174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7,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2025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15,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Kornit Digital Ltd. Shareholders: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the 2025 Annual General Meeting of Shareholders, or the Meeting, of Kornit Digital Ltd., or the Company, to be held at 12:00 p.m. (Israel time) on Monday, September 15, 2025, at our offices at 12 Ha’Amal Street, Park Afek, Rosh Ha’Ayin, 4809246, Israel.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Dov Ofer and Ofer Ben-Zur, in each case for a three-year term as a Class I director of the Company, until the Company’s annual general meeting of shareholders in 2028 and until his successor is duly elected and qualified;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2025 and the additional period until the Company’s 2026 annual general meeting of shareholders, and authorization of the Company’s board of directors (or the audit committee thereof) to fix such accounting firm’s annual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formal proposals, at the Meeting, members of our management will be available to present and discuss our auditors’ report and consolidated financial statements as of, and for the year ended, December 31, 2024, as previously made available to our shareholders as part of our Annual Report on Form 20-F, which was filed with the Securities and Exchange Commission, or SEC, on March 27, 2025 and which is available at www.sec.gov and at the “Investors” section of our Company’s website, www.kornit.com.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recommends that you vote in favor of both of the above proposals, which are described in the proxy statement that is attached to this Notice of 2025 Annual General Meeting of Shareholders.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August 11, 2025 are entitled to vote at the Meeting.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Meeting in person or by proxy and voting thereon (disregarding abstentions and broker non-votes) is necessary for the approval of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Accordingly, after reading this Notice of 2025 Annual General Meeting of Shareholders and the proxy statement for the Meeting, please mark, date, sign and mail the proxy card or voting instruction form as promptly as possible in the stamped envelope to be provided to you, or please follow the instructions to be sent to you for voting electronically. If mailing in your proxy to our transfer agent in the envelope to be enclosed, your vote must be received by 11:59 p.m., Eastern time, on Sunday, September 14, 2025, to be validly included in the tally of ordinary shares voted at the Meeting. If you are a street holder (i.e., you hold your shares through a bank, broker or other nominee) and are providing voting instructions to your bank, broker or other nominee online (at www.proxyvote.com) or via a physical voting instruction form, your instructions must be received by noon Eastern time on Friday, September 12, 2025.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Israeli Companies Law, 5759-1999, and regulations promulgated thereunder, and our articles of association, as amended, any shareholder of the Company holding at least 1% of the outstanding voting rights of the Company for the Meeting may submit to the Company a proposed additional agenda item for the Meeting, to the Company’s offices, 12 Ha’Amal Street, Park Afek, Rosh Ha’Ayin, 4809246, Israel, Attention: Elad Shrem, General Counsel and Chief Compliance Officer, email: Elad.Shrem@kornit.com, no later than Thursday, August 14, 2025. To the extent that there are any additional agenda items that the Board determines to add as a result of any such submission, the Company will publish an updated notice and proxy card with respect to the Meeting, no later than Thursday, August 21, 2025, to be furnished to the SEC under cover of a Report of Foreign Private Issuer on Form 6-K.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electronic copy of the enclosed proxy materials will be available for viewing at http://ir.kornit.com/. The full text of the proposed resolutions, together with the form of proxy card for the Meeting, may also be viewed beginning on Sunday, August 24, 2025 at the registered office of the Company, 12 Ha’Amal Street, Park Afek, Rosh Ha’Ayin, 4809246, Israel, from Sunday to Thursday (excluding Israeli holidays), 10:00 a.m. to 5:00 p.m. (Israel time), upon prior coordination with the Company. Our telephone number at our registered office is +972-3-908-5800.</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4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101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1024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74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Board Practices, Corporate Governance and Compensation of Certain Executive Officers and Directors</w:t>
            </w:r>
          </w:p>
        </w:tc>
        <w:tc>
          <w:tcPr>
            <w:tcW w:w="2800" w:type="dxa"/>
            <w:vAlign w:val="bottom"/>
            <w:tcBorders>
              <w:bottom w:val="single" w:sz="8" w:color="CCEEFF"/>
            </w:tcBorders>
            <w:gridSpan w:val="2"/>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Proposal 1. Re-election of Class I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10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Re-appointment of Independent Auditors and Approval of Their Annual Remuneration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1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Presentation and Discussion of Audited Annual Financial Statements</w:t>
            </w:r>
          </w:p>
        </w:tc>
        <w:tc>
          <w:tcPr>
            <w:tcW w:w="3120" w:type="dxa"/>
            <w:vAlign w:val="bottom"/>
            <w:tcBorders>
              <w:top w:val="single" w:sz="8" w:color="CCEEFF"/>
            </w:tcBorders>
            <w:gridSpan w:val="3"/>
          </w:tcPr>
          <w:p>
            <w:pPr>
              <w:spacing w:after="0"/>
              <w:rPr>
                <w:sz w:val="18"/>
                <w:szCs w:val="18"/>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6"/>
        </w:trPr>
        <w:tc>
          <w:tcPr>
            <w:tcW w:w="102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Other Matters</w:t>
            </w:r>
          </w:p>
        </w:tc>
        <w:tc>
          <w:tcPr>
            <w:tcW w:w="9220" w:type="dxa"/>
            <w:vAlign w:val="bottom"/>
            <w:tcBorders>
              <w:bottom w:val="single" w:sz="8" w:color="CCEEFF"/>
            </w:tcBorders>
            <w:gridSpan w:val="8"/>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586105</wp:posOffset>
            </wp:positionV>
            <wp:extent cx="2408555" cy="951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40855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+972-3-908-5800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ANNUAL GENERAL MEETING OF SHAREHOLDERS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on behalf of the board of directors, or the Board, of Kornit Digital Ltd., to which we refer as Kornit Digital, our Company the Company, us or we (or similar terms), to be voted at the Company’s 2025 Annual General Meeting of Shareholders, or the Meeting, and at any adjournment thereof, pursuant to the accompanying Notice of 2025 Annual General Meeting of Shareholders. The Meeting will be held at 12:00 p.m. (Israel time) on Monday, September 15, 2025, at our offices at 12 Ha’Amal Street, Park Afek, Rosh Ha’Ayin, 4824096, Israel.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the attached Notice of 2025 Annual General Meeting of Shareholders and the enclosed proxy card or voting instruction form are being made available on or about August 14, 2025 to holders of Kornit Digital ordinary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at the Meeting if you held ordinary shares as of the close of business on Monday, August 11, 2025,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Dov Ofer, and Ofer Ben-Zur, in each case for a three-year term as a Class I director of the Company, until the Company’s annual general meeting of shareholders in 2028 and until his successor is duly elected and qualified;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2025 and the additional period until the Company’s 2026 annual general meeting of shareholders, and authorization of the Company’s board of directors (or the audit committee thereof) to fix such accounting firm’s annual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formal proposals, at the Meeting, members of our management will be available to present and discuss our auditors’ report and consolidated financial statements as of, and for the year ended, December 31, 2024, as previously made available to our shareholders as part of our Annual Report on Form 20-F, which was filed with the Securities and Exchange Commission, or SEC, on March 27, 2025 and which is available at www.sec.gov and at the “Investors” section of our Company’s website, www.kornit.com.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Our Board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above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31, 2025, we had 44,794,719 ordinary shares issued and outstanding (which excludes 6,717,322 Treasury shares). Each ordinary share outstanding as of the close of business on the record date— August 11, 2025— is entitled to one vote upon each proposal to be presented at the Meeting. Under our articles of association, as amended, or the Articles,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 for Approval of the Proposals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Israeli Companies Law, 5759-1999, or the Companies Law, the affirmative vote of the holders of a majority of the voting power represented at the Meeting in person or by proxy and voting thereon (which excludes abstentions and broker non-votes) is necessary for the approval of each proposal (including for the election of each director nominee as a sub-proposal of Proposal 1). Because neither an abstention, nor a broker non-vote, is treated as a vote “FOR” or “AGAINST” a proposal, neither such action or inaction on a shareholder’s part impacts whether the requisite majority has been achieved for approval of any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on the proposals for the Meeting if you are a shareholder of record at the close of business on Monday, August 11, 2025. You are also entitled to vote on the proposals if you held ordinary shares through a bank, broker or other nominee that is one of our shareholders of record at the close of business on Monday, August 11,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You Can Vote</w:t>
      </w:r>
    </w:p>
    <w:p>
      <w:pPr>
        <w:spacing w:after="0" w:line="22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You can vote your shares by completing and signing a proxy card or voting instruction form (which voting instruction form may be submitted electronically (online) as well). In the alternative, you can vote your shares by attending the Meeting and voting in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i w:val="1"/>
          <w:iCs w:val="1"/>
          <w:color w:val="auto"/>
        </w:rPr>
        <w:t>Shareholders of Record</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Equiniti (formerly American Stock Transfer &amp; Trust Company) of Brooklyn, New York, you are considered, with respect to those shares, the shareholder of record. In that case, these proxy materials are being sent directly to you. If you are a shareholder of record,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(please also print on the proxy card the name of the record shareholder holding your ordinary shares) and return it to Elad Shrem, our General Counsel and Chief Compliance Officer, via email to Elad.Shrem@kornit.com.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Monday, September 15, 2025, or our registrar and transfer agent receives it in the enclosed envelope not later than 11:59 pm, Eastern time, on Sunday, September 14, 2025.</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Holders in “Street Name”</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If your ordinary shares are held in a brokerage account or by a bank, trustee or other nominee, you are considered to be the beneficial owner of shares held in “street name,” and these proxy materials are being forwarded to you together with a voting instruction form by the broker, bank, trustee or other nominee or an agent hired by the broker, bank, trustee or other nominee. Please follow the enclosed instructions to direct your broker, bank, trustee or other nominee how to vote your shares. Beneficial owners may utilize the control number appearing on their voting instruction form to submit their voting instructions to their brokers, banks, trustees or nominees by other means, including via the internet (at www.proxyvote.com), if so indicated on their voting instruction forms. If mailing in your physical voting instruction form or providing your voting instructions online (at www.proxyvote.com), your vote must be received by noon, Eastern time, on Friday, September 12, 2025 to be validly included in the tally of ordinary shares voted at the Meeting.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(August 11, 2025).</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and do not specify how you want to vote on a proposal on your voting instruction form, your broker, bank, trustee or other nominee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2 relating to the reappointment of the Company’s independent registered public accounting firm for the fiscal year ending December 31, 2025. However, we cannot be certain whether this will be treated as a routine matter since our proxy statement has been prepared in compliance with the Companies Law, rather than the rules applicable to domestic U.S. reporting companies.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broker, bank, trustee or other nominee, we urge you to give instructions to your broker, bank, trustee or other nominee as to how your shares should be voted so that you thereby participate in the voting on these important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Revocation of a Proxy or Voting Instructions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Proxies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Proxies are being distributed to shareholders on or about August 14, 2025.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Proxy Materials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ordinary shares beneficially owned by all persons known by us to beneficially own more than 5% of our ordinary shares, and all of our executive officers and directors as a group, as of July 31, 2025 or as of such other dates as are specified in the footnotes to the table, based on public filings or information known to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and percentage of ordinary shares beneficially owned is determined in accordance with Rule 13d-3 of the Securities Exchange Act of 1934, as amended, and is not necessarily indicative of beneficial ownership for any other purpose. Information concerning shareholders who beneficially own more than 5% of our outstanding ordinary shares is based on periodic public filings made by such shareholders. We have based our calculations of the percentage ownership on 44,794,719 ordinary shares that were issued and outstanding as of July 31, 2025 (which excludes 6,717,322 Treasury shares, which are not deemed outstanding).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indicated below, we believe, based on public filings by such owners or information known to us, that the beneficial owners of the ordinary shares listed below have sole investment and voting power with respect to such shares. All of our shareholders, including the 5% shareholders, officers and directors, listed below, have the same voting rights attached to their ordinary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8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(1)</w:t>
            </w:r>
          </w:p>
        </w:tc>
        <w:tc>
          <w:tcPr>
            <w:tcW w:w="1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2,800,018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8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Artisan Partners Limited Partnership</w:t>
            </w:r>
            <w:r>
              <w:rPr>
                <w:rFonts w:ascii="Times New Roman" w:cs="Times New Roman" w:eastAsia="Times New Roman" w:hAnsi="Times New Roman"/>
                <w:sz w:val="29"/>
                <w:szCs w:val="29"/>
                <w:color w:val="auto"/>
                <w:vertAlign w:val="superscript"/>
              </w:rPr>
              <w:t>(2)</w:t>
            </w: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2,972,823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56"/>
        </w:trPr>
        <w:tc>
          <w:tcPr>
            <w:tcW w:w="8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Senvest Management, LLC</w:t>
            </w:r>
            <w:r>
              <w:rPr>
                <w:rFonts w:ascii="Times New Roman" w:cs="Times New Roman" w:eastAsia="Times New Roman" w:hAnsi="Times New Roman"/>
                <w:sz w:val="29"/>
                <w:szCs w:val="29"/>
                <w:color w:val="auto"/>
                <w:vertAlign w:val="superscript"/>
              </w:rPr>
              <w:t>(3)</w:t>
            </w:r>
          </w:p>
        </w:tc>
        <w:tc>
          <w:tcPr>
            <w:tcW w:w="1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4,022,066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57"/>
        </w:trPr>
        <w:tc>
          <w:tcPr>
            <w:tcW w:w="8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Chicago Capital, LLC </w:t>
            </w:r>
            <w:r>
              <w:rPr>
                <w:rFonts w:ascii="Times New Roman" w:cs="Times New Roman" w:eastAsia="Times New Roman" w:hAnsi="Times New Roman"/>
                <w:sz w:val="29"/>
                <w:szCs w:val="29"/>
                <w:color w:val="auto"/>
                <w:vertAlign w:val="superscript"/>
              </w:rPr>
              <w:t>(4)</w:t>
            </w: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3,064,751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individuals)</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issued and outstanding ordinary shares.</w:t>
      </w:r>
    </w:p>
    <w:p>
      <w:pPr>
        <w:spacing w:after="0" w:line="27" w:lineRule="exact"/>
        <w:rPr>
          <w:sz w:val="20"/>
          <w:szCs w:val="20"/>
          <w:color w:val="auto"/>
        </w:rPr>
      </w:pP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1585 Broadway, New York, NY 10036. The information in this row is provided as of March 31, 2025, based on Amendment No. 3 to a statement of beneficial ownership on Schedule 13G filed by Morgan Stanley with the SEC on May 6, 2025. Morgan Stanley possesses shared dispositive power with respect to all of these ordinary shares, and shared voting power with respect to 2,756,052 of these ordinary shares. The ordinary shares included in the beneficial ownership of this shareholder are beneficially owned, or may be deemed to be beneficially owned, by Morgan Stanley Capital Services LLC, a wholly-owned subsidiary of Morgan Stanley, and/or certain additional operating units of Morgan Stanley, its subsidiaries or affiliates whose ownership is included in Morgan Stanley’s beneficial ownership report. These ordinary shares reported as beneficially owned do not include ordinary shares, if any, beneficially owned by any operating units of Morgan Stanley whose ownership of securities is disaggregated from that of certain operating units of Morgan Stanley, its subsidiaries and affiliates.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875 E. Wisconsin Ave., Suite 800, Milwaukee, WI 53202. The information in this row is provided as of March 31, 2025, based on a report of institutional investment manager on Form 13F filed by Artisan Partners Limited Partnership with the SEC on May 14, 2025. The shares reported for this shareholder have been acquired on behalf of its discretionary clients. Artisan Partners Limited Partnership possesses sole voting power with respect to 2,713,557 of such shares, while lacking voting power with respect to 259,266 of such shares.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540 Madison Avenue, 32nd Floor, New York, New York 10022. The information in this row is provided as of March 31, 2025, based on a report of institutional investment manager on Form 13F filed by Senvest Management, LLC with the SEC on May 14, 2025. The ordinary shares reported in this row are held in the account of Senvest Master Fund, LP and Senvest Technology Partners Master Fund, LP, which we collectively refer to as the Senvest Investment Vehicles. Senvest Management, LLC may be deemed to possess share voting and dispositive power with respect to the ordinary shares held by the Senvest Investment Vehicles by virtue of Senvest Management, LLC’s position as investment manager of the Senvest Investment Vehicles. Mr. Richard Mashaal may be deemed to beneficially own the ordinary shares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135 South LaSalle Street, Suite 4200, Chicago, IL 60603. The information in this row is provided as of June 30, 2025, based on a report of institutional investment manager on Form 13F filed by Chicago Capital, LLC with the SEC on July 17, 2025.</w:t>
      </w: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and additional ordinary shares underlying options, RSUs and PSUs that may be exercised or settled (as applicable) by our directors and executive officers within 60 days of July 31,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PRACTICES, CORPORATE GOVERNANCE AND COMPENSATION OF CERTAIN EXECUTIVE OFFICERS AND DIRECTORS</w:t>
      </w:r>
    </w:p>
    <w:p>
      <w:pPr>
        <w:spacing w:after="0" w:line="227"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Item 6.B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of our Annual Report on Form 20-F for the year ended December 31, 2024, which we filed with the SEC on March 27, 2025 (which we refer to as our 2024 Form 20-F), contains information regarding compensation paid to our directors and certain office holders (including our five most highly compensated office holders) with respect to 2024. Item 6.C of our 2024 Form 20-F (“</w:t>
      </w:r>
      <w:r>
        <w:rPr>
          <w:rFonts w:ascii="Times New Roman" w:cs="Times New Roman" w:eastAsia="Times New Roman" w:hAnsi="Times New Roman"/>
          <w:sz w:val="18"/>
          <w:szCs w:val="18"/>
          <w:i w:val="1"/>
          <w:iCs w:val="1"/>
          <w:color w:val="auto"/>
        </w:rPr>
        <w:t>Board Practices</w:t>
      </w:r>
      <w:r>
        <w:rPr>
          <w:rFonts w:ascii="Times New Roman" w:cs="Times New Roman" w:eastAsia="Times New Roman" w:hAnsi="Times New Roman"/>
          <w:sz w:val="18"/>
          <w:szCs w:val="18"/>
          <w:color w:val="auto"/>
        </w:rPr>
        <w:t>”) contains additional information regarding our Board, its committees and our corporate governance practices. We encourage you to review those portions of our 2024 Form 20-F, which we incorporate by reference herein (and for which we have provided a general link below), to obtain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https://www.sec.gov/ix?doc=/Archives/edgar/data/0001625791/000101376225003018/ea0234152-20f_kornit.htm#a_011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RE-ELECTION OF CLASS I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and our Articles, the management of our business is vested in our Board. The Board may exercise all powers and may take all actions that are not specifically granted to our shareholders.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provide that our Board must consist of at least five and not more than nine directors, including, to the extent applicable, at least two external directors who may be required to be appointed under the Companies Law. 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subject to certain conditions, which we continue to fulfill currently.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are divided into three classes with staggered three-year terms. Under Article 39 of the Articles, each class of directors is required to consist,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resignation of two of our former directors since our 2024 annual general meeting of shareholders— Jae Hyun Lee, effective as of October 10, 2024, and Yehoshua (Shuki) Nir, effective as of January 1, 2025— our Board has consisted of seven directors, of whom three directors each have been classified as Class II directors and Class III directors, while only one director has been a Class I director. Because of the above-described requirement under the Articles for the number of directors in each class to be distributed as evenly as possible, the Board has redesignated Ofer Ben-Zur from a Class II director to a Class I director. As a result, we now have as even as possible of a distribution of directors among the classes, with three directors designated Class III directors and two directors each designated Class I directors and Class II directors.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upcoming Meeting, our Class I directors’ current terms will expire. Consequently, given Mr. Ben-Zur's redesignation as a Class I director, his term will expire at the Meeting, rather than continuing until the 2026 annual general meeting of shareholders at which the Class II directors’ terms will expire. The term of our other Class I director— Dov Ofer— will similarly expire at the Meeting. Our Board has nominated each of Messrs. Dov Ofer and Ofer Ben-Zur for re-election as a Class I director at the Meeting, for a three-year term. If each of the nominees is re-elected pursuant to this Proposal 1, our Board, in its staggered format, will be comprised as follows:</w:t>
      </w:r>
    </w:p>
    <w:p>
      <w:pPr>
        <w:spacing w:after="0" w:line="183" w:lineRule="exact"/>
        <w:rPr>
          <w:sz w:val="20"/>
          <w:szCs w:val="20"/>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Dov Ofer and Ofer Ben-Zur, whose terms (following the Meeting) would expire at our annual general meeting of shareholders to be held in 2028 and upon the election and qualification of their respective successors;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Naama Halevi Davidov and Gabi Seligsohn, whose terms will expire at our annual general meeting of shareholders to be held in 2026 and upon the election and qualification of their respective successors;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Yuval Cohen, Stephen Nigro and Ronen Samuel, whose terms will expire at our annual general meeting of shareholders to be held in 2027 and upon the election and qualification of their respective successors.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unanimously recommends that our shareholders re-elect each of our two Class I director nominees pursuant to this Proposal 1. It is intended that proxies (other than those directing the proxy holders to vote against either of the nominees, or abstain in the vote) will be voted for the re-election of each such nominee as a Class I director.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Among the prospective seven Board members (assuming re-election of each of the Class I director nominees at the Meeting, and the continued service of each present Class II director and Class III director), the Board has determined that six of them, consisting of Dov Ofer, Ofer Ben-Zur, Naama Halevi Davidov, Gabi Seligsohn, Yuval Cohen and Stephen Nigro, constituting a majority of the members of the Board, are independent under the Listing Rules of the Nasdaq Stock Market. The definition of “independent director” under the Nasdaq Stock Market rules specifies relationships that preclude a director from being deemed independent due to their deemed impairment of the director’s ability to exercise independent judgment. That definition furthermore requires, as a prerequisite to a finding of independence, that a Nasdaq-listed company’s board of directors affirmatively determine that a director can exercise independent judgment.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Class I director nominees, whose professional background is provided below, has advised the Company that he is willing, able and ready to serve as a Class I director if re-elected. Additionally, in accordance with the Companies Law, each of those nominees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re-election of either of the two nominees.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certain biographical information regarding the background and experience of the nominees— Dov Ofer and Ofer Ben-Zur:</w:t>
      </w:r>
    </w:p>
    <w:p>
      <w:pPr>
        <w:spacing w:after="0" w:line="223"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Ofer Ben-Zur </w:t>
      </w:r>
      <w:r>
        <w:rPr>
          <w:rFonts w:ascii="Times New Roman" w:cs="Times New Roman" w:eastAsia="Times New Roman" w:hAnsi="Times New Roman"/>
          <w:sz w:val="18"/>
          <w:szCs w:val="18"/>
          <w:color w:val="auto"/>
        </w:rPr>
        <w:t>is a co-founder of our company and has served as director since 2002. From April 2014 to July 2016, Mr. Ben-Zur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an M.Sc. in Mechanical Engineering from Tel Aviv University, and an M.B.A. from Bradford University.</w:t>
      </w:r>
    </w:p>
    <w:p>
      <w:pPr>
        <w:spacing w:after="0" w:line="183"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Dov Ofer </w:t>
      </w:r>
      <w:r>
        <w:rPr>
          <w:rFonts w:ascii="Times New Roman" w:cs="Times New Roman" w:eastAsia="Times New Roman" w:hAnsi="Times New Roman"/>
          <w:sz w:val="18"/>
          <w:szCs w:val="18"/>
          <w:color w:val="auto"/>
        </w:rPr>
        <w:t>has served as a member of our board of directors since March 2015 and is a member of our audit and compensation committees.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jc w:val="both"/>
        <w:ind w:left="98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Ofer Ben-Zur as a Class I director of Kornit Digital Ltd., for a term of three years that expires at Kornit’s annual general meeting of shareholders in 2028, and until the due election and qualification of his successor, be, and hereby is, approved in all respects.”</w:t>
      </w:r>
    </w:p>
    <w:p>
      <w:pPr>
        <w:spacing w:after="0" w:line="197" w:lineRule="exact"/>
        <w:rPr>
          <w:rFonts w:ascii="Times New Roman" w:cs="Times New Roman" w:eastAsia="Times New Roman" w:hAnsi="Times New Roman"/>
          <w:sz w:val="18"/>
          <w:szCs w:val="18"/>
          <w:color w:val="auto"/>
        </w:rPr>
      </w:pPr>
    </w:p>
    <w:p>
      <w:pPr>
        <w:jc w:val="both"/>
        <w:ind w:left="980" w:hanging="324"/>
        <w:spacing w:after="0" w:line="263"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Dov Ofer as a Class I director of Kornit Digital Ltd., for a term of three years that expires at Kornit’s annual general meeting of shareholders in 2028, and until the due election and qualification of his successor, be, and hereby is,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approved in all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is more fully described above (under “</w:t>
      </w:r>
      <w:r>
        <w:rPr>
          <w:rFonts w:ascii="Times New Roman" w:cs="Times New Roman" w:eastAsia="Times New Roman" w:hAnsi="Times New Roman"/>
          <w:sz w:val="18"/>
          <w:szCs w:val="18"/>
          <w:i w:val="1"/>
          <w:iCs w:val="1"/>
          <w:color w:val="auto"/>
        </w:rPr>
        <w:t>Summary— Vote Required for Approval of the Proposals</w:t>
      </w:r>
      <w:r>
        <w:rPr>
          <w:rFonts w:ascii="Times New Roman" w:cs="Times New Roman" w:eastAsia="Times New Roman" w:hAnsi="Times New Roman"/>
          <w:sz w:val="18"/>
          <w:szCs w:val="18"/>
          <w:color w:val="auto"/>
        </w:rPr>
        <w:t>”), the vote required for the re-election of each of Dov Ofer and Ofer Ben-Zur, in each case for a three-year term as a Class I director, is the affirmative vote of the holders of a majority of the voting power present in person or represented by proxy at the Meeting and voting on paragraph (a) or (b) as applicable, of this Proposal 1 (excluding abstentions and broker non-votes).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re-election of each of the two Class I director nominees.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RE-APPOINTMENT OF INDEPENDENT AUDITORS AND APPROVAL OF THEIR ANNUAL REMUNERATION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2024, Kost Forer Gabbay &amp; Kasierer, a member of Ernst &amp; Young Global, independent registered public accounting firm, which we refer to as Kost Forer, was appointed by our shareholders as our independent auditors for the fiscal year ended December 31, 2024, and for such additional period until the Meeting. Pursuant to its role under its charter and under SEC rules, the audit committee of our Board has approved the re-appointment of Kost Forer as our independent auditors for the fiscal year ending December 31, 2025, and for such additional period until the 2026 annual general meeting of shareholders. Further to that approval, the Board, in turn, will present to our shareholders, with the recommendation that they approve (pursuant to the Companies Law), the re-appointment of Kost Forer as the independent auditors of the Company for the year ending December 31, 2025, and for the additional period until the annual general meeting to be held in 2026. As part of that shareholder approval, we are furthermore proposing that our shareholders authorize the Board, with power of delegation to the audit committee, to determine the compensation of the auditors in accordance with the volume and nature of their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Auditors’ Fees in Previous Two Years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compensation (as well as components of compensation, in amounts and percentages) that was paid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to the Company’s independent auditors, Kost Forer, in each of the previous two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8"/>
                <w:szCs w:val="18"/>
                <w:color w:val="auto"/>
              </w:rPr>
            </w:pPr>
          </w:p>
        </w:tc>
        <w:tc>
          <w:tcPr>
            <w:tcW w:w="242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242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of dollars)</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fees” include fees for services rendered by our independent registered public accounting firm with respect to government incentives and other matters.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Audit Committee’s Pre-Approval Policies and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Meeting the following resolutions be adopted pursuant to this Proposal 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2025 and for the additional period until the next annual general meeting of shareholders, such re-appointment having been previously approved by the audit committee of the Board.”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Proposal 2 requires the affirmative vote of the holders of a majority of the ordinary shares present, in person or by proxy, and voting on the proposal (excluding abstentions and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(i) the re-appointment of Kost Forer Gabbay &amp; Kasierer, a member of Ernst</w:t>
      </w:r>
    </w:p>
    <w:p>
      <w:pPr>
        <w:spacing w:after="0" w:line="31" w:lineRule="exact"/>
        <w:rPr>
          <w:sz w:val="20"/>
          <w:szCs w:val="20"/>
          <w:color w:val="auto"/>
        </w:rPr>
      </w:pPr>
    </w:p>
    <w:p>
      <w:pPr>
        <w:jc w:val="both"/>
        <w:ind w:firstLine="8"/>
        <w:spacing w:after="0" w:line="255" w:lineRule="auto"/>
        <w:tabs>
          <w:tab w:leader="none" w:pos="19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Young Global, independent registered public accounting firm, as the independent auditors of the Company for the fiscal year ending December 31, 2025 and for the additional period until the next annual general meeting of shareholders and (ii) the authorization of the Board (with power of delegation to the audit committee) to fix the remuneration of the independent auditors in accordance with the volume and nature of their services.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AND DISCUSSION OF AUDITED ANNUAL FINANCIAL STATEMENTS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addition to considering the foregoing agenda items at the Meeting, we will also present our audited consolidated financial statements for the fiscal year ended December 31, 2024. A copy of the 2024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766"/>
        <w:spacing w:after="0" w:line="261" w:lineRule="auto"/>
        <w:rPr>
          <w:sz w:val="20"/>
          <w:szCs w:val="20"/>
          <w:color w:val="auto"/>
        </w:rPr>
      </w:pPr>
      <w:r>
        <w:rPr>
          <w:rFonts w:ascii="Times New Roman" w:cs="Times New Roman" w:eastAsia="Times New Roman" w:hAnsi="Times New Roman"/>
          <w:sz w:val="18"/>
          <w:szCs w:val="18"/>
          <w:color w:val="auto"/>
        </w:rPr>
        <w:t>Our Board does not intend to bring any matters before the Meeting other than those specifically set forth in the Notice of 2025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2024 Form 20-F, filed with the SEC on March 27, 2025, is available for viewing and downloading at the SEC’s website at www.sec.gov, as well as at the Investor Relations section of our website at http://ir.kornit.com.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are available to the public on the SEC’s website at www.sec.gov. As a foreign private issuer, we are exempt from the rules under the Exchange Act related to the filing and content of proxy statements. The circulation of this Proxy Statement should not be taken as an admission that we are subject to those proxy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Yuval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2025 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15,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hereby constitutes and appoints Lauri Hanover, Elad Shrem and Aviv Avidan Shalit, and each of them, the true and lawful attorneys, agents and proxies of the undersigned, with full power of substitution to each of them, to represent and to vote, on behalf of the undersigned, all of the Ordinary Shares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of record in the name of the undersigned at the close of business on Monday, August 11, 2025, at the 2025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executive offices of the Company, 12 Ha’Amal Street, Park Afek, Rosh Ha’Ayin, 4809246, Israel, on Monday, September 15, 2025 at 12:00 p.m. (Israel time), and at any and all adjournments or postponements thereof, on the matters listed on the reverse side, which are more fully described in the Notice of 2025 Annual General Meeting of Shareholders of the Company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accompanying Proxy Statement relating to the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acknowledges receipt of the Notice and the Proxy Statement.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If no direction is made with respect to any proposal, this proxy will be voted FOR such proposal and in such manner as the holder of the proxy may determine with respect to any other business as may properly come before the Meeting or all and any adjournments or postponements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2025 ANNUAL GENERAL MEETING OF SHAREHOLDERS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15,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date, sign and mail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possible.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detach along perforated line and mail in envelope.↓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720" w:type="dxa"/>
            <w:vAlign w:val="bottom"/>
            <w:tcBorders>
              <w:top w:val="single" w:sz="8" w:color="auto"/>
              <w:right w:val="single" w:sz="8" w:color="auto"/>
            </w:tcBorders>
          </w:tcPr>
          <w:p>
            <w:pPr>
              <w:spacing w:after="0"/>
              <w:rPr>
                <w:sz w:val="24"/>
                <w:szCs w:val="24"/>
                <w:color w:val="auto"/>
              </w:rPr>
            </w:pPr>
          </w:p>
        </w:tc>
        <w:tc>
          <w:tcPr>
            <w:tcW w:w="56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FOR</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AGAINST</w:t>
            </w:r>
          </w:p>
        </w:tc>
        <w:tc>
          <w:tcPr>
            <w:tcW w:w="110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ABSTAIN</w:t>
            </w: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1.  Re-election of each of:</w:t>
            </w:r>
          </w:p>
        </w:tc>
        <w:tc>
          <w:tcPr>
            <w:tcW w:w="56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2"/>
        </w:trPr>
        <w:tc>
          <w:tcPr>
            <w:tcW w:w="2720" w:type="dxa"/>
            <w:vAlign w:val="bottom"/>
            <w:tcBorders>
              <w:right w:val="single" w:sz="8" w:color="auto"/>
            </w:tcBorders>
          </w:tcPr>
          <w:p>
            <w:pPr>
              <w:spacing w:after="0"/>
              <w:rPr>
                <w:sz w:val="21"/>
                <w:szCs w:val="21"/>
                <w:color w:val="auto"/>
              </w:rPr>
            </w:pPr>
          </w:p>
        </w:tc>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1(a) Dov Ofer</w:t>
            </w:r>
          </w:p>
        </w:tc>
        <w:tc>
          <w:tcPr>
            <w:tcW w:w="56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4"/>
        </w:trPr>
        <w:tc>
          <w:tcPr>
            <w:tcW w:w="2720" w:type="dxa"/>
            <w:vAlign w:val="bottom"/>
            <w:tcBorders>
              <w:right w:val="single" w:sz="8" w:color="auto"/>
            </w:tcBorders>
          </w:tcPr>
          <w:p>
            <w:pPr>
              <w:spacing w:after="0"/>
              <w:rPr>
                <w:sz w:val="20"/>
                <w:szCs w:val="20"/>
                <w:color w:val="auto"/>
              </w:rPr>
            </w:pPr>
          </w:p>
        </w:tc>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1(b) Ofer Ben-Zur</w:t>
            </w: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2720" w:type="dxa"/>
            <w:vAlign w:val="bottom"/>
            <w:tcBorders>
              <w:right w:val="single" w:sz="8" w:color="auto"/>
            </w:tcBorders>
          </w:tcPr>
          <w:p>
            <w:pPr>
              <w:spacing w:after="0"/>
              <w:rPr>
                <w:sz w:val="24"/>
                <w:szCs w:val="24"/>
                <w:color w:val="auto"/>
              </w:rPr>
            </w:pPr>
          </w:p>
        </w:tc>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 a three-year term, as a Class I director of the Company, until the</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Company’s annual general meeting of shareholders in 2028 and until</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720" w:type="dxa"/>
            <w:vAlign w:val="bottom"/>
            <w:tcBorders>
              <w:right w:val="single" w:sz="8" w:color="auto"/>
            </w:tcBorders>
          </w:tcPr>
          <w:p>
            <w:pPr>
              <w:spacing w:after="0"/>
              <w:rPr>
                <w:sz w:val="20"/>
                <w:szCs w:val="20"/>
                <w:color w:val="auto"/>
              </w:rPr>
            </w:pPr>
          </w:p>
        </w:tc>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his successor is duly elected and qualified</w:t>
            </w: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2720" w:type="dxa"/>
            <w:vAlign w:val="bottom"/>
            <w:tcBorders>
              <w:right w:val="single" w:sz="8" w:color="auto"/>
            </w:tcBorders>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  Re-appointment of Kost Forer Gabbay &amp; Kasierer, registered public</w:t>
            </w:r>
          </w:p>
        </w:tc>
        <w:tc>
          <w:tcPr>
            <w:tcW w:w="56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accounting firm, a member firm of Ernst &amp; Young Global, as the</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year</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ending December 31, 2025 and for the additional period until the</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Company’s  2026  annual  general  meeting  of  shareholders,  and</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authorization of the Company’s board of directors (with power of</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delegation to the audit committee thereof) to fix such accounting firm’s</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720" w:type="dxa"/>
            <w:vAlign w:val="bottom"/>
            <w:tcBorders>
              <w:right w:val="single" w:sz="8" w:color="auto"/>
            </w:tcBorders>
          </w:tcPr>
          <w:p>
            <w:pPr>
              <w:spacing w:after="0"/>
              <w:rPr>
                <w:sz w:val="20"/>
                <w:szCs w:val="20"/>
                <w:color w:val="auto"/>
              </w:rPr>
            </w:pPr>
          </w:p>
        </w:tc>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annual compensation</w:t>
            </w: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2720" w:type="dxa"/>
            <w:vAlign w:val="bottom"/>
            <w:tcBorders>
              <w:right w:val="single" w:sz="8" w:color="auto"/>
            </w:tcBorders>
          </w:tcPr>
          <w:p>
            <w:pPr>
              <w:spacing w:after="0"/>
              <w:rPr>
                <w:sz w:val="24"/>
                <w:szCs w:val="24"/>
                <w:color w:val="auto"/>
              </w:rPr>
            </w:pPr>
          </w:p>
        </w:tc>
        <w:tc>
          <w:tcPr>
            <w:tcW w:w="5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5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 change the address on your account, please check the box at the</w:t>
            </w: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and indicate your new address in the address space above.</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note that changes to the registered name(s) on the account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not be submitted via this method.</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of shareholder</w:t>
            </w:r>
          </w:p>
        </w:tc>
        <w:tc>
          <w:tcPr>
            <w:tcW w:w="820" w:type="dxa"/>
            <w:vAlign w:val="bottom"/>
            <w:tcBorders>
              <w:bottom w:val="single" w:sz="8" w:color="auto"/>
            </w:tcBorders>
          </w:tcPr>
          <w:p>
            <w:pPr>
              <w:spacing w:after="0"/>
              <w:rPr>
                <w:sz w:val="19"/>
                <w:szCs w:val="19"/>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820" w:type="dxa"/>
            <w:vAlign w:val="bottom"/>
            <w:tcBorders>
              <w:bottom w:val="single" w:sz="8" w:color="auto"/>
            </w:tcBorders>
          </w:tcPr>
          <w:p>
            <w:pPr>
              <w:spacing w:after="0"/>
              <w:rPr>
                <w:sz w:val="19"/>
                <w:szCs w:val="19"/>
                <w:color w:val="auto"/>
              </w:rPr>
            </w:pPr>
          </w:p>
        </w:tc>
        <w:tc>
          <w:tcPr>
            <w:tcW w:w="3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Signature of shareholder</w:t>
            </w:r>
          </w:p>
        </w:tc>
        <w:tc>
          <w:tcPr>
            <w:tcW w:w="820" w:type="dxa"/>
            <w:vAlign w:val="bottom"/>
            <w:tcBorders>
              <w:bottom w:val="single" w:sz="8" w:color="auto"/>
            </w:tcBorders>
          </w:tcPr>
          <w:p>
            <w:pPr>
              <w:spacing w:after="0"/>
              <w:rPr>
                <w:sz w:val="19"/>
                <w:szCs w:val="19"/>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4"/>
              </w:rPr>
              <w:t>Date</w:t>
            </w:r>
          </w:p>
        </w:tc>
        <w:tc>
          <w:tcPr>
            <w:tcW w:w="0" w:type="dxa"/>
            <w:vAlign w:val="bottom"/>
          </w:tcPr>
          <w:p>
            <w:pPr>
              <w:spacing w:after="0"/>
              <w:rPr>
                <w:sz w:val="1"/>
                <w:szCs w:val="1"/>
                <w:color w:val="auto"/>
              </w:rPr>
            </w:pPr>
          </w:p>
        </w:tc>
      </w:tr>
      <w:tr>
        <w:trPr>
          <w:trHeight w:val="270"/>
        </w:trPr>
        <w:tc>
          <w:tcPr>
            <w:tcW w:w="4260" w:type="dxa"/>
            <w:vAlign w:val="bottom"/>
            <w:vMerge w:val="continue"/>
          </w:tcPr>
          <w:p>
            <w:pPr>
              <w:spacing w:after="0"/>
              <w:rPr>
                <w:sz w:val="23"/>
                <w:szCs w:val="23"/>
                <w:color w:val="auto"/>
              </w:rPr>
            </w:pPr>
          </w:p>
        </w:tc>
        <w:tc>
          <w:tcPr>
            <w:tcW w:w="820" w:type="dxa"/>
            <w:vAlign w:val="bottom"/>
            <w:tcBorders>
              <w:left w:val="single" w:sz="8" w:color="auto"/>
              <w:right w:val="single" w:sz="8" w:color="auto"/>
            </w:tcBorders>
          </w:tcPr>
          <w:p>
            <w:pPr>
              <w:spacing w:after="0"/>
              <w:rPr>
                <w:sz w:val="23"/>
                <w:szCs w:val="23"/>
                <w:color w:val="auto"/>
              </w:rPr>
            </w:pPr>
          </w:p>
        </w:tc>
        <w:tc>
          <w:tcPr>
            <w:tcW w:w="540" w:type="dxa"/>
            <w:vAlign w:val="bottom"/>
            <w:vMerge w:val="continue"/>
          </w:tcPr>
          <w:p>
            <w:pPr>
              <w:spacing w:after="0"/>
              <w:rPr>
                <w:sz w:val="23"/>
                <w:szCs w:val="23"/>
                <w:color w:val="auto"/>
              </w:rPr>
            </w:pPr>
          </w:p>
        </w:tc>
        <w:tc>
          <w:tcPr>
            <w:tcW w:w="820" w:type="dxa"/>
            <w:vAlign w:val="bottom"/>
            <w:tcBorders>
              <w:left w:val="single" w:sz="8" w:color="auto"/>
              <w:right w:val="single" w:sz="8" w:color="auto"/>
            </w:tcBorders>
          </w:tcPr>
          <w:p>
            <w:pPr>
              <w:spacing w:after="0"/>
              <w:rPr>
                <w:sz w:val="23"/>
                <w:szCs w:val="23"/>
                <w:color w:val="auto"/>
              </w:rPr>
            </w:pPr>
          </w:p>
        </w:tc>
        <w:tc>
          <w:tcPr>
            <w:tcW w:w="3320" w:type="dxa"/>
            <w:vAlign w:val="bottom"/>
            <w:gridSpan w:val="2"/>
            <w:vMerge w:val="continue"/>
          </w:tcPr>
          <w:p>
            <w:pPr>
              <w:spacing w:after="0"/>
              <w:rPr>
                <w:sz w:val="23"/>
                <w:szCs w:val="23"/>
                <w:color w:val="auto"/>
              </w:rPr>
            </w:pPr>
          </w:p>
        </w:tc>
        <w:tc>
          <w:tcPr>
            <w:tcW w:w="820" w:type="dxa"/>
            <w:vAlign w:val="bottom"/>
            <w:tcBorders>
              <w:left w:val="single" w:sz="8" w:color="auto"/>
              <w:right w:val="single" w:sz="8" w:color="auto"/>
            </w:tcBorders>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260" w:type="dxa"/>
            <w:vAlign w:val="bottom"/>
            <w:vMerge w:val="continue"/>
          </w:tcPr>
          <w:p>
            <w:pPr>
              <w:spacing w:after="0"/>
              <w:rPr>
                <w:sz w:val="5"/>
                <w:szCs w:val="5"/>
                <w:color w:val="auto"/>
              </w:rPr>
            </w:pPr>
          </w:p>
        </w:tc>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-231140</wp:posOffset>
            </wp:positionV>
            <wp:extent cx="1714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7145" cy="222885"/>
                    </a:xfrm>
                    <a:prstGeom prst="rect">
                      <a:avLst/>
                    </a:prstGeom>
                    <a:noFill/>
                  </pic:spPr>
                </pic:pic>
              </a:graphicData>
            </a:graphic>
          </wp:anchor>
        </w:drawing>
      </w:r>
    </w:p>
    <w:p>
      <w:pPr>
        <w:spacing w:after="0" w:line="394" w:lineRule="exact"/>
        <w:rPr>
          <w:sz w:val="20"/>
          <w:szCs w:val="20"/>
          <w:color w:val="auto"/>
        </w:rPr>
      </w:pPr>
    </w:p>
    <w:p>
      <w:pPr>
        <w:jc w:val="both"/>
        <w:ind w:left="500" w:hanging="485"/>
        <w:spacing w:after="0" w:line="266" w:lineRule="auto"/>
        <w:rPr>
          <w:sz w:val="20"/>
          <w:szCs w:val="20"/>
          <w:color w:val="auto"/>
        </w:rPr>
      </w:pPr>
      <w:r>
        <w:rPr>
          <w:rFonts w:ascii="Times New Roman" w:cs="Times New Roman" w:eastAsia="Times New Roman" w:hAnsi="Times New Roman"/>
          <w:sz w:val="18"/>
          <w:szCs w:val="18"/>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jpe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e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 Id="rId21" Type="http://schemas.openxmlformats.org/officeDocument/2006/relationships/hyperlink" Target="https://www.sec.gov/Archives/edgar/data/1625791/000101376225003116/ea0235566-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2025-08-07T16:25:59Z</dcterms:created>
  <dcterms:modified xsi:type="dcterms:W3CDTF">2025-08-07T16:25:59Z</dcterms:modified>
</cp:coreProperties>
</file>