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November 2018</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4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12, 2018, Kornit Digital Ltd. issued a press release entitled “Kornit Digital Reports 2018 Third Quarter Results.” A copy of that press release is furnished as Exhibit 99.1 hereto.</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 GAAP financial information contained in the (i) consolidated statements of operations, (ii) consolidated balance sheets and (iii) consolidated statements of cash flows included in the press release attached as Exhibit 99.1 to this Report of Foreign Private Issuer on Form 6-K is hereby incorporated by reference into the Registrant’s Registration Statements on Form F-3 (File No. 333-215404) and Form S-8 (File No.’s 333-203970, 333-214015, 333-217039 and 333-223794).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November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Pr>
          <w:p>
            <w:pPr>
              <w:jc w:val="right"/>
              <w:ind w:right="430"/>
              <w:spacing w:after="0"/>
              <w:rPr>
                <w:sz w:val="20"/>
                <w:szCs w:val="20"/>
                <w:color w:val="auto"/>
              </w:rPr>
            </w:pPr>
            <w:r>
              <w:rPr>
                <w:rFonts w:ascii="Arial" w:cs="Arial" w:eastAsia="Arial" w:hAnsi="Arial"/>
                <w:sz w:val="18"/>
                <w:szCs w:val="18"/>
                <w:b w:val="1"/>
                <w:bCs w:val="1"/>
                <w:color w:val="auto"/>
              </w:rPr>
              <w:t>Exhibit Index</w:t>
            </w:r>
          </w:p>
        </w:tc>
        <w:tc>
          <w:tcPr>
            <w:tcW w:w="166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Description</w:t>
            </w:r>
          </w:p>
        </w:tc>
        <w:tc>
          <w:tcPr>
            <w:tcW w:w="16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96"/>
        </w:trPr>
        <w:tc>
          <w:tcPr>
            <w:tcW w:w="1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0000EE"/>
                <w:w w:val="90"/>
              </w:rPr>
              <w:t>Press release dated November 12, 2018 entitled “Kornit Digital Reports 2018</w:t>
            </w:r>
          </w:p>
        </w:tc>
        <w:tc>
          <w:tcPr>
            <w:tcW w:w="466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0000EE"/>
              </w:rPr>
              <w:t>Third Quarter Results”</w:t>
            </w:r>
          </w:p>
        </w:tc>
      </w:tr>
      <w:tr>
        <w:trPr>
          <w:trHeight w:val="655"/>
        </w:trPr>
        <w:tc>
          <w:tcPr>
            <w:tcW w:w="10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600" w:type="dxa"/>
            <w:vAlign w:val="bottom"/>
            <w:tcBorders>
              <w:top w:val="single" w:sz="8" w:color="0000EE"/>
              <w:bottom w:val="single" w:sz="8" w:color="auto"/>
            </w:tcBorders>
          </w:tcPr>
          <w:p>
            <w:pPr>
              <w:jc w:val="right"/>
              <w:ind w:right="910"/>
              <w:spacing w:after="0"/>
              <w:rPr>
                <w:sz w:val="20"/>
                <w:szCs w:val="20"/>
                <w:color w:val="auto"/>
              </w:rPr>
            </w:pPr>
            <w:r>
              <w:rPr>
                <w:rFonts w:ascii="Arial" w:cs="Arial" w:eastAsia="Arial" w:hAnsi="Arial"/>
                <w:sz w:val="18"/>
                <w:szCs w:val="18"/>
                <w:color w:val="auto"/>
              </w:rPr>
              <w:t>3</w:t>
            </w:r>
          </w:p>
        </w:tc>
        <w:tc>
          <w:tcPr>
            <w:tcW w:w="1660" w:type="dxa"/>
            <w:vAlign w:val="bottom"/>
            <w:tcBorders>
              <w:top w:val="single" w:sz="8" w:color="0000EE"/>
              <w:bottom w:val="single" w:sz="8" w:color="auto"/>
            </w:tcBorders>
          </w:tcPr>
          <w:p>
            <w:pPr>
              <w:spacing w:after="0"/>
              <w:rPr>
                <w:sz w:val="24"/>
                <w:szCs w:val="24"/>
                <w:color w:val="auto"/>
              </w:rPr>
            </w:pPr>
          </w:p>
        </w:tc>
        <w:tc>
          <w:tcPr>
            <w:tcW w:w="3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2018 Third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2018 revenues increased by 32.1% to $37.6 million, net of $1.7 million attributed to the non-cash impact of warrants, compared to $28.4 million, net of $0.1 million attributed to the non-cash impact of warrants in the prior year period.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2018 GAAP operating income of $3.1 million, or 8.2% of revenue; non-GAAP operating income of $4.9 million, or 13% of revenue, net of 367 basis points attributed to the non-cash impact of warrants.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Third quarter 2018 GAAP net income of $3.1 million, or $0.09 per diluted share; non-GAAP net income of $4.8 million, or $0.13 per diluted share.</w:t>
      </w:r>
    </w:p>
    <w:p>
      <w:pPr>
        <w:spacing w:after="0" w:line="23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warrants impact on Non-GAAP Gross margin was 206 basis points, operating margin 367 basis points and Non-GAAP net margin 368 basis points.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continues to benefit from the market success of HD with orders of more than 200 systems and upgrades to date.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Rosh-Ha’Ayin, Israel – November 12, 2018 – </w:t>
      </w:r>
      <w:r>
        <w:rPr>
          <w:rFonts w:ascii="Arial" w:cs="Arial" w:eastAsia="Arial" w:hAnsi="Arial"/>
          <w:sz w:val="18"/>
          <w:szCs w:val="18"/>
          <w:color w:val="auto"/>
        </w:rPr>
        <w:t>Kornit Digital Ltd. (NASDAQ: 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third quarter ended September 30,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Beginning as of the fourth-quarter of 2017, non-GAAP figures are presented using a different methodology compared to previous periods as a result of comments received from the U.S. Securities and Exchange Commission. These changes also impact the Company’s guidance methodology, the details of which can be found at the end of today’s press release.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Kornit reported that third quarter 2018 revenue increased by 32.1% to $37.6 million, net of $1.7 million attributed to the non-cash impact of warrants, compared to the prior year period of $28.4 million, net of $0.1 million attributed to the non-cash impact of warrants. Higher revenue in the quarter was attributable to widespread growth across geographies and customers, and the delivery of systems on a large customer program.</w:t>
      </w:r>
    </w:p>
    <w:p>
      <w:pPr>
        <w:spacing w:after="0" w:line="16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GAAP operating income increased to $3.1 million, compared to the prior-year period operating loss of $0.2 million. Non-GAAP operating income increased by 208.4% to $4.9 million, or 13% of revenue, compared to the prior year period of $1.6 million, or 5.6% of revenue. Increased operating income was the result of increased revenue and higher operating leverage, partially offset by an unfavorable product mix, as more systems were sold during the period.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Ronen Samuel, Kornit Digital’s Chief Executive Officer commented, “We are pleased to report strong third quarter results, with sales increasing by more than 30% compared to last year quarter as the market success of our leading industrial DTG systems continues to modernize the retail supply chain. Our sales are accelerating as our customers respond to dynamic challenges to reduce printed apparel run length and lead times while minimizing inventory risk. We firmly believe that Kornit is uniquely positioned to address these evolving priorities with the right technology that delivers superior print quality and hand-feel to end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“Our latest-generation HD products are receiving unprecedented market success, with more than 200 orders of systems and upgrades to date. The success of the HD leads another wave of Kornit innovation, as we are progressing well with customer beta testing of a new mass production system slated for broader availability in 2019, and the launch of our dark poly solution that was announced during our recent investor day. These technological enhancements add to our recent momentum and present a clear path to achieving our long-term goals.”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Kornit reported third quarter revenues, net of the non-cash impact of warrants, of $37.6 million, compared with the prior-year period level of $28.4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total non-cash impact of the warrants deducted from revenues was $1.7 million in the third quarter of 2018 and $0.1 million in the third quarter of 2017.</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third quarter gross profit was $18.9 million, compared with $14.6 million, in the prior-year period. Non-GAAP gross profit in the third quarter was $19.2 million, or 51.1% of revenues, compared with $14.8 million, or 52% of revenues in the third quarter of 2017. The lower gross margin was primarily due to the effect of warrants in the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total operating expenses in the third quarter were $15.9 million, compared to $14.8 million in the corresponding prior-year period. Non-GAAP operating expenses in the third quarter increased to $14.3 million, or 38.1% of revenues, compared to $13.2 million, or 46.5% of revenues, in the corresponding prior-year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Third quarter GAAP research and development expenses were $5.1 million, compared to $5.8 million in the corresponding prior-year period. Third quarter non-GAAP research and development expenses were $4.8 million, or 12.8% of revenues, compared to $5.6 million, or 19.6% of revenues, in the prior-year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Third quarter GAAP selling and marketing expenses were $6.5 million, compared to $5.3 million in the corresponding prior-year period. Third quarter non-GAAP selling and marketing expenses were $5.9 million, or 15.7% of revenues, compared to $4.8 million, or 16.8% of revenues, in the equivalent prior-year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Third quarter GAAP general and administrative expenses were $4.2 million, compared to $3.4 million in the corresponding prior-year period. Third quarter non-GAAP general and administrative expenses were $3.6 million, or 9.6% of revenues, compared to $2.9 million, or 10.1% of revenues, in the corresponding prior-year period.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 GAAP basis, third-quarter operating income was $3.1 million, compared to operating loss of $0.2 million during the corresponding prior-year period. Non-GAAP operating income in the third quarter increased to $4.9 million, compared to $1.6 million in the equivalent prior-year period. As a percent of revenues, non-GAAP operating margin for the third quarter was 13% of revenues, compared with 5.6% of revenues in the third quarter of 2017.</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On a GAAP basis, the Company reported net income of $3.1 million, or $0.09 per diluted share, compared to net loss of $0.1 million in the third quarter of 2017. Non-GAAP net income for the third quarter of 2018 was $4.8 million, or $0.13 per diluted share, compared to non-GAAP net income of $1.5 million, or $0.04 per diluted share, in the corresponding prior year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Q3 Warrants impact:</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6"/>
              </w:rPr>
              <w:t>Warrant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9"/>
              </w:rPr>
              <w:t>Warrant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Net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Impact</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Net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Impact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Warrant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increase</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Warrant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Impact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(decrease)</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Impact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37.6M</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1.7M</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28.4M</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Non-GAAP Gross Margin</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206bps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25bps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Margin</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367bps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49bps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Non-GAAP Net Margin</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368bps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50bps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Earnings Per Share</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Balance Sheet and Cash Flow</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the Company had cash, deposits and marketable securities of $110.9 million, and no long-term debt. Cash flow provided by operations was $11 million during the third quarter of 2018, attributable mainly to higher net profit.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2018 Guidance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will host a conference call on Monday, November 12 at 5:00 p.m. ET, or 0:00 a.m. Israel time, to discuss the results, followed by a question and answer session for the investment community. A live webcast of the call can be accessed at ir.kornit.com. To access the call, participants may dial toll-free at 1-800-239-9838 or +1-323-794-2551. The toll-free Israeli number is 1 80 921 2883. The confirmation code is 8753465.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8753465. The telephonic replay will be available beginning at 8:00 p.m. ET on Monday, November 12, 2018, and will last through 11:59 p.m. ET on Monday, November 26, 2018. The call will also be available for replay via the webcast link on Kornit’s Investor Relations website.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degree of our success in developing, introducing and selling new or improved products and product enhancements, the extent of our ability to consummate sales to large accounts with multi-system delivery plans, the degree of our ability to fill orders for our systems, the extent of our ability to continue to increase sales of our systems and ink and consumables, the extent of our ability to leverage our global infrastructure build-out, the development of the market for digital textile printing, availability of alternative ink, competition, sales concentration, changes to our relationships with suppliers, the extent of our success in marketing, and those additional factors referred to under “Risk Factors” in the company’s Annual Report on Form 20-F filed with the U.S. Securities and Exchange Commission on March 30, 2018.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Non-GAAP financial measures consist of GAAP financial measures adjusted to exclude the impact of share-based compensation expenses, amortization of acquired intangible assets and restructuring expenses and their tax effect.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9"/>
                <w:szCs w:val="19"/>
                <w:color w:val="auto"/>
              </w:rPr>
            </w:pPr>
          </w:p>
        </w:tc>
        <w:tc>
          <w:tcPr>
            <w:tcW w:w="23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3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1"/>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1"/>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8,404</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Products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34,646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10,571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13,571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9,836</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revenues</w:t>
            </w:r>
          </w:p>
        </w:tc>
        <w:tc>
          <w:tcPr>
            <w:tcW w:w="7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52,845</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44,482</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18,666</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13,851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51,742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39,656</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14,596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Selling and marketing</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18,719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16,126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(1,541)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w:t>
            </w:r>
          </w:p>
        </w:tc>
        <w:tc>
          <w:tcPr>
            <w:tcW w:w="7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5,856</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(1,243)</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3,321</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Taxes on income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vMerge w:val="continue"/>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used in computing basic net</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per share</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34,372,064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34,445,168</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34,513,629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34,883,772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used in computing diluted</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per share</w:t>
            </w: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35,151,714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34,445,168</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35,673,298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34,883,772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RECONCILATION OF GAAP TO NON-GAAP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ectPr>
          <w:pgSz w:w="11900" w:h="16838" w:orient="portrait"/>
          <w:cols w:equalWidth="0" w:num="1">
            <w:col w:w="11420"/>
          </w:cols>
          <w:pgMar w:left="240" w:top="904" w:right="239" w:bottom="115"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1"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5715</wp:posOffset>
            </wp:positionV>
            <wp:extent cx="15779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1"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200"/>
          </w:cols>
          <w:pgMar w:left="240" w:top="904" w:right="239" w:bottom="115"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52,845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44,482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18,666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product recorded for share-based compensation (1)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recorded for share-based compensation (1)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Intangible assets amortization on cost of product (2)</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cost of revenues</w:t>
            </w:r>
          </w:p>
        </w:tc>
        <w:tc>
          <w:tcPr>
            <w:tcW w:w="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vMerge w:val="continue"/>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18,374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51,742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18,925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Gross profit adjustments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vMerge w:val="continue"/>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52,425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19,217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expenses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46,978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41,197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15,868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(2,721)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 (2)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operating expenses</w:t>
            </w:r>
          </w:p>
        </w:tc>
        <w:tc>
          <w:tcPr>
            <w:tcW w:w="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vMerge w:val="continue"/>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42,658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14,335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GAAP Taxes on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Tax effect on to the above non-GAAP adjustments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Taxes on income</w:t>
            </w:r>
          </w:p>
        </w:tc>
        <w:tc>
          <w:tcPr>
            <w:tcW w:w="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vMerge w:val="continue"/>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3,193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 (2)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to the above non-GAAP adjustments</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net income (*)</w:t>
            </w: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10,169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4,833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GAAP diluted earning (loss) per share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Non-GAAP diluted earning per share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9"/>
              </w:rPr>
              <w:t>Shares used in computing GAAP diluted net earning (loss) per share</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35,151,714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34,445,168</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35,673,298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34,883,772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Shares used in computing Non-GAAP diluted net earning per share</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35,423,185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34,877,281</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35,905,930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35,242,293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(1) Share-based compensation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product revenues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Cost of service revenues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1,464</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tcPr>
          <w:p>
            <w:pPr>
              <w:spacing w:after="0"/>
              <w:rPr>
                <w:sz w:val="18"/>
                <w:szCs w:val="18"/>
                <w:color w:val="auto"/>
              </w:rPr>
            </w:pPr>
          </w:p>
        </w:tc>
        <w:tc>
          <w:tcPr>
            <w:tcW w:w="5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3,193</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 Intangible assets amortization</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Cost of product revenues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and marketing</w:t>
            </w: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798</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1,018</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has been updated from prior reports (a) to remove the adjustment for the non-cash impact of the warrants deducted from revenues, and (b) to reflect the tax effect of the non-GAAP adjustments.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15"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Short-term bank deposit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 receivables,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30,620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accounts receivable and prepaid expenses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65,278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prepaid expenses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Severance pay fund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193,610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Employees and payroll accruals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severance pay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Payment obligation related to acquisition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165,184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193,610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9"/>
                <w:szCs w:val="19"/>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80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3,113</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gridSpan w:val="3"/>
          </w:tcPr>
          <w:p>
            <w:pPr>
              <w:spacing w:after="0" w:line="201" w:lineRule="exact"/>
              <w:rPr>
                <w:sz w:val="20"/>
                <w:szCs w:val="20"/>
                <w:color w:val="auto"/>
              </w:rPr>
            </w:pPr>
            <w:r>
              <w:rPr>
                <w:rFonts w:ascii="Arial" w:cs="Arial" w:eastAsia="Arial" w:hAnsi="Arial"/>
                <w:sz w:val="18"/>
                <w:szCs w:val="18"/>
                <w:color w:val="auto"/>
                <w:w w:val="94"/>
              </w:rPr>
              <w:t>Adjustments to reconcile net income (loss) to net cash provided by (used by)</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3"/>
          </w:tcPr>
          <w:p>
            <w:pPr>
              <w:ind w:left="16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Amortization of premium on marketable securities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Decrease (increase) in trade receivables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other receivables and prepaid expenses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Decrease (increase) in inventory</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(11,631)</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taxes, net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Decrease (increase) in other long term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Increase (decrease) in deferred revenues and advances from customers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Increase in other payables and accrued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accrued severance pay, net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Increase (decrease) in other long term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gridSpan w:val="3"/>
          </w:tcPr>
          <w:p>
            <w:pPr>
              <w:spacing w:after="0" w:line="201" w:lineRule="exact"/>
              <w:rPr>
                <w:sz w:val="20"/>
                <w:szCs w:val="20"/>
                <w:color w:val="auto"/>
              </w:rPr>
            </w:pPr>
            <w:r>
              <w:rPr>
                <w:rFonts w:ascii="Arial" w:cs="Arial" w:eastAsia="Arial" w:hAnsi="Arial"/>
                <w:sz w:val="18"/>
                <w:szCs w:val="18"/>
                <w:color w:val="auto"/>
                <w:w w:val="97"/>
              </w:rPr>
              <w:t>Foreign currency translation income (loss) on inter company balances with</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80" w:type="dxa"/>
            <w:vAlign w:val="bottom"/>
            <w:gridSpan w:val="3"/>
          </w:tcPr>
          <w:p>
            <w:pPr>
              <w:ind w:left="160"/>
              <w:spacing w:after="0"/>
              <w:rPr>
                <w:sz w:val="20"/>
                <w:szCs w:val="20"/>
                <w:color w:val="auto"/>
              </w:rPr>
            </w:pPr>
            <w:r>
              <w:rPr>
                <w:rFonts w:ascii="Arial" w:cs="Arial" w:eastAsia="Arial" w:hAnsi="Arial"/>
                <w:sz w:val="18"/>
                <w:szCs w:val="18"/>
                <w:color w:val="auto"/>
              </w:rPr>
              <w:t>foreign subsidiaries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17,642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(5,946)</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10,958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78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(4,500)</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Investment in bank deposits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6,740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(79,255)</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(23,232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(38,697</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(15,008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78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Proceeds from secondary offering, net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35,077</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Payment of contingent consideration</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Decrease in cash and cash equivalents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(8,623)</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7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14,099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14,290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14,099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Purchase of property and equipment on credit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58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2019-12-08T12:43:42Z</dcterms:created>
  <dcterms:modified xsi:type="dcterms:W3CDTF">2019-12-08T12:43:42Z</dcterms:modified>
</cp:coreProperties>
</file>