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FORM 6-K</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November 2020</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9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KORNIT DIGITAL LTD.</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3" w:lineRule="exact"/>
        <w:rPr>
          <w:sz w:val="24"/>
          <w:szCs w:val="24"/>
          <w:color w:val="auto"/>
        </w:rPr>
      </w:pPr>
    </w:p>
    <w:p>
      <w:pPr>
        <w:ind w:left="4660"/>
        <w:spacing w:after="0" w:line="184" w:lineRule="exact"/>
        <w:tabs>
          <w:tab w:leader="none" w:pos="570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MS PGothic" w:cs="MS PGothic" w:eastAsia="MS PGothic" w:hAnsi="MS PGothic"/>
          <w:sz w:val="15"/>
          <w:szCs w:val="15"/>
          <w:color w:val="auto"/>
        </w:rPr>
        <w:t>☐</w:t>
      </w:r>
    </w:p>
    <w:p>
      <w:pPr>
        <w:spacing w:after="0" w:line="21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175260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577850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91"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Third Quarter of 2020</w:t>
      </w:r>
    </w:p>
    <w:p>
      <w:pPr>
        <w:spacing w:after="0" w:line="200" w:lineRule="exact"/>
        <w:rPr>
          <w:sz w:val="20"/>
          <w:szCs w:val="20"/>
          <w:color w:val="auto"/>
        </w:rPr>
      </w:pPr>
    </w:p>
    <w:p>
      <w:pPr>
        <w:ind w:firstLine="565"/>
        <w:spacing w:after="0" w:line="283" w:lineRule="auto"/>
        <w:rPr>
          <w:sz w:val="20"/>
          <w:szCs w:val="20"/>
          <w:color w:val="auto"/>
        </w:rPr>
      </w:pPr>
      <w:r>
        <w:rPr>
          <w:rFonts w:ascii="Times New Roman" w:cs="Times New Roman" w:eastAsia="Times New Roman" w:hAnsi="Times New Roman"/>
          <w:sz w:val="16"/>
          <w:szCs w:val="16"/>
          <w:color w:val="auto"/>
        </w:rPr>
        <w:t>On November 10, 2020,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issued a press release entitled “Kornit Digital Reports Third Quarter 2020 Results,” in which Kornit reported its results of operations for the quarter ended September 30, 2020. A copy of that press release is furnished as Exhibit 99.1 hereto.</w:t>
      </w:r>
    </w:p>
    <w:p>
      <w:pPr>
        <w:spacing w:after="0" w:line="142" w:lineRule="exact"/>
        <w:rPr>
          <w:sz w:val="20"/>
          <w:szCs w:val="20"/>
          <w:color w:val="auto"/>
        </w:rPr>
      </w:pPr>
    </w:p>
    <w:p>
      <w:pPr>
        <w:ind w:right="60" w:firstLine="565"/>
        <w:spacing w:after="0" w:line="265" w:lineRule="auto"/>
        <w:rPr>
          <w:sz w:val="20"/>
          <w:szCs w:val="20"/>
          <w:color w:val="auto"/>
        </w:rPr>
      </w:pPr>
      <w:r>
        <w:rPr>
          <w:rFonts w:ascii="Times New Roman" w:cs="Times New Roman" w:eastAsia="Times New Roman" w:hAnsi="Times New Roman"/>
          <w:sz w:val="16"/>
          <w:szCs w:val="16"/>
          <w:color w:val="auto"/>
        </w:rPr>
        <w:t xml:space="preserve">In conjunction with the conference call being held on November 10, 2020 to discuss Kornit’s quarterly results for the quarter ended September 30, 2020, Kornit has also made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5" w:lineRule="exact"/>
        <w:rPr>
          <w:sz w:val="20"/>
          <w:szCs w:val="20"/>
          <w:color w:val="auto"/>
        </w:rPr>
      </w:pPr>
    </w:p>
    <w:p>
      <w:pPr>
        <w:ind w:right="40" w:firstLine="565"/>
        <w:spacing w:after="0" w:line="265" w:lineRule="auto"/>
        <w:rPr>
          <w:sz w:val="20"/>
          <w:szCs w:val="20"/>
          <w:color w:val="auto"/>
        </w:rPr>
      </w:pPr>
      <w:r>
        <w:rPr>
          <w:rFonts w:ascii="Times New Roman" w:cs="Times New Roman" w:eastAsia="Times New Roman" w:hAnsi="Times New Roman"/>
          <w:sz w:val="16"/>
          <w:szCs w:val="16"/>
          <w:color w:val="auto"/>
        </w:rPr>
        <w:t>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F-3 (File No. 333-248784) and Form S-8 (File No.’s 333-203970, 333-214015, 333-217039, 333-223794, 333-230567 and 333-237346).</w:t>
      </w:r>
    </w:p>
    <w:p>
      <w:pPr>
        <w:spacing w:after="0" w:line="34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60"/>
          </w:cols>
          <w:pgMar w:left="320" w:top="814"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100" w:firstLine="565"/>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7640" w:type="dxa"/>
            <w:vAlign w:val="bottom"/>
            <w:gridSpan w:val="2"/>
          </w:tcPr>
          <w:p>
            <w:pPr>
              <w:ind w:left="3140"/>
              <w:spacing w:after="0"/>
              <w:rPr>
                <w:sz w:val="20"/>
                <w:szCs w:val="20"/>
                <w:color w:val="auto"/>
              </w:rPr>
            </w:pPr>
            <w:r>
              <w:rPr>
                <w:rFonts w:ascii="Times New Roman" w:cs="Times New Roman" w:eastAsia="Times New Roman" w:hAnsi="Times New Roman"/>
                <w:sz w:val="16"/>
                <w:szCs w:val="16"/>
                <w:color w:val="auto"/>
              </w:rPr>
              <w:t>KORNIT DIGITAL LTD.</w:t>
            </w:r>
          </w:p>
        </w:tc>
      </w:tr>
      <w:tr>
        <w:trPr>
          <w:trHeight w:val="386"/>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10, 2020</w:t>
            </w:r>
          </w:p>
        </w:tc>
        <w:tc>
          <w:tcPr>
            <w:tcW w:w="37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Guy Avidan</w:t>
            </w:r>
          </w:p>
        </w:tc>
      </w:tr>
      <w:tr>
        <w:trPr>
          <w:trHeight w:val="175"/>
        </w:trPr>
        <w:tc>
          <w:tcPr>
            <w:tcW w:w="3620" w:type="dxa"/>
            <w:vAlign w:val="bottom"/>
          </w:tcPr>
          <w:p>
            <w:pPr>
              <w:spacing w:after="0"/>
              <w:rPr>
                <w:sz w:val="15"/>
                <w:szCs w:val="15"/>
                <w:color w:val="auto"/>
              </w:rPr>
            </w:pPr>
          </w:p>
        </w:tc>
        <w:tc>
          <w:tcPr>
            <w:tcW w:w="3700" w:type="dxa"/>
            <w:vAlign w:val="bottom"/>
          </w:tcPr>
          <w:p>
            <w:pPr>
              <w:ind w:left="314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Guy Avidan</w:t>
            </w:r>
          </w:p>
        </w:tc>
      </w:tr>
      <w:tr>
        <w:trPr>
          <w:trHeight w:val="208"/>
        </w:trPr>
        <w:tc>
          <w:tcPr>
            <w:tcW w:w="3620" w:type="dxa"/>
            <w:vAlign w:val="bottom"/>
          </w:tcPr>
          <w:p>
            <w:pPr>
              <w:spacing w:after="0"/>
              <w:rPr>
                <w:sz w:val="18"/>
                <w:szCs w:val="18"/>
                <w:color w:val="auto"/>
              </w:rPr>
            </w:pPr>
          </w:p>
        </w:tc>
        <w:tc>
          <w:tcPr>
            <w:tcW w:w="37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577"/>
        </w:trPr>
        <w:tc>
          <w:tcPr>
            <w:tcW w:w="3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color w:val="auto"/>
              </w:rPr>
              <w:t>2</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86"/>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40" w:type="dxa"/>
            <w:vAlign w:val="bottom"/>
            <w:tcBorders>
              <w:bottom w:val="single" w:sz="8" w:color="CCEEFF"/>
            </w:tcBorders>
          </w:tcPr>
          <w:p>
            <w:pPr>
              <w:spacing w:after="0"/>
              <w:rPr>
                <w:sz w:val="24"/>
                <w:szCs w:val="24"/>
                <w:color w:val="auto"/>
              </w:rPr>
            </w:pPr>
          </w:p>
        </w:tc>
        <w:tc>
          <w:tcPr>
            <w:tcW w:w="1012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99.1</w:t>
            </w:r>
          </w:p>
        </w:tc>
        <w:tc>
          <w:tcPr>
            <w:tcW w:w="240" w:type="dxa"/>
            <w:vAlign w:val="bottom"/>
            <w:shd w:val="clear" w:color="auto" w:fill="CCEEFF"/>
          </w:tcPr>
          <w:p>
            <w:pPr>
              <w:spacing w:after="0"/>
              <w:rPr>
                <w:sz w:val="16"/>
                <w:szCs w:val="16"/>
                <w:color w:val="auto"/>
              </w:rPr>
            </w:pPr>
          </w:p>
        </w:tc>
        <w:tc>
          <w:tcPr>
            <w:tcW w:w="10120" w:type="dxa"/>
            <w:vAlign w:val="bottom"/>
            <w:shd w:val="clear" w:color="auto" w:fill="CCEEFF"/>
          </w:tcPr>
          <w:p>
            <w:pPr>
              <w:spacing w:after="0"/>
              <w:rPr>
                <w:rFonts w:ascii="Times New Roman" w:cs="Times New Roman" w:eastAsia="Times New Roman" w:hAnsi="Times New Roman"/>
                <w:sz w:val="16"/>
                <w:szCs w:val="16"/>
                <w:u w:val="single" w:color="auto"/>
                <w:color w:val="0000EE"/>
              </w:rPr>
            </w:pPr>
            <w:hyperlink w:anchor="page5">
              <w:r>
                <w:rPr>
                  <w:rFonts w:ascii="Times New Roman" w:cs="Times New Roman" w:eastAsia="Times New Roman" w:hAnsi="Times New Roman"/>
                  <w:sz w:val="16"/>
                  <w:szCs w:val="16"/>
                  <w:u w:val="single" w:color="auto"/>
                  <w:color w:val="0000EE"/>
                </w:rPr>
                <w:t>Press release, dated November 10, 2020, titled “Kornit Digital Reports Third Quarter 2020 Results”</w:t>
              </w:r>
            </w:hyperlink>
          </w:p>
        </w:tc>
      </w:tr>
      <w:tr>
        <w:trPr>
          <w:trHeight w:val="191"/>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tcPr>
          <w:p>
            <w:pPr>
              <w:spacing w:after="0"/>
              <w:rPr>
                <w:sz w:val="16"/>
                <w:szCs w:val="16"/>
                <w:color w:val="auto"/>
              </w:rPr>
            </w:pPr>
          </w:p>
        </w:tc>
      </w:tr>
      <w:tr>
        <w:trPr>
          <w:trHeight w:val="191"/>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99.2</w:t>
            </w:r>
          </w:p>
        </w:tc>
        <w:tc>
          <w:tcPr>
            <w:tcW w:w="10360" w:type="dxa"/>
            <w:vAlign w:val="bottom"/>
            <w:gridSpan w:val="2"/>
            <w:shd w:val="clear" w:color="auto" w:fill="CCEEFF"/>
          </w:tcPr>
          <w:p>
            <w:pPr>
              <w:jc w:val="center"/>
              <w:ind w:right="780"/>
              <w:spacing w:after="0"/>
              <w:rPr>
                <w:rFonts w:ascii="Times New Roman" w:cs="Times New Roman" w:eastAsia="Times New Roman" w:hAnsi="Times New Roman"/>
                <w:sz w:val="16"/>
                <w:szCs w:val="16"/>
                <w:u w:val="single" w:color="auto"/>
                <w:color w:val="0000EE"/>
                <w:w w:val="99"/>
              </w:rPr>
            </w:pPr>
            <w:hyperlink w:anchor="page14">
              <w:r>
                <w:rPr>
                  <w:rFonts w:ascii="Times New Roman" w:cs="Times New Roman" w:eastAsia="Times New Roman" w:hAnsi="Times New Roman"/>
                  <w:sz w:val="16"/>
                  <w:szCs w:val="16"/>
                  <w:u w:val="single" w:color="auto"/>
                  <w:color w:val="0000EE"/>
                  <w:w w:val="99"/>
                </w:rPr>
                <w:t>Slide presentation for conference call of Kornit held on November 10, 2020 discussing quarterly financial results for the third quarter of 2020</w:t>
              </w:r>
            </w:hyperlink>
          </w:p>
        </w:tc>
      </w:tr>
      <w:tr>
        <w:trPr>
          <w:trHeight w:val="577"/>
        </w:trPr>
        <w:tc>
          <w:tcPr>
            <w:tcW w:w="90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9"/>
              </w:rPr>
              <w:t>3</w:t>
            </w:r>
          </w:p>
        </w:tc>
      </w:tr>
    </w:tbl>
    <w:p>
      <w:pPr>
        <w:sectPr>
          <w:pgSz w:w="11900" w:h="16838" w:orient="portrait"/>
          <w:cols w:equalWidth="0" w:num="1">
            <w:col w:w="11260"/>
          </w:cols>
          <w:pgMar w:left="320" w:top="814"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Kelsey Turcotte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Blueshirt Group</w:t>
      </w:r>
    </w:p>
    <w:p>
      <w:pPr>
        <w:spacing w:after="0" w:line="7" w:lineRule="exact"/>
        <w:rPr>
          <w:sz w:val="20"/>
          <w:szCs w:val="20"/>
          <w:color w:val="auto"/>
        </w:rPr>
      </w:pPr>
    </w:p>
    <w:p>
      <w:pPr>
        <w:ind w:left="4" w:right="9440" w:hanging="4"/>
        <w:spacing w:after="0" w:line="292" w:lineRule="auto"/>
        <w:tabs>
          <w:tab w:leader="none" w:pos="389"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842-0334 Kelsey@blueshirtgroup.com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069975" cy="645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Kornit Digital Reports Third Quarter 2020 Results</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Acceleration of Digital Textile Transformation Fuels Outperformance</w:t>
      </w:r>
    </w:p>
    <w:p>
      <w:pPr>
        <w:spacing w:after="0" w:line="200" w:lineRule="exact"/>
        <w:rPr>
          <w:sz w:val="20"/>
          <w:szCs w:val="20"/>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quarter revenue of $57.4 million, net of non-cash warrants impact of $2.2 million</w:t>
      </w:r>
    </w:p>
    <w:p>
      <w:pPr>
        <w:spacing w:after="0" w:line="23"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quarter GAAP operating profit of $2.7 million; Non-GAAP operating profit of $6.5 million, net of $2.2 million attributed to the non-cash impact of warrants</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growth and overall business performance exceed previous expectations</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Milestone in sustainable services profitability achieved a quarter ahead of plan</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operating leverage, inclusive of investments in innovation and scaling go-to-market</w:t>
      </w:r>
    </w:p>
    <w:p>
      <w:pPr>
        <w:spacing w:after="0" w:line="7"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Excellent momentum with Custom Gateway introduction and integration</w:t>
      </w:r>
    </w:p>
    <w:p>
      <w:pPr>
        <w:spacing w:after="0" w:line="180" w:lineRule="exact"/>
        <w:rPr>
          <w:sz w:val="20"/>
          <w:szCs w:val="20"/>
          <w:color w:val="auto"/>
        </w:rPr>
      </w:pPr>
    </w:p>
    <w:p>
      <w:pPr>
        <w:ind w:left="4" w:right="64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Rosh-Ha’Ayin, Israel – November 10, 2020 – </w:t>
      </w:r>
      <w:r>
        <w:rPr>
          <w:rFonts w:ascii="Times New Roman" w:cs="Times New Roman" w:eastAsia="Times New Roman" w:hAnsi="Times New Roman"/>
          <w:sz w:val="16"/>
          <w:szCs w:val="16"/>
          <w:color w:val="auto"/>
        </w:rPr>
        <w:t>Kornit Digital Ltd. (NASDAQ: KRNT), a company that develops, manufactures and markets industrial digital printing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technologies for the garment, apparel and textile industries, today reported results for the third quarter ended September 30, 2020.</w:t>
      </w:r>
    </w:p>
    <w:p>
      <w:pPr>
        <w:spacing w:after="0" w:line="142"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6"/>
          <w:szCs w:val="16"/>
          <w:color w:val="auto"/>
        </w:rPr>
        <w:t>“We delivered a very strong third quarter, exceeding our expectations on revenue growth and profitability, as we continue to engage in exciting projects with leading global brands and fulfillers across geographies. Our industry is accelerating the transition to digital sustainable on-demand manufacturing and we have never been better positioned to meet the market opportunities ahead of us,” said Ronen Samuel, Kornit Digital’s CEO. “Looking forward, we see huge momentum in the business, and we are entering 2021 with a very strong pipeline.”</w:t>
      </w:r>
    </w:p>
    <w:p>
      <w:pPr>
        <w:spacing w:after="0" w:line="160" w:lineRule="exact"/>
        <w:rPr>
          <w:sz w:val="20"/>
          <w:szCs w:val="20"/>
          <w:color w:val="auto"/>
        </w:rPr>
      </w:pPr>
    </w:p>
    <w:p>
      <w:pPr>
        <w:ind w:left="4" w:right="40"/>
        <w:spacing w:after="0" w:line="283" w:lineRule="auto"/>
        <w:rPr>
          <w:sz w:val="20"/>
          <w:szCs w:val="20"/>
          <w:color w:val="auto"/>
        </w:rPr>
      </w:pPr>
      <w:r>
        <w:rPr>
          <w:rFonts w:ascii="Times New Roman" w:cs="Times New Roman" w:eastAsia="Times New Roman" w:hAnsi="Times New Roman"/>
          <w:sz w:val="16"/>
          <w:szCs w:val="16"/>
          <w:i w:val="1"/>
          <w:iCs w:val="1"/>
          <w:color w:val="auto"/>
        </w:rPr>
        <w:t>2019 GAAP and Non-GAAP figures in today’s press release are presented using a different valuation basis for the warrants impact compared to previous years as a result of the recently issued accounting standards update (ASU 2019-08).</w:t>
      </w:r>
    </w:p>
    <w:p>
      <w:pPr>
        <w:spacing w:after="0" w:line="142" w:lineRule="exact"/>
        <w:rPr>
          <w:sz w:val="20"/>
          <w:szCs w:val="20"/>
          <w:color w:val="auto"/>
        </w:rPr>
      </w:pPr>
    </w:p>
    <w:p>
      <w:pPr>
        <w:ind w:left="4" w:right="800"/>
        <w:spacing w:after="0" w:line="280" w:lineRule="auto"/>
        <w:rPr>
          <w:sz w:val="20"/>
          <w:szCs w:val="20"/>
          <w:color w:val="auto"/>
        </w:rPr>
      </w:pPr>
      <w:r>
        <w:rPr>
          <w:rFonts w:ascii="Times New Roman" w:cs="Times New Roman" w:eastAsia="Times New Roman" w:hAnsi="Times New Roman"/>
          <w:sz w:val="16"/>
          <w:szCs w:val="16"/>
          <w:color w:val="auto"/>
        </w:rPr>
        <w:t>The following table compares the adverse, non-cash impact that our outstanding warrants had on our results of operations during the third quarter of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3560" w:type="dxa"/>
            <w:vAlign w:val="bottom"/>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Third Quarter Warrants Impact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76"/>
        </w:trPr>
        <w:tc>
          <w:tcPr>
            <w:tcW w:w="3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4"/>
        </w:trPr>
        <w:tc>
          <w:tcPr>
            <w:tcW w:w="3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3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73"/>
        </w:trPr>
        <w:tc>
          <w:tcPr>
            <w:tcW w:w="3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60"/>
              <w:spacing w:after="0" w:line="173" w:lineRule="exact"/>
              <w:rPr>
                <w:sz w:val="20"/>
                <w:szCs w:val="20"/>
                <w:color w:val="auto"/>
              </w:rPr>
            </w:pPr>
            <w:r>
              <w:rPr>
                <w:rFonts w:ascii="Times New Roman" w:cs="Times New Roman" w:eastAsia="Times New Roman" w:hAnsi="Times New Roman"/>
                <w:sz w:val="16"/>
                <w:szCs w:val="16"/>
                <w:b w:val="1"/>
                <w:bCs w:val="1"/>
                <w:color w:val="auto"/>
              </w:rPr>
              <w:t>Net of</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60"/>
              <w:spacing w:after="0" w:line="173" w:lineRule="exact"/>
              <w:rPr>
                <w:sz w:val="20"/>
                <w:szCs w:val="20"/>
                <w:color w:val="auto"/>
              </w:rPr>
            </w:pPr>
            <w:r>
              <w:rPr>
                <w:rFonts w:ascii="Times New Roman" w:cs="Times New Roman" w:eastAsia="Times New Roman" w:hAnsi="Times New Roman"/>
                <w:sz w:val="16"/>
                <w:szCs w:val="16"/>
                <w:b w:val="1"/>
                <w:bCs w:val="1"/>
                <w:color w:val="auto"/>
              </w:rPr>
              <w:t>Net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1"/>
        </w:trPr>
        <w:tc>
          <w:tcPr>
            <w:tcW w:w="3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Warrants</w:t>
            </w:r>
          </w:p>
        </w:tc>
      </w:tr>
      <w:tr>
        <w:trPr>
          <w:trHeight w:val="214"/>
        </w:trPr>
        <w:tc>
          <w:tcPr>
            <w:tcW w:w="3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Impact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Impact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Impact</w:t>
            </w:r>
          </w:p>
        </w:tc>
      </w:tr>
      <w:tr>
        <w:trPr>
          <w:trHeight w:val="191"/>
        </w:trPr>
        <w:tc>
          <w:tcPr>
            <w:tcW w:w="3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57.4M</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center"/>
              <w:ind w:left="560"/>
              <w:spacing w:after="0"/>
              <w:rPr>
                <w:sz w:val="20"/>
                <w:szCs w:val="20"/>
                <w:color w:val="auto"/>
              </w:rPr>
            </w:pPr>
            <w:r>
              <w:rPr>
                <w:rFonts w:ascii="Times New Roman" w:cs="Times New Roman" w:eastAsia="Times New Roman" w:hAnsi="Times New Roman"/>
                <w:sz w:val="16"/>
                <w:szCs w:val="16"/>
                <w:color w:val="auto"/>
                <w:w w:val="99"/>
              </w:rPr>
              <w:t>2.2M</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47.3M</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w w:val="99"/>
              </w:rPr>
              <w:t>2.4M</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Non-GAAP Gross Margin</w:t>
            </w: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48.1%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left="600"/>
              <w:spacing w:after="0"/>
              <w:rPr>
                <w:sz w:val="20"/>
                <w:szCs w:val="20"/>
                <w:color w:val="auto"/>
              </w:rPr>
            </w:pPr>
            <w:r>
              <w:rPr>
                <w:rFonts w:ascii="Times New Roman" w:cs="Times New Roman" w:eastAsia="Times New Roman" w:hAnsi="Times New Roman"/>
                <w:sz w:val="16"/>
                <w:szCs w:val="16"/>
                <w:color w:val="auto"/>
                <w:w w:val="99"/>
              </w:rPr>
              <w:t>188bps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47.7%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left="620"/>
              <w:spacing w:after="0"/>
              <w:rPr>
                <w:sz w:val="20"/>
                <w:szCs w:val="20"/>
                <w:color w:val="auto"/>
              </w:rPr>
            </w:pPr>
            <w:r>
              <w:rPr>
                <w:rFonts w:ascii="Times New Roman" w:cs="Times New Roman" w:eastAsia="Times New Roman" w:hAnsi="Times New Roman"/>
                <w:sz w:val="16"/>
                <w:szCs w:val="16"/>
                <w:color w:val="auto"/>
                <w:w w:val="99"/>
              </w:rPr>
              <w:t>255bps</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Margin</w:t>
            </w:r>
          </w:p>
        </w:tc>
        <w:tc>
          <w:tcPr>
            <w:tcW w:w="2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11.3%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left="600"/>
              <w:spacing w:after="0"/>
              <w:rPr>
                <w:sz w:val="20"/>
                <w:szCs w:val="20"/>
                <w:color w:val="auto"/>
              </w:rPr>
            </w:pPr>
            <w:r>
              <w:rPr>
                <w:rFonts w:ascii="Times New Roman" w:cs="Times New Roman" w:eastAsia="Times New Roman" w:hAnsi="Times New Roman"/>
                <w:sz w:val="16"/>
                <w:szCs w:val="16"/>
                <w:color w:val="auto"/>
                <w:w w:val="99"/>
              </w:rPr>
              <w:t>322bps</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13.0%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left="620"/>
              <w:spacing w:after="0"/>
              <w:rPr>
                <w:sz w:val="20"/>
                <w:szCs w:val="20"/>
                <w:color w:val="auto"/>
              </w:rPr>
            </w:pPr>
            <w:r>
              <w:rPr>
                <w:rFonts w:ascii="Times New Roman" w:cs="Times New Roman" w:eastAsia="Times New Roman" w:hAnsi="Times New Roman"/>
                <w:sz w:val="16"/>
                <w:szCs w:val="16"/>
                <w:color w:val="auto"/>
                <w:w w:val="99"/>
              </w:rPr>
              <w:t>425bps</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Non-GAAP Net Margin</w:t>
            </w: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13.5%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left="600"/>
              <w:spacing w:after="0"/>
              <w:rPr>
                <w:sz w:val="20"/>
                <w:szCs w:val="20"/>
                <w:color w:val="auto"/>
              </w:rPr>
            </w:pPr>
            <w:r>
              <w:rPr>
                <w:rFonts w:ascii="Times New Roman" w:cs="Times New Roman" w:eastAsia="Times New Roman" w:hAnsi="Times New Roman"/>
                <w:sz w:val="16"/>
                <w:szCs w:val="16"/>
                <w:color w:val="auto"/>
                <w:w w:val="99"/>
              </w:rPr>
              <w:t>314bps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13.9%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left="620"/>
              <w:spacing w:after="0"/>
              <w:rPr>
                <w:sz w:val="20"/>
                <w:szCs w:val="20"/>
                <w:color w:val="auto"/>
              </w:rPr>
            </w:pPr>
            <w:r>
              <w:rPr>
                <w:rFonts w:ascii="Times New Roman" w:cs="Times New Roman" w:eastAsia="Times New Roman" w:hAnsi="Times New Roman"/>
                <w:sz w:val="16"/>
                <w:szCs w:val="16"/>
                <w:color w:val="auto"/>
                <w:w w:val="99"/>
              </w:rPr>
              <w:t>420bps</w:t>
            </w:r>
          </w:p>
        </w:tc>
      </w:tr>
      <w:tr>
        <w:trPr>
          <w:trHeight w:val="191"/>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Earnings Per Share</w:t>
            </w:r>
          </w:p>
        </w:tc>
        <w:tc>
          <w:tcPr>
            <w:tcW w:w="2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0.18</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0.16</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0.05</w:t>
            </w:r>
          </w:p>
        </w:tc>
      </w:tr>
    </w:tbl>
    <w:p>
      <w:pPr>
        <w:spacing w:after="0" w:line="17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“We are very pleased with our business acceleration as third quarter revenue of $57.4 million, net of $2.2 million attributed to the non-cash impact of warrants, reflects an increase of 21.4 percent year-over-year. Customers and partners are ramping production not only to meet the upcoming holiday season but also the unprecedented and sustained demand in e-commerce,” said Guy Avidan, Kornit Digital’s Chief Financial Officer. “Given third quarter outperformance and the strength of our pipeline we are raising our previously provided second-half 2020 revenue outlook from low double-digit to 25 percent year-over-year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2020 Results of Operations</w:t>
      </w:r>
    </w:p>
    <w:p>
      <w:pPr>
        <w:spacing w:after="0" w:line="200" w:lineRule="exact"/>
        <w:rPr>
          <w:sz w:val="20"/>
          <w:szCs w:val="20"/>
          <w:color w:val="auto"/>
        </w:rPr>
      </w:pPr>
    </w:p>
    <w:p>
      <w:pPr>
        <w:ind w:left="560" w:right="120" w:hanging="278"/>
        <w:spacing w:after="0" w:line="26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third quarter of 2020 was $57.4 million, net of $2.2 million attributed to the non-cash impact of warrants, compared to $47.3 million, net of $2.4 million attributed to the non-cash impact of warrants in the prior year period.</w:t>
      </w:r>
    </w:p>
    <w:p>
      <w:pPr>
        <w:ind w:left="560" w:right="60" w:hanging="278"/>
        <w:spacing w:after="0" w:line="249"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income for the third quarter of 2020 was $3.9 million, or $0.09 per diluted share, compared to net income of $4.7 million, or $0.11 per diluted share, for the third quarter of 2019.</w:t>
      </w:r>
    </w:p>
    <w:p>
      <w:pPr>
        <w:ind w:left="560" w:right="60" w:hanging="278"/>
        <w:spacing w:after="0" w:line="254"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for the third quarter of 2020 was $7.7 million, or $0.18 per diluted share, including $0.05 per diluted share attributed to the non-cash impact of warrants, compared to non-GAAP net income of $6.6 million, or $0.16 per diluted share, net of $0.05 per diluted share attributed to the non-cash impact of warrants, for the third quarter of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Fourth Quarter 2020 Guidance</w:t>
      </w:r>
    </w:p>
    <w:p>
      <w:pPr>
        <w:spacing w:after="0" w:line="20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Company will discuss its expectations for the fourth quarter of 2020 live during its earnings conference call, which will be available for replay via webcast at ir.kornit.com, as referenced below.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Third Quarter Earnings Conference Call Information</w:t>
      </w:r>
    </w:p>
    <w:p>
      <w:pPr>
        <w:spacing w:after="0" w:line="200"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6"/>
          <w:szCs w:val="16"/>
          <w:color w:val="auto"/>
        </w:rPr>
        <w:t>The Company will host a conference call today at 5:00 p.m. ET, or 12:00 a.m. Israel time, to discuss the results, followed by a question and answer session for the investment community. A live webcast of the call can be accessed at ir.kornit.com. To access the call, participants may dial toll-free at 1-877-407-0792 or +1-201-689-8263. The toll-free Israeli number is 1 809 406 247. The confirmation code is 13711406.</w:t>
      </w:r>
    </w:p>
    <w:p>
      <w:pPr>
        <w:spacing w:after="0" w:line="15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To listen to a telephonic replay of the conference call, dial toll-free 1-844-512-2921 or +1-412-317-6671 (international) and enter confirmation code 13711406. The telephonic replay will be available beginning at 8:00 p.m. ET on Tuesday, November 10, 2020, until 11:59 p.m. ET on Tuesday, November 24, 2020. The call will also be available for replay via the webcast link on Kornit’s Investor Relations website.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of the global COVID-19 pandemic, which, if extending for further significant periods of time, may continue to impact, in a material adverse manner, our operations, financial position and cash flows, and those of our customers and suppliers;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ink and consumables, the extent of our ability to leverage our global infrastructure build-out, the development of the market for digital textile printing, the availability of alternative ink, competition, sales concentration, changes to our relationships with suppliers, the extent of our success in marketing, and those additional factors referred to under “Risk Factors” in Item 3.D of the Company’s Annual Report on Form 20-F for the year ended December 31, 2019, filed with the U.S. Securities and Exchange Commission on March 23, 2020.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the one-time impact of COVID-19, and the tax effect of the foregoing.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Kornit</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Short-term bank deposit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Trade receivables, net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Inventory</w:t>
      </w:r>
    </w:p>
    <w:p>
      <w:pPr>
        <w:spacing w:after="0" w:line="7"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6"/>
          <w:szCs w:val="16"/>
          <w:color w:val="auto"/>
        </w:rPr>
        <w:t>Other accounts receivable and prepaid expenses Total current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ASSETS: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Deposits and prepaid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Severance pay fund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Deferred taxes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Property,plant and equipment, net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long-term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14"/>
        </w:trPr>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195"/>
        </w:trPr>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57"/>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283,680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40,743</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51,808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10,723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32,567</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49,685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40,510</w:t>
            </w:r>
          </w:p>
        </w:tc>
      </w:tr>
      <w:tr>
        <w:trPr>
          <w:trHeight w:val="203"/>
        </w:trPr>
        <w:tc>
          <w:tcPr>
            <w:tcW w:w="8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46,268</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37,477</w:t>
            </w:r>
          </w:p>
        </w:tc>
      </w:tr>
      <w:tr>
        <w:trPr>
          <w:trHeight w:val="212"/>
        </w:trPr>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8,495</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w:t>
            </w:r>
          </w:p>
        </w:tc>
      </w:tr>
      <w:tr>
        <w:trPr>
          <w:trHeight w:val="195"/>
        </w:trPr>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450,659</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253,282</w:t>
            </w:r>
          </w:p>
        </w:tc>
      </w:tr>
      <w:tr>
        <w:trPr>
          <w:trHeight w:val="557"/>
        </w:trPr>
        <w:tc>
          <w:tcPr>
            <w:tcW w:w="8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59,057</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95,393</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7,067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25,844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17,489</w:t>
            </w:r>
          </w:p>
        </w:tc>
      </w:tr>
      <w:tr>
        <w:trPr>
          <w:trHeight w:val="191"/>
        </w:trPr>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21,837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22,806</w:t>
            </w:r>
          </w:p>
        </w:tc>
      </w:tr>
      <w:tr>
        <w:trPr>
          <w:trHeight w:val="203"/>
        </w:trPr>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r>
      <w:tr>
        <w:trPr>
          <w:trHeight w:val="212"/>
        </w:trPr>
        <w:tc>
          <w:tcPr>
            <w:tcW w:w="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13,629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5,564</w:t>
            </w:r>
          </w:p>
        </w:tc>
      </w:tr>
      <w:tr>
        <w:trPr>
          <w:trHeight w:val="195"/>
        </w:trPr>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139,611</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152,184</w:t>
            </w:r>
          </w:p>
        </w:tc>
      </w:tr>
      <w:tr>
        <w:trPr>
          <w:trHeight w:val="422"/>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590,270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405,466</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14"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452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Trade payables</w:t>
            </w:r>
          </w:p>
        </w:tc>
        <w:tc>
          <w:tcPr>
            <w:tcW w:w="4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24,812</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23,449</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13,434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9,165</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10,373</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2,688</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3,893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3,902</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9,421</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6,373</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Accrued severance pay</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1,112</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18,271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19,231</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1,368</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507,586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338,303</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4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590,270</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405,466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type w:val="continuous"/>
        </w:sectPr>
      </w:pPr>
    </w:p>
    <w:bookmarkStart w:id="9" w:name="page10"/>
    <w:bookmarkEnd w:id="9"/>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103,536</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114,347</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49,290</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43,317</w:t>
            </w: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17,504</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16,869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3,976</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121,040</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131,216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57,392</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50,117</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23,031</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19,102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20,066</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5,972</w:t>
            </w:r>
          </w:p>
        </w:tc>
        <w:tc>
          <w:tcPr>
            <w:tcW w:w="0" w:type="dxa"/>
            <w:vAlign w:val="bottom"/>
          </w:tcPr>
          <w:p>
            <w:pPr>
              <w:spacing w:after="0"/>
              <w:rPr>
                <w:sz w:val="1"/>
                <w:szCs w:val="1"/>
                <w:color w:val="auto"/>
              </w:rPr>
            </w:pPr>
          </w:p>
        </w:tc>
      </w:tr>
      <w:tr>
        <w:trPr>
          <w:trHeight w:val="179"/>
        </w:trPr>
        <w:tc>
          <w:tcPr>
            <w:tcW w:w="598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70,183</w:t>
            </w:r>
          </w:p>
        </w:tc>
        <w:tc>
          <w:tcPr>
            <w:tcW w:w="24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73,174</w:t>
            </w:r>
          </w:p>
        </w:tc>
        <w:tc>
          <w:tcPr>
            <w:tcW w:w="1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30,361</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25,074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50,857</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58,042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27,031</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22,219</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22,213</w:t>
            </w: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5,610</w:t>
            </w: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25,375</w:t>
            </w: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7,849</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18,957</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4,688</w:t>
            </w: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66,545</w:t>
            </w:r>
          </w:p>
        </w:tc>
        <w:tc>
          <w:tcPr>
            <w:tcW w:w="24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53,752</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24,369</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18,147</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(15,688)</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4,072</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4,427</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191"/>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taxes on income</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(11,261)</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 (Tax benefit)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(577)</w:t>
            </w:r>
          </w:p>
        </w:tc>
        <w:tc>
          <w:tcPr>
            <w:tcW w:w="4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350</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(10,684</w:t>
            </w:r>
          </w:p>
        </w:tc>
        <w:tc>
          <w:tcPr>
            <w:tcW w:w="24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4,668</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earnings (losses)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(0.26</w:t>
            </w:r>
            <w:r>
              <w:rPr>
                <w:rFonts w:ascii="Times New Roman" w:cs="Times New Roman" w:eastAsia="Times New Roman" w:hAnsi="Times New Roman"/>
                <w:sz w:val="26"/>
                <w:szCs w:val="26"/>
                <w:color w:val="auto"/>
                <w:vertAlign w:val="superscript"/>
              </w:rPr>
              <w:t>)</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0.09</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earnings (losses) per share</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41,059,090</w:t>
            </w: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37,208,558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41,536,835</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40,471,832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earnings (losses) per share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(0.26</w:t>
            </w:r>
            <w:r>
              <w:rPr>
                <w:rFonts w:ascii="Times New Roman" w:cs="Times New Roman" w:eastAsia="Times New Roman" w:hAnsi="Times New Roman"/>
                <w:sz w:val="26"/>
                <w:szCs w:val="26"/>
                <w:color w:val="auto"/>
                <w:vertAlign w:val="superscript"/>
              </w:rPr>
              <w:t>)</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0.09</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earnings (losses) per share</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41,059,090</w:t>
            </w:r>
          </w:p>
        </w:tc>
        <w:tc>
          <w:tcPr>
            <w:tcW w:w="4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38,584,788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42,692,989</w:t>
            </w:r>
          </w:p>
        </w:tc>
        <w:tc>
          <w:tcPr>
            <w:tcW w:w="3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7"/>
              </w:rPr>
              <w:t>42,159,655</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60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59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38" w:right="319" w:bottom="1440" w:gutter="0" w:footer="0" w:header="0"/>
        </w:sectPr>
      </w:pPr>
    </w:p>
    <w:bookmarkStart w:id="10" w:name="page11"/>
    <w:bookmarkEnd w:id="10"/>
    <w:p>
      <w:pPr>
        <w:spacing w:after="0" w:line="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RECONCILATION OF GAAP TO NON-GAAP CONSOLIDATED STATEMENTS OF OPERATIONS</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(U.S. dollars in thousands, except share and per share data)</w:t>
      </w:r>
    </w:p>
    <w:p>
      <w:pPr>
        <w:sectPr>
          <w:pgSz w:w="11900" w:h="16900" w:orient="portrait"/>
          <w:cols w:equalWidth="0" w:num="1">
            <w:col w:w="11260"/>
          </w:cols>
          <w:pgMar w:left="320" w:top="814" w:right="319" w:bottom="0" w:gutter="0" w:footer="0" w:header="0"/>
        </w:sectPr>
      </w:pPr>
    </w:p>
    <w:p>
      <w:pPr>
        <w:spacing w:after="0" w:line="18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2020</w:t>
      </w:r>
      <w:r>
        <w:rPr>
          <w:sz w:val="20"/>
          <w:szCs w:val="20"/>
          <w:color w:val="auto"/>
        </w:rPr>
        <w:tab/>
      </w:r>
      <w:r>
        <w:rPr>
          <w:rFonts w:ascii="Times New Roman" w:cs="Times New Roman" w:eastAsia="Times New Roman" w:hAnsi="Times New Roman"/>
          <w:sz w:val="15"/>
          <w:szCs w:val="15"/>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16510</wp:posOffset>
            </wp:positionV>
            <wp:extent cx="154813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8380" w:space="720"/>
            <w:col w:w="2160"/>
          </w:cols>
          <w:pgMar w:left="320" w:top="814" w:right="319" w:bottom="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cost of 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70,183</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73,174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30,361</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25,074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product (3)</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Excess cost of product on acquired inventory (a)</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(2,790)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COVID-19 one time impact (4)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(520)</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cost of revenues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68,248</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69,488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29,773</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24,723</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gross profit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50,857</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58,042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27,031</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22,219</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adjustments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1,935</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52,792</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61,728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27,619</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22,570</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expenses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66,545</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53,752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24,369</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18,147</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(5,970)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(3,791)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(2,191)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(1,515)</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(622)</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COVID-19 one time impact (4)</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59,374</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49,372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21,159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Financial income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4,427</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Financial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4,455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Taxes on income (Tax benefit)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(577)</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350</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Tax effect on to the above non-GAAP adjustments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526</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 (Tax benefit) (b)</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610</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Taxes on income (Tax benefit)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379</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4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471</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net income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(10,684)</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5,411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220" w:type="dxa"/>
            <w:vAlign w:val="bottom"/>
          </w:tcPr>
          <w:p>
            <w:pPr>
              <w:spacing w:after="0"/>
              <w:rPr>
                <w:sz w:val="16"/>
                <w:szCs w:val="16"/>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4,668</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7,310</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1,841</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607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COVID-19 one time impact (4)</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451</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Excess cost of product on acquired inventory (a)</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on to the above non-GAAP adjustments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taxes on income (Tax benefit) (b)</w:t>
            </w:r>
          </w:p>
        </w:tc>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(610)</w:t>
            </w: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405</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24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12,517</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6,591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earnings (losses)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(0.26</w:t>
            </w:r>
            <w:r>
              <w:rPr>
                <w:rFonts w:ascii="Times New Roman" w:cs="Times New Roman" w:eastAsia="Times New Roman" w:hAnsi="Times New Roman"/>
                <w:sz w:val="26"/>
                <w:szCs w:val="26"/>
                <w:color w:val="auto"/>
                <w:vertAlign w:val="superscript"/>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0.14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earnings (losses)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(0.06</w:t>
            </w:r>
            <w:r>
              <w:rPr>
                <w:rFonts w:ascii="Times New Roman" w:cs="Times New Roman" w:eastAsia="Times New Roman" w:hAnsi="Times New Roman"/>
                <w:sz w:val="26"/>
                <w:szCs w:val="26"/>
                <w:color w:val="auto"/>
                <w:vertAlign w:val="superscript"/>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0.32</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GAAP diluted net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41,059,090</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38,584,788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42,692,989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42,159,655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Non-GAAP diluted net earnings (losses)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41,059,090</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38,753,127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42,972,182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42,247,859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772</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1,243</w:t>
            </w: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463</w:t>
            </w:r>
          </w:p>
        </w:tc>
        <w:tc>
          <w:tcPr>
            <w:tcW w:w="24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2,150</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2,635</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(2) Acquisition related expenses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(3) Intangible assets amortization</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315</w:t>
            </w: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315</w:t>
            </w: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20" w:top="814" w:right="319" w:bottom="0" w:gutter="0" w:footer="0" w:header="0"/>
          <w:type w:val="continuous"/>
        </w:sectPr>
      </w:pPr>
    </w:p>
    <w:bookmarkStart w:id="11" w:name="page12"/>
    <w:bookmarkEnd w:id="1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w:t>
            </w:r>
          </w:p>
        </w:tc>
      </w:tr>
      <w:tr>
        <w:trPr>
          <w:trHeight w:val="179"/>
        </w:trPr>
        <w:tc>
          <w:tcPr>
            <w:tcW w:w="598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697</w:t>
            </w:r>
          </w:p>
        </w:tc>
        <w:tc>
          <w:tcPr>
            <w:tcW w:w="24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607</w:t>
            </w:r>
          </w:p>
        </w:tc>
        <w:tc>
          <w:tcPr>
            <w:tcW w:w="22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396</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249</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 COVID-19 one time impact</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527</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 revenues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(57)</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20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r>
      <w:tr>
        <w:trPr>
          <w:trHeight w:val="195"/>
        </w:trPr>
        <w:tc>
          <w:tcPr>
            <w:tcW w:w="59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99" w:lineRule="exact"/>
        <w:rPr>
          <w:sz w:val="20"/>
          <w:szCs w:val="20"/>
          <w:color w:val="auto"/>
        </w:rPr>
      </w:pPr>
    </w:p>
    <w:p>
      <w:pPr>
        <w:ind w:left="284" w:right="20" w:hanging="284"/>
        <w:spacing w:after="0" w:line="260" w:lineRule="auto"/>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ind w:left="284" w:hanging="284"/>
        <w:spacing w:after="0"/>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 cash impact related to the recognition of deferred taxes with respect to carryforward losses in Israel.</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40" w:right="3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(10,684)</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5,411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4,668</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3,411</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1,137</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3,564</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2,430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7,310</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1,841</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Amortization of discount on marketable securities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248</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 on sale of marketable securities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(503)</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(401)</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in trade receivables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(7,933)</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(8,549)</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(11,181)</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(increase) in other receivables and prepaid expenses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(1,615)</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405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(771)</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Decrease (increase) in inventory</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(9,529)</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(1,107)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(4,324)</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(increase) in operating leases right-of-use assets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(62)</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Decrease (increase) in deferred taxes, net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(823)</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561</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 in other long term assets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120</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(decrease) in trade payables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571</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10,462</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(3,335)</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operating lease liabilities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780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in employees and payroll accruals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4,318</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deferred revenues and advances from customers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7,663</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in other payables and accrued expenses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2,120</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accrued severance pay, net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81</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Increase (decrease) in other long term liabilities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from sale and disposal of property and Equipment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5"/>
        </w:trPr>
        <w:tc>
          <w:tcPr>
            <w:tcW w:w="542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auto"/>
              </w:rPr>
              <w:t>Foreign currency translation income (loss) on inter company balances with foreign</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subsidiaries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(294)</w:t>
            </w:r>
          </w:p>
        </w:tc>
        <w:tc>
          <w:tcPr>
            <w:tcW w:w="4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(477)</w:t>
            </w:r>
          </w:p>
        </w:tc>
        <w:tc>
          <w:tcPr>
            <w:tcW w:w="3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(1,934)</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20,398</w:t>
            </w: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4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(10,758)</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(2,247)</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intangible assets and capitalization of software development costs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(121)</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in connection with acquisition</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(15,059)</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(15,059)</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Decrease (increase) in bank deposits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43,192</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27,996</w:t>
            </w:r>
          </w:p>
        </w:tc>
        <w:tc>
          <w:tcPr>
            <w:tcW w:w="3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marketable securities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58,532</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31,445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37,730</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Proceeds from maturity of marketable securities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20,006</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7"/>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(18,542)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(44,599)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77,254</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(110,230)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50,981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(12,247)</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4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6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secondary offering, net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162,720</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162,720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Exercise of employee stock options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4,942</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3,131</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167,580</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164,840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2,462</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Foreign currency translation adjustments on cash and cash equivalents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37</w:t>
            </w: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91"/>
        </w:trPr>
        <w:tc>
          <w:tcPr>
            <w:tcW w:w="54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5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242,937</w:t>
            </w: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236,232</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40,743</w:t>
            </w:r>
          </w:p>
        </w:tc>
        <w:tc>
          <w:tcPr>
            <w:tcW w:w="4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74,132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47,448</w:t>
            </w:r>
          </w:p>
        </w:tc>
        <w:tc>
          <w:tcPr>
            <w:tcW w:w="3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104,550</w:t>
            </w:r>
          </w:p>
        </w:tc>
        <w:tc>
          <w:tcPr>
            <w:tcW w:w="0" w:type="dxa"/>
            <w:vAlign w:val="bottom"/>
          </w:tcPr>
          <w:p>
            <w:pPr>
              <w:spacing w:after="0"/>
              <w:rPr>
                <w:sz w:val="1"/>
                <w:szCs w:val="1"/>
                <w:color w:val="auto"/>
              </w:rPr>
            </w:pPr>
          </w:p>
        </w:tc>
      </w:tr>
      <w:tr>
        <w:trPr>
          <w:trHeight w:val="24"/>
        </w:trPr>
        <w:tc>
          <w:tcPr>
            <w:tcW w:w="54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420" w:type="dxa"/>
            <w:vAlign w:val="bottom"/>
            <w:gridSpan w:val="3"/>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283,680</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94,670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283,680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94,670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382</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382</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823</w:t>
            </w:r>
          </w:p>
        </w:tc>
        <w:tc>
          <w:tcPr>
            <w:tcW w:w="4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312</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transferred to be used as inventory</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Issuance expenses on credit</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739</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739</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costs on credit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204</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204</w:t>
            </w: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2,769</w:t>
            </w: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849</w:t>
            </w:r>
          </w:p>
        </w:tc>
        <w:tc>
          <w:tcPr>
            <w:tcW w:w="3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531</w:t>
            </w:r>
          </w:p>
        </w:tc>
        <w:tc>
          <w:tcPr>
            <w:tcW w:w="0" w:type="dxa"/>
            <w:vAlign w:val="bottom"/>
          </w:tcPr>
          <w:p>
            <w:pPr>
              <w:spacing w:after="0"/>
              <w:rPr>
                <w:sz w:val="1"/>
                <w:szCs w:val="1"/>
                <w:color w:val="auto"/>
              </w:rPr>
            </w:pPr>
          </w:p>
        </w:tc>
      </w:tr>
      <w:tr>
        <w:trPr>
          <w:trHeight w:val="191"/>
        </w:trPr>
        <w:tc>
          <w:tcPr>
            <w:tcW w:w="5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Capitalization of software development costs</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577"/>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205" w:gutter="0" w:footer="0" w:header="0"/>
        </w:sectPr>
      </w:pPr>
    </w:p>
    <w:bookmarkStart w:id="13" w:name="page14"/>
    <w:bookmarkEnd w:id="13"/>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4469765</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917"/>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2020-11-10T15:04:39Z</dcterms:created>
  <dcterms:modified xsi:type="dcterms:W3CDTF">2020-11-10T15:04:39Z</dcterms:modified>
</cp:coreProperties>
</file>