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For the month of </w:t>
      </w:r>
      <w:r>
        <w:rPr>
          <w:rFonts w:ascii="Times New Roman" w:cs="Times New Roman" w:eastAsia="Times New Roman" w:hAnsi="Times New Roman"/>
          <w:sz w:val="16"/>
          <w:szCs w:val="16"/>
          <w:b w:val="1"/>
          <w:bCs w:val="1"/>
          <w:color w:val="auto"/>
        </w:rPr>
        <w:t>February 2025</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001-36903</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12 Ha’Amal Street</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74" w:lineRule="exact"/>
        <w:rPr>
          <w:sz w:val="24"/>
          <w:szCs w:val="24"/>
          <w:color w:val="auto"/>
        </w:rPr>
      </w:pPr>
    </w:p>
    <w:p>
      <w:pPr>
        <w:ind w:left="4660"/>
        <w:spacing w:after="0" w:line="184" w:lineRule="exact"/>
        <w:tabs>
          <w:tab w:leader="none" w:pos="570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182245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6"/>
          <w:szCs w:val="16"/>
          <w:b w:val="1"/>
          <w:bCs w:val="1"/>
          <w:color w:val="auto"/>
        </w:rPr>
        <w:t>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and Financial Condition- Quarter and Year Ended December 31, 2024</w:t>
      </w:r>
    </w:p>
    <w:p>
      <w:pPr>
        <w:spacing w:after="0" w:line="200"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On February 12, 2025, Kornit Digital Ltd. (“</w:t>
      </w:r>
      <w:r>
        <w:rPr>
          <w:rFonts w:ascii="Times New Roman" w:cs="Times New Roman" w:eastAsia="Times New Roman" w:hAnsi="Times New Roman"/>
          <w:sz w:val="16"/>
          <w:szCs w:val="16"/>
          <w:b w:val="1"/>
          <w:bCs w:val="1"/>
          <w:color w:val="auto"/>
        </w:rPr>
        <w:t>Kornit</w:t>
      </w:r>
      <w:r>
        <w:rPr>
          <w:rFonts w:ascii="Times New Roman" w:cs="Times New Roman" w:eastAsia="Times New Roman" w:hAnsi="Times New Roman"/>
          <w:sz w:val="16"/>
          <w:szCs w:val="16"/>
          <w:color w:val="auto"/>
        </w:rPr>
        <w:t>”) issued a press release entitled “Kornit Digital Reports Fourth Quarter and Full Year 2024 Results,” in which Kornit reported its results of operations for the fourth quarter and year ended December 31, 2024. A copy of that press release is furnished as Exhibit 99.1 hereto.</w:t>
      </w:r>
    </w:p>
    <w:p>
      <w:pPr>
        <w:spacing w:after="0" w:line="14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Kornit is holding a conference call on February 12, 2025 to discuss its results for the quarter and year ended December 31, 2024, and, in connection with that call, will make available to its investors a slide presentation to provide additional information regarding its business and its financial results. That slide presentation is attached as Exhibit 99.2 to this Report of Foreign Private Issuer on Form 6-K (this “</w:t>
      </w:r>
      <w:r>
        <w:rPr>
          <w:rFonts w:ascii="Times New Roman" w:cs="Times New Roman" w:eastAsia="Times New Roman" w:hAnsi="Times New Roman"/>
          <w:sz w:val="16"/>
          <w:szCs w:val="16"/>
          <w:b w:val="1"/>
          <w:bCs w:val="1"/>
          <w:color w:val="auto"/>
        </w:rPr>
        <w:t>Form 6-K</w:t>
      </w:r>
      <w:r>
        <w:rPr>
          <w:rFonts w:ascii="Times New Roman" w:cs="Times New Roman" w:eastAsia="Times New Roman" w:hAnsi="Times New Roman"/>
          <w:sz w:val="16"/>
          <w:szCs w:val="16"/>
          <w:color w:val="auto"/>
        </w:rPr>
        <w:t>”) and is incorporated herein by reference.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Exhibits</w:t>
            </w:r>
          </w:p>
        </w:tc>
        <w:tc>
          <w:tcPr>
            <w:tcW w:w="7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240" w:type="dxa"/>
            <w:vAlign w:val="bottom"/>
            <w:gridSpan w:val="3"/>
          </w:tcPr>
          <w:p>
            <w:pPr>
              <w:ind w:left="47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
        </w:trPr>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71"/>
        </w:trPr>
        <w:tc>
          <w:tcPr>
            <w:tcW w:w="9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4"/>
                <w:szCs w:val="14"/>
                <w:color w:val="auto"/>
              </w:rPr>
            </w:pPr>
          </w:p>
        </w:tc>
        <w:tc>
          <w:tcPr>
            <w:tcW w:w="102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February 12, 2025, titled “Kornit Digital Reports Fourth Quarter and Full Year 2024 Results”</w:t>
            </w:r>
          </w:p>
        </w:tc>
      </w:tr>
      <w:tr>
        <w:trPr>
          <w:trHeight w:val="191"/>
        </w:trPr>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40" w:type="dxa"/>
            <w:vAlign w:val="bottom"/>
            <w:tcBorders>
              <w:top w:val="single" w:sz="8" w:color="0000EE"/>
            </w:tcBorders>
          </w:tcPr>
          <w:p>
            <w:pPr>
              <w:spacing w:after="0"/>
              <w:rPr>
                <w:sz w:val="16"/>
                <w:szCs w:val="16"/>
                <w:color w:val="auto"/>
              </w:rPr>
            </w:pPr>
          </w:p>
        </w:tc>
        <w:tc>
          <w:tcPr>
            <w:tcW w:w="29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155"/>
        </w:trPr>
        <w:tc>
          <w:tcPr>
            <w:tcW w:w="9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shd w:val="clear" w:color="auto" w:fill="CCEEFF"/>
          </w:tcPr>
          <w:p>
            <w:pPr>
              <w:spacing w:after="0"/>
              <w:rPr>
                <w:sz w:val="13"/>
                <w:szCs w:val="13"/>
                <w:color w:val="auto"/>
              </w:rPr>
            </w:pPr>
          </w:p>
        </w:tc>
        <w:tc>
          <w:tcPr>
            <w:tcW w:w="102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Slide presentation for conference call of Kornit held on February 12, 2025 discussing financial results for the fourth quarter and year ended December 31, 2024</w:t>
            </w:r>
          </w:p>
        </w:tc>
      </w:tr>
      <w:tr>
        <w:trPr>
          <w:trHeight w:val="36"/>
        </w:trPr>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240" w:type="dxa"/>
            <w:vAlign w:val="bottom"/>
            <w:shd w:val="clear" w:color="auto" w:fill="0000EE"/>
          </w:tcPr>
          <w:p>
            <w:pPr>
              <w:spacing w:after="0"/>
              <w:rPr>
                <w:sz w:val="3"/>
                <w:szCs w:val="3"/>
                <w:color w:val="auto"/>
              </w:rPr>
            </w:pPr>
          </w:p>
        </w:tc>
        <w:tc>
          <w:tcPr>
            <w:tcW w:w="29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Incorporation by Reference</w:t>
      </w:r>
    </w:p>
    <w:p>
      <w:pPr>
        <w:spacing w:after="0" w:line="202" w:lineRule="exact"/>
        <w:rPr>
          <w:sz w:val="20"/>
          <w:szCs w:val="20"/>
          <w:color w:val="auto"/>
        </w:rPr>
      </w:pPr>
    </w:p>
    <w:p>
      <w:pPr>
        <w:jc w:val="both"/>
        <w:ind w:right="20" w:firstLine="574"/>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S-8 (File No.’s </w:t>
      </w:r>
      <w:hyperlink r:id="rId13">
        <w:r>
          <w:rPr>
            <w:rFonts w:ascii="Times New Roman" w:cs="Times New Roman" w:eastAsia="Times New Roman" w:hAnsi="Times New Roman"/>
            <w:sz w:val="16"/>
            <w:szCs w:val="16"/>
            <w:u w:val="single" w:color="auto"/>
            <w:color w:val="0000EE"/>
          </w:rPr>
          <w:t>333-203970</w:t>
        </w:r>
      </w:hyperlink>
      <w:r>
        <w:rPr>
          <w:rFonts w:ascii="Times New Roman" w:cs="Times New Roman" w:eastAsia="Times New Roman" w:hAnsi="Times New Roman"/>
          <w:sz w:val="16"/>
          <w:szCs w:val="16"/>
          <w:color w:val="auto"/>
        </w:rPr>
        <w:t xml:space="preserve">, </w:t>
      </w:r>
      <w:hyperlink r:id="rId14">
        <w:r>
          <w:rPr>
            <w:rFonts w:ascii="Times New Roman" w:cs="Times New Roman" w:eastAsia="Times New Roman" w:hAnsi="Times New Roman"/>
            <w:sz w:val="16"/>
            <w:szCs w:val="16"/>
            <w:u w:val="single" w:color="auto"/>
            <w:color w:val="0000EE"/>
          </w:rPr>
          <w:t>333-214015</w:t>
        </w:r>
      </w:hyperlink>
      <w:r>
        <w:rPr>
          <w:rFonts w:ascii="Times New Roman" w:cs="Times New Roman" w:eastAsia="Times New Roman" w:hAnsi="Times New Roman"/>
          <w:sz w:val="16"/>
          <w:szCs w:val="16"/>
          <w:color w:val="auto"/>
        </w:rPr>
        <w:t xml:space="preserve">, </w:t>
      </w:r>
      <w:hyperlink r:id="rId15">
        <w:r>
          <w:rPr>
            <w:rFonts w:ascii="Times New Roman" w:cs="Times New Roman" w:eastAsia="Times New Roman" w:hAnsi="Times New Roman"/>
            <w:sz w:val="16"/>
            <w:szCs w:val="16"/>
            <w:u w:val="single" w:color="auto"/>
            <w:color w:val="0000EE"/>
          </w:rPr>
          <w:t>333-217039</w:t>
        </w:r>
      </w:hyperlink>
      <w:r>
        <w:rPr>
          <w:rFonts w:ascii="Times New Roman" w:cs="Times New Roman" w:eastAsia="Times New Roman" w:hAnsi="Times New Roman"/>
          <w:sz w:val="16"/>
          <w:szCs w:val="16"/>
          <w:color w:val="auto"/>
        </w:rPr>
        <w:t xml:space="preserve">, </w:t>
      </w:r>
      <w:hyperlink r:id="rId16">
        <w:r>
          <w:rPr>
            <w:rFonts w:ascii="Times New Roman" w:cs="Times New Roman" w:eastAsia="Times New Roman" w:hAnsi="Times New Roman"/>
            <w:sz w:val="16"/>
            <w:szCs w:val="16"/>
            <w:u w:val="single" w:color="auto"/>
            <w:color w:val="0000EE"/>
          </w:rPr>
          <w:t>333-223794</w:t>
        </w:r>
      </w:hyperlink>
      <w:r>
        <w:rPr>
          <w:rFonts w:ascii="Times New Roman" w:cs="Times New Roman" w:eastAsia="Times New Roman" w:hAnsi="Times New Roman"/>
          <w:sz w:val="16"/>
          <w:szCs w:val="16"/>
          <w:color w:val="auto"/>
        </w:rPr>
        <w:t xml:space="preserve">, </w:t>
      </w:r>
      <w:hyperlink r:id="rId17">
        <w:r>
          <w:rPr>
            <w:rFonts w:ascii="Times New Roman" w:cs="Times New Roman" w:eastAsia="Times New Roman" w:hAnsi="Times New Roman"/>
            <w:sz w:val="16"/>
            <w:szCs w:val="16"/>
            <w:u w:val="single" w:color="auto"/>
            <w:color w:val="0000EE"/>
          </w:rPr>
          <w:t>333-230567</w:t>
        </w:r>
      </w:hyperlink>
      <w:r>
        <w:rPr>
          <w:rFonts w:ascii="Times New Roman" w:cs="Times New Roman" w:eastAsia="Times New Roman" w:hAnsi="Times New Roman"/>
          <w:sz w:val="16"/>
          <w:szCs w:val="16"/>
          <w:color w:val="auto"/>
        </w:rPr>
        <w:t xml:space="preserve">, </w:t>
      </w:r>
      <w:hyperlink r:id="rId18">
        <w:r>
          <w:rPr>
            <w:rFonts w:ascii="Times New Roman" w:cs="Times New Roman" w:eastAsia="Times New Roman" w:hAnsi="Times New Roman"/>
            <w:sz w:val="16"/>
            <w:szCs w:val="16"/>
            <w:u w:val="single" w:color="auto"/>
            <w:color w:val="0000EE"/>
          </w:rPr>
          <w:t>333-237346</w:t>
        </w:r>
      </w:hyperlink>
      <w:r>
        <w:rPr>
          <w:rFonts w:ascii="Times New Roman" w:cs="Times New Roman" w:eastAsia="Times New Roman" w:hAnsi="Times New Roman"/>
          <w:sz w:val="16"/>
          <w:szCs w:val="16"/>
          <w:color w:val="auto"/>
        </w:rPr>
        <w:t>,</w:t>
      </w:r>
      <w:hyperlink r:id="rId19">
        <w:r>
          <w:rPr>
            <w:rFonts w:ascii="Times New Roman" w:cs="Times New Roman" w:eastAsia="Times New Roman" w:hAnsi="Times New Roman"/>
            <w:sz w:val="16"/>
            <w:szCs w:val="16"/>
            <w:u w:val="single" w:color="auto"/>
            <w:color w:val="0000EE"/>
          </w:rPr>
          <w:t>333-254749</w:t>
        </w:r>
      </w:hyperlink>
      <w:r>
        <w:rPr>
          <w:rFonts w:ascii="Times New Roman" w:cs="Times New Roman" w:eastAsia="Times New Roman" w:hAnsi="Times New Roman"/>
          <w:sz w:val="16"/>
          <w:szCs w:val="16"/>
          <w:color w:val="auto"/>
        </w:rPr>
        <w:t xml:space="preserve">, and </w:t>
      </w:r>
      <w:hyperlink r:id="rId20">
        <w:r>
          <w:rPr>
            <w:rFonts w:ascii="Times New Roman" w:cs="Times New Roman" w:eastAsia="Times New Roman" w:hAnsi="Times New Roman"/>
            <w:sz w:val="16"/>
            <w:szCs w:val="16"/>
            <w:u w:val="single" w:color="auto"/>
            <w:color w:val="0000EE"/>
          </w:rPr>
          <w:t>333-263975</w:t>
        </w:r>
      </w:hyperlink>
      <w:r>
        <w:rPr>
          <w:rFonts w:ascii="Times New Roman" w:cs="Times New Roman" w:eastAsia="Times New Roman" w:hAnsi="Times New Roman"/>
          <w:sz w:val="16"/>
          <w:szCs w:val="16"/>
          <w:u w:val="single" w:color="auto"/>
          <w:color w:val="auto"/>
        </w:rPr>
        <w:t>).</w:t>
      </w:r>
    </w:p>
    <w:p>
      <w:pPr>
        <w:spacing w:after="0" w:line="34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7700" w:type="dxa"/>
            <w:vAlign w:val="bottom"/>
            <w:gridSpan w:val="2"/>
          </w:tcPr>
          <w:p>
            <w:pPr>
              <w:ind w:left="3200"/>
              <w:spacing w:after="0"/>
              <w:rPr>
                <w:sz w:val="20"/>
                <w:szCs w:val="20"/>
                <w:color w:val="auto"/>
              </w:rPr>
            </w:pPr>
            <w:r>
              <w:rPr>
                <w:rFonts w:ascii="Times New Roman" w:cs="Times New Roman" w:eastAsia="Times New Roman" w:hAnsi="Times New Roman"/>
                <w:sz w:val="16"/>
                <w:szCs w:val="16"/>
                <w:color w:val="auto"/>
              </w:rPr>
              <w:t>KORNIT DIGITAL LTD.</w:t>
            </w:r>
          </w:p>
        </w:tc>
      </w:tr>
      <w:tr>
        <w:trPr>
          <w:trHeight w:val="38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12, 2025</w:t>
            </w:r>
          </w:p>
        </w:tc>
        <w:tc>
          <w:tcPr>
            <w:tcW w:w="376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Lauri Hanover</w:t>
            </w:r>
          </w:p>
        </w:tc>
      </w:tr>
      <w:tr>
        <w:trPr>
          <w:trHeight w:val="175"/>
        </w:trPr>
        <w:tc>
          <w:tcPr>
            <w:tcW w:w="3560" w:type="dxa"/>
            <w:vAlign w:val="bottom"/>
          </w:tcPr>
          <w:p>
            <w:pPr>
              <w:spacing w:after="0"/>
              <w:rPr>
                <w:sz w:val="15"/>
                <w:szCs w:val="15"/>
                <w:color w:val="auto"/>
              </w:rPr>
            </w:pPr>
          </w:p>
        </w:tc>
        <w:tc>
          <w:tcPr>
            <w:tcW w:w="3760" w:type="dxa"/>
            <w:vAlign w:val="bottom"/>
          </w:tcPr>
          <w:p>
            <w:pPr>
              <w:ind w:left="320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Lauri Hanover</w:t>
            </w:r>
          </w:p>
        </w:tc>
      </w:tr>
      <w:tr>
        <w:trPr>
          <w:trHeight w:val="208"/>
        </w:trPr>
        <w:tc>
          <w:tcPr>
            <w:tcW w:w="3560" w:type="dxa"/>
            <w:vAlign w:val="bottom"/>
          </w:tcPr>
          <w:p>
            <w:pPr>
              <w:spacing w:after="0"/>
              <w:rPr>
                <w:sz w:val="18"/>
                <w:szCs w:val="18"/>
                <w:color w:val="auto"/>
              </w:rPr>
            </w:pPr>
          </w:p>
        </w:tc>
        <w:tc>
          <w:tcPr>
            <w:tcW w:w="376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577"/>
        </w:trPr>
        <w:tc>
          <w:tcPr>
            <w:tcW w:w="35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6"/>
                <w:szCs w:val="16"/>
                <w:color w:val="auto"/>
              </w:rPr>
              <w:t>2</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Jared Maymon</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Global Head of Investor Relations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Jared.Maymon@Kornit.com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925830" cy="440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25830" cy="44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Kornit Digital Reports Fourth Quarter and Full Year 2024 Results</w:t>
      </w:r>
    </w:p>
    <w:p>
      <w:pPr>
        <w:spacing w:after="0" w:line="200" w:lineRule="exact"/>
        <w:rPr>
          <w:sz w:val="20"/>
          <w:szCs w:val="20"/>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Fourth quarter revenues of $60.7 million, in line with previous guidance</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Fourth quarter GAAP net income of $2.2 million; non-GAAP net income of $8.7 million</w:t>
      </w:r>
    </w:p>
    <w:p>
      <w:pPr>
        <w:spacing w:after="0" w:line="19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delivered positive EBITDA and strong cash flow from operating activities in both Q4 and for the full year 2024</w:t>
      </w:r>
    </w:p>
    <w:p>
      <w:pPr>
        <w:spacing w:after="0" w:line="19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Breakthrough innovations and continued momentum across our markets set the stage for profitable growth in 2025</w:t>
      </w:r>
    </w:p>
    <w:p>
      <w:pPr>
        <w:spacing w:after="0" w:line="196"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Rosh-Ha’Ayin, Israel – February 12, 2024 </w:t>
      </w:r>
      <w:r>
        <w:rPr>
          <w:rFonts w:ascii="Times New Roman" w:cs="Times New Roman" w:eastAsia="Times New Roman" w:hAnsi="Times New Roman"/>
          <w:sz w:val="16"/>
          <w:szCs w:val="16"/>
          <w:color w:val="auto"/>
        </w:rPr>
        <w:t>– Kornit Digital Ltd. (“Kornit” or the “Company”) (Nasdaq: KRNT), a global leader in sustainable, on-demand, digital fashion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textile production technologies, today reported its results for the fourth quarter and full year ended December 31, 2024.</w:t>
      </w:r>
    </w:p>
    <w:p>
      <w:pPr>
        <w:spacing w:after="0" w:line="142"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“Our fourth quarter performance was fueled by a successful peak season and growing impressions across our key customers,” said Ronen Samuel, Kornit’s Chief Executive Officer. “One of the most exciting highlights of Q4 was the Apollo platform’s performance. Having delivered 15 Apollo systems throughout the year, with most becoming fully operational during this critical period, customer feedback has been excellent, reinforcing Apollo’s role as a key enabler of mass-scale digital production.”</w:t>
      </w:r>
    </w:p>
    <w:p>
      <w:pPr>
        <w:spacing w:after="0" w:line="155"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Mr. Samuel continued that “at the beginning of 2024, we set clear objectives: return to positive EBITDA, generate meaningful cash flow, and establish a scalable, disciplined model that fuels long-term expansion. Thanks to the dedicated efforts of our teams, I am pleased to report that we not only delivered on these goals but also introduced game-changing innovations, strengthened our market position, and expanded into new strategic adjacencies.”.</w:t>
      </w:r>
    </w:p>
    <w:p>
      <w:pPr>
        <w:spacing w:after="0" w:line="155"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Mr. Samuel concluded, “As we stated in our last call, 2025 is about execution—translating the strong foundation built in 2024 into scalable, profitable growth, strengthening our market leadership and driving the industry forward with our innovative solutions and business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344805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2" w:right="31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6"/>
          <w:szCs w:val="16"/>
          <w:b w:val="1"/>
          <w:bCs w:val="1"/>
          <w:color w:val="auto"/>
        </w:rPr>
        <w:t>Fourth Quarter 2024 Results of Operations</w:t>
      </w:r>
    </w:p>
    <w:p>
      <w:pPr>
        <w:spacing w:after="0" w:line="200" w:lineRule="exact"/>
        <w:rPr>
          <w:sz w:val="20"/>
          <w:szCs w:val="20"/>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fourth quarter of 2024 was $60.7 million compared with $56.6 million in the prior year period, due primarily to growth in products revenue.</w:t>
      </w:r>
    </w:p>
    <w:p>
      <w:pPr>
        <w:spacing w:after="0" w:line="198"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margin for the fourth quarter of 2024 was 51.3% compared with 25.8% in the prior year period. On a non-GAAP basis, gross profit margin was 55.1% compared with 48.6% in the prior year period.</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operating expenses for the fourth quarter of 2024 were $32.3 million compared with $42.4 million in the prior year period. On a non-GAAP basis, operating expenses decreased by 6.9% to $28.0 million compared with the prior year period.</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income for the fourth quarter of 2024 was $2.2 million, or $0.05 basic and diluted per share, compared with net loss of $22.9 million, or ($0.48) basic and diluted per share, for the fourth quarter of 2023.</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for the fourth quarter of 2024 was $8.7 million, or $0.18 basic and diluted per share, compared with non-GAAP net income of $3.8 million, or $0.08 per basic share, for the fourth quarter of 2023.</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for the fourth quarter of 2024 was $8.4 million compared with adjusted EBITDA of $0.2 million for the fourth quarter of 2023. Adjusted EBITDA margin for the fourth quarter of 2024 was 13.8% compared with 0.3% for the fourth quarter of 2023.</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Full Year 2024 Results of Operations</w:t>
      </w:r>
    </w:p>
    <w:p>
      <w:pPr>
        <w:spacing w:after="0" w:line="200" w:lineRule="exact"/>
        <w:rPr>
          <w:sz w:val="20"/>
          <w:szCs w:val="20"/>
          <w:color w:val="auto"/>
        </w:rPr>
      </w:pPr>
    </w:p>
    <w:p>
      <w:pPr>
        <w:ind w:left="284" w:hanging="284"/>
        <w:spacing w:after="0"/>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full year 2024 was $203.8 million compared with $219.8 million in the prior year, due primarily to lower systems revenue.</w:t>
      </w:r>
    </w:p>
    <w:p>
      <w:pPr>
        <w:spacing w:after="0" w:line="198"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margin for the full year 2024 was 45.0% compared with 30.5% in the prior year. On a non-GAAP basis, gross profit margin was 48.6% compared with 38.4% in the prior year.</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operating expenses for the full year 2024 were $129.1 million compared with $154.5 million in the prior year. On a non-GAAP basis, operating expenses decreased by 14.0% to $109.8 million compared with the prior year.</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full year 2024 was $16.8 million, or ($0.35) basic and diluted per share, compared with net loss of $64.4 million, or ($1.31) basic and diluted per share, for the full year 2023.</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for the full year 2024 was $10.1 million, or non-GAAP basic and diluted net income per share was $0.21 and $0.20, respectively, compared with non-GAAP net loss of $20.4 million, or ($0.42) basic and diluted per share, for the full year 2023.</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for the full year 2024 was $0.3 million compared with adjusted EBITDA loss of $30.9 million for the full year 2023. Adjusted EBITDA margin for the full year 2024 was 0.2% compared with –14.0% for the full year 2023.</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First Quarter 2025 Guidance</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For the first quarter of 2025, the Company expects revenues to be in the range of $45.5 million to $49.5 million and adjusted EBITDA margin between –9% to –4% of revenue.</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Fourth Quarter and Full Year 2024 Earnings Conference Call Information</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will host a conference call today at 8:30 a.m. ET, or 3:30 p.m. Israel time, to discuss the results, followed by a question-and-answer session with the investor community.</w:t>
      </w:r>
    </w:p>
    <w:p>
      <w:pPr>
        <w:spacing w:after="0" w:line="14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 live webcast of the call </w:t>
      </w:r>
      <w:r>
        <w:rPr>
          <w:rFonts w:ascii="Times New Roman" w:cs="Times New Roman" w:eastAsia="Times New Roman" w:hAnsi="Times New Roman"/>
          <w:sz w:val="16"/>
          <w:szCs w:val="16"/>
          <w:color w:val="auto"/>
        </w:rPr>
        <w:t>can be accessed at ir.kornit.com. To access the call, participants may dial toll-free at 1-877-407-0792 or 1-201-689-8263. The toll-free Israeli number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1 809 406 247.</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To listen to a replay </w:t>
      </w:r>
      <w:r>
        <w:rPr>
          <w:rFonts w:ascii="Times New Roman" w:cs="Times New Roman" w:eastAsia="Times New Roman" w:hAnsi="Times New Roman"/>
          <w:sz w:val="16"/>
          <w:szCs w:val="16"/>
          <w:color w:val="auto"/>
        </w:rPr>
        <w:t>of the conference call, dial toll-free 1-844-512-2921 or 1-412-317-6671 and enter confirmation code 13751316. The telephone replay will be available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approximately three hours after the completion of the live call until 11:59 pm ET on February 26, 2025. The call will also be available for replay via the webcast link on Kornit’s Investor Relations website.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Kornit Digital</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Kornit Digital (NASDAQ: KRNT) is a worldwide market leader in sustainable, on-demand, digital fashion, and textile production technologies. The company offers end-to-end solutions including digital printing systems, inks, consumables, software, and fulfillment services through its global fulfillment network.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adverse macro-economic headwinds that were caused by inflationary pressures and higher interest rates, which have impacted,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and the Company’s Apollo direct-to-garment platform; the extent of the Company’s ability to consummate sales to large accounts with multi-system delivery plans; the degree of the Company’s ability to fill orders for its systems and consumables;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2023, filed with the SEC on March 28, 2024. Any forward-looking statements in this press release are made as of the date hereof, whether as a result of new information, future events or otherwise, except as required by law.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Non-GAAP Discussion Disclosure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restructuring expenses; foreign exchange differences associated with ASC 842; and non-cash deferred tax income.</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defines “Adjusted EBITDA” as non-GAAP operating income (loss), which reflects the adjustments described in the preceding paragraph, as further adjusted to exclude depreciation expense.</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tables included below present a reconciliation of our non-GAAP financial measures to the most directly comparable GAAP financial measures.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35,003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39,605</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bank deposit</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205,934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235,600</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222,937</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57,292</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65,459</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93,632</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60,342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67,712</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accounts receivable and prepaid expenses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25,714</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28,546</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615,389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48,086</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223,203</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10,542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8,209</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Severance pay fund</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Property,plant and equipment, net</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45,342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50,905</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on lease, net</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13,880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19,054</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23,782</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5,721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7,647</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4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29,164</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29,164</w:t>
            </w:r>
          </w:p>
        </w:tc>
        <w:tc>
          <w:tcPr>
            <w:tcW w:w="0" w:type="dxa"/>
            <w:vAlign w:val="bottom"/>
          </w:tcPr>
          <w:p>
            <w:pPr>
              <w:spacing w:after="0"/>
              <w:rPr>
                <w:sz w:val="1"/>
                <w:szCs w:val="1"/>
                <w:color w:val="auto"/>
              </w:rPr>
            </w:pPr>
          </w:p>
        </w:tc>
      </w:tr>
      <w:tr>
        <w:trPr>
          <w:trHeight w:val="179"/>
        </w:trPr>
        <w:tc>
          <w:tcPr>
            <w:tcW w:w="452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long-term assets</w:t>
            </w:r>
          </w:p>
        </w:tc>
        <w:tc>
          <w:tcPr>
            <w:tcW w:w="41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172,095</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343,193</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787,484</w:t>
            </w:r>
          </w:p>
        </w:tc>
        <w:tc>
          <w:tcPr>
            <w:tcW w:w="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865,580</w:t>
            </w:r>
          </w:p>
        </w:tc>
        <w:tc>
          <w:tcPr>
            <w:tcW w:w="0" w:type="dxa"/>
            <w:vAlign w:val="bottom"/>
          </w:tcPr>
          <w:p>
            <w:pPr>
              <w:spacing w:after="0"/>
              <w:rPr>
                <w:sz w:val="1"/>
                <w:szCs w:val="1"/>
                <w:color w:val="auto"/>
              </w:rPr>
            </w:pPr>
          </w:p>
        </w:tc>
      </w:tr>
      <w:tr>
        <w:trPr>
          <w:trHeight w:val="187"/>
        </w:trPr>
        <w:tc>
          <w:tcPr>
            <w:tcW w:w="4520" w:type="dxa"/>
            <w:vAlign w:val="bottom"/>
            <w:tcBorders>
              <w:top w:val="single" w:sz="8" w:color="CCEEFF"/>
            </w:tcBorders>
            <w:shd w:val="clear" w:color="auto" w:fill="CCEEFF"/>
          </w:tcPr>
          <w:p>
            <w:pPr>
              <w:spacing w:after="0"/>
              <w:rPr>
                <w:sz w:val="16"/>
                <w:szCs w:val="16"/>
                <w:color w:val="auto"/>
              </w:rPr>
            </w:pPr>
          </w:p>
        </w:tc>
        <w:tc>
          <w:tcPr>
            <w:tcW w:w="4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9,019</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6,936</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13,101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12,121</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2,339</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2,158</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3,311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5,073</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16,561</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23,814</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severance pay</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1,051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1,080</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15,065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18,533</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726,899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795,667</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tcPr>
          <w:p>
            <w:pPr>
              <w:spacing w:after="0"/>
              <w:rPr>
                <w:sz w:val="16"/>
                <w:szCs w:val="16"/>
                <w:color w:val="auto"/>
              </w:rPr>
            </w:pPr>
          </w:p>
        </w:tc>
        <w:tc>
          <w:tcPr>
            <w:tcW w:w="4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787,484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865,580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8" w:name="page9"/>
    <w:bookmarkEnd w:id="8"/>
    <w:p>
      <w:pPr>
        <w:ind w:left="474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47,711</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43,573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148,086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161,045</w:t>
            </w:r>
          </w:p>
        </w:tc>
        <w:tc>
          <w:tcPr>
            <w:tcW w:w="0" w:type="dxa"/>
            <w:vAlign w:val="bottom"/>
          </w:tcPr>
          <w:p>
            <w:pPr>
              <w:spacing w:after="0"/>
              <w:rPr>
                <w:sz w:val="1"/>
                <w:szCs w:val="1"/>
                <w:color w:val="auto"/>
              </w:rPr>
            </w:pPr>
          </w:p>
        </w:tc>
      </w:tr>
      <w:tr>
        <w:trPr>
          <w:trHeight w:val="20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12,985</w:t>
            </w: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55,739</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58,741</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60,696</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203,825</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219,786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18,088</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61,697</w:t>
            </w:r>
          </w:p>
        </w:tc>
        <w:tc>
          <w:tcPr>
            <w:tcW w:w="1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91,516</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11,479</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18,888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50,366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61,313</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29,567</w:t>
            </w:r>
          </w:p>
        </w:tc>
        <w:tc>
          <w:tcPr>
            <w:tcW w:w="24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42,013</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112,063</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152,829</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31,129</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91,762</w:t>
            </w:r>
          </w:p>
        </w:tc>
        <w:tc>
          <w:tcPr>
            <w:tcW w:w="1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66,957</w:t>
            </w:r>
          </w:p>
        </w:tc>
        <w:tc>
          <w:tcPr>
            <w:tcW w:w="0" w:type="dxa"/>
            <w:vAlign w:val="bottom"/>
          </w:tcPr>
          <w:p>
            <w:pPr>
              <w:spacing w:after="0"/>
              <w:rPr>
                <w:sz w:val="1"/>
                <w:szCs w:val="1"/>
                <w:color w:val="auto"/>
              </w:rPr>
            </w:pP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9,781</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41,578</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50,060</w:t>
            </w:r>
          </w:p>
        </w:tc>
        <w:tc>
          <w:tcPr>
            <w:tcW w:w="0" w:type="dxa"/>
            <w:vAlign w:val="bottom"/>
          </w:tcPr>
          <w:p>
            <w:pPr>
              <w:spacing w:after="0"/>
              <w:rPr>
                <w:sz w:val="1"/>
                <w:szCs w:val="1"/>
                <w:color w:val="auto"/>
              </w:rPr>
            </w:pPr>
          </w:p>
        </w:tc>
      </w:tr>
      <w:tr>
        <w:trPr>
          <w:trHeight w:val="191"/>
        </w:trPr>
        <w:tc>
          <w:tcPr>
            <w:tcW w:w="5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15,200</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17,909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58,413</w:t>
            </w:r>
          </w:p>
        </w:tc>
        <w:tc>
          <w:tcPr>
            <w:tcW w:w="1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66,836</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7,358</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29,086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37,592</w:t>
            </w:r>
          </w:p>
        </w:tc>
        <w:tc>
          <w:tcPr>
            <w:tcW w:w="0" w:type="dxa"/>
            <w:vAlign w:val="bottom"/>
          </w:tcPr>
          <w:p>
            <w:pPr>
              <w:spacing w:after="0"/>
              <w:rPr>
                <w:sz w:val="1"/>
                <w:szCs w:val="1"/>
                <w:color w:val="auto"/>
              </w:rPr>
            </w:pPr>
          </w:p>
        </w:tc>
      </w:tr>
      <w:tr>
        <w:trPr>
          <w:trHeight w:val="147"/>
        </w:trPr>
        <w:tc>
          <w:tcPr>
            <w:tcW w:w="5980" w:type="dxa"/>
            <w:vAlign w:val="bottom"/>
            <w:tcBorders>
              <w:top w:val="single" w:sz="8" w:color="CCEEFF"/>
            </w:tcBorders>
            <w:gridSpan w:val="2"/>
          </w:tcPr>
          <w:p>
            <w:pPr>
              <w:spacing w:after="0" w:line="139" w:lineRule="exact"/>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32,339</w:t>
            </w:r>
          </w:p>
        </w:tc>
        <w:tc>
          <w:tcPr>
            <w:tcW w:w="24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42,391</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129,077</w:t>
            </w: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154,488</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20" w:type="dxa"/>
            <w:vAlign w:val="bottom"/>
            <w:tcBorders>
              <w:top w:val="single" w:sz="8" w:color="auto"/>
            </w:tcBorders>
            <w:shd w:val="clear" w:color="auto" w:fill="CCEEFF"/>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(1,210)</w:t>
            </w:r>
          </w:p>
        </w:tc>
        <w:tc>
          <w:tcPr>
            <w:tcW w:w="3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(37,315)</w:t>
            </w:r>
          </w:p>
        </w:tc>
        <w:tc>
          <w:tcPr>
            <w:tcW w:w="1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(87,531)</w:t>
            </w:r>
          </w:p>
        </w:tc>
        <w:tc>
          <w:tcPr>
            <w:tcW w:w="0" w:type="dxa"/>
            <w:vAlign w:val="bottom"/>
          </w:tcPr>
          <w:p>
            <w:pPr>
              <w:spacing w:after="0"/>
              <w:rPr>
                <w:sz w:val="1"/>
                <w:szCs w:val="1"/>
                <w:color w:val="auto"/>
              </w:rPr>
            </w:pP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3,849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22,350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24,150</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taxes on income</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(14,965)</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423</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19"/>
        </w:trPr>
        <w:tc>
          <w:tcPr>
            <w:tcW w:w="5980" w:type="dxa"/>
            <w:vAlign w:val="bottom"/>
            <w:tcBorders>
              <w:top w:val="single" w:sz="8" w:color="CCEEFF"/>
              <w:bottom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top w:val="single" w:sz="8" w:color="auto"/>
              <w:bottom w:val="single" w:sz="8" w:color="auto"/>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2,216</w:t>
            </w:r>
          </w:p>
        </w:tc>
        <w:tc>
          <w:tcPr>
            <w:tcW w:w="24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(22,934</w:t>
            </w:r>
          </w:p>
        </w:tc>
        <w:tc>
          <w:tcPr>
            <w:tcW w:w="14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(16,800</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(64,351</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7"/>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income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basic net income (loss) per share</w:t>
            </w:r>
          </w:p>
        </w:tc>
        <w:tc>
          <w:tcPr>
            <w:tcW w:w="2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47,180,390</w:t>
            </w:r>
          </w:p>
        </w:tc>
        <w:tc>
          <w:tcPr>
            <w:tcW w:w="3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48,231,916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47,482,820</w:t>
            </w:r>
          </w:p>
        </w:tc>
        <w:tc>
          <w:tcPr>
            <w:tcW w:w="1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49,160,266</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Diluted income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diluted net income (loss) per share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48,222,449</w:t>
            </w: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48,231,916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47,482,820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49,160,266</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5580"/>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598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9" w:name="page10"/>
    <w:bookmarkEnd w:id="9"/>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RECONCILIATION OF GAAP TO NON-GAAP 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center"/>
              <w:ind w:left="4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r>
      <w:tr>
        <w:trPr>
          <w:trHeight w:val="195"/>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60,696</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56,585</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203,825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219,786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cost of 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29,567</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42,013</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112,063</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152,829</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(524)</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(2,018)</w:t>
            </w:r>
          </w:p>
        </w:tc>
        <w:tc>
          <w:tcPr>
            <w:tcW w:w="3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(2,356)</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service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(409)</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(1,703)</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product (2)</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(176)</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(936)</w:t>
            </w:r>
          </w:p>
        </w:tc>
        <w:tc>
          <w:tcPr>
            <w:tcW w:w="3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service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(3)</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(1,067)</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(1,981)</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(11,590)</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cost of revenues</w:t>
            </w: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104,785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gross profit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31,129</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14,572</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91,762</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66,957</w:t>
            </w: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adjustments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2,336</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12,913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17,397</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gross profit</w:t>
            </w: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operating expenses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32,339</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42,391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129,077</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154,488</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(4,151)</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(18,035)</w:t>
            </w:r>
          </w:p>
        </w:tc>
        <w:tc>
          <w:tcPr>
            <w:tcW w:w="3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(18,475)</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(88)</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(3)</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(105)</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(862)</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(7,785)</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109,830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127,678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Financial income, net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3,849</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22,350</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24,150</w:t>
            </w: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388</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378</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Financial income , net</w:t>
            </w: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Taxes on income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423</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539</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970</w:t>
            </w: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Non-cash deferred tax income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666</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Taxes on income</w:t>
            </w: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Net income (loss)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2,216</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(22,934)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(16,800)</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(64,351)</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5,084</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21,756</w:t>
            </w:r>
          </w:p>
        </w:tc>
        <w:tc>
          <w:tcPr>
            <w:tcW w:w="3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22,589</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2,243</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(3)</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1,172</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19,080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19,375</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(169)</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388</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378</w:t>
            </w: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Non-cash deferred tax income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(loss)</w:t>
            </w: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diluted income (loss)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(0.35)</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income (loss)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0.18</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0.20</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GAAP diluted net income (loss) per share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48,222,449</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48,231,916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47,482,820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49,160,266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Non-GAAP diluted net income (loss) per share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49,868,143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50,094,714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49,341,794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49,160,266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524</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220" w:type="dxa"/>
            <w:vAlign w:val="bottom"/>
          </w:tcPr>
          <w:p>
            <w:pPr>
              <w:spacing w:after="0"/>
              <w:rPr>
                <w:sz w:val="16"/>
                <w:szCs w:val="16"/>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2,356</w:t>
            </w: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409</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1,758</w:t>
            </w: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1,255</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5,759</w:t>
            </w: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1,212</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6,689</w:t>
            </w:r>
          </w:p>
        </w:tc>
      </w:tr>
      <w:tr>
        <w:trPr>
          <w:trHeight w:val="20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1,684</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6,027</w:t>
            </w:r>
          </w:p>
        </w:tc>
      </w:tr>
      <w:tr>
        <w:trPr>
          <w:trHeight w:val="195"/>
        </w:trPr>
        <w:tc>
          <w:tcPr>
            <w:tcW w:w="59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 Intangible assets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176</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936</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1,053</w:t>
            </w: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r>
      <w:tr>
        <w:trPr>
          <w:trHeight w:val="203"/>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88</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350</w:t>
            </w:r>
          </w:p>
        </w:tc>
        <w:tc>
          <w:tcPr>
            <w:tcW w:w="3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550</w:t>
            </w: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424</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513</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2,243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 Restructuring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818</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40" w:type="dxa"/>
            <w:vAlign w:val="bottom"/>
          </w:tcPr>
          <w:p>
            <w:pPr>
              <w:spacing w:after="0"/>
              <w:rPr>
                <w:sz w:val="16"/>
                <w:szCs w:val="16"/>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220" w:type="dxa"/>
            <w:vAlign w:val="bottom"/>
          </w:tcPr>
          <w:p>
            <w:pPr>
              <w:spacing w:after="0"/>
              <w:rPr>
                <w:sz w:val="16"/>
                <w:szCs w:val="16"/>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5,658</w:t>
            </w: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249</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298</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5,932</w:t>
            </w: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235</w:t>
            </w:r>
          </w:p>
        </w:tc>
        <w:tc>
          <w:tcPr>
            <w:tcW w:w="3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880</w:t>
            </w: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2,930</w:t>
            </w:r>
          </w:p>
        </w:tc>
      </w:tr>
      <w:tr>
        <w:trPr>
          <w:trHeight w:val="20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105</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437</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3,975</w:t>
            </w:r>
          </w:p>
        </w:tc>
      </w:tr>
      <w:tr>
        <w:trPr>
          <w:trHeight w:val="69"/>
        </w:trPr>
        <w:tc>
          <w:tcPr>
            <w:tcW w:w="59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bl>
    <w:p>
      <w:pPr>
        <w:sectPr>
          <w:pgSz w:w="11900" w:h="16900" w:orient="portrait"/>
          <w:cols w:equalWidth="0" w:num="1">
            <w:col w:w="11260"/>
          </w:cols>
          <w:pgMar w:left="320" w:top="814" w:right="319" w:bottom="0" w:gutter="0" w:footer="0" w:header="0"/>
        </w:sectPr>
      </w:pPr>
    </w:p>
    <w:bookmarkStart w:id="10" w:name="page11"/>
    <w:bookmarkEnd w:id="10"/>
    <w:p>
      <w:pPr>
        <w:ind w:left="4860"/>
        <w:spacing w:after="0"/>
        <w:tabs>
          <w:tab w:leader="none" w:pos="5600" w:val="left"/>
          <w:tab w:leader="none" w:pos="6200" w:val="left"/>
          <w:tab w:leader="none" w:pos="6900" w:val="left"/>
          <w:tab w:leader="none" w:pos="7560" w:val="left"/>
          <w:tab w:leader="none" w:pos="8320" w:val="left"/>
          <w:tab w:leader="none" w:pos="8900" w:val="left"/>
          <w:tab w:leader="none" w:pos="95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1,172</w:t>
        <w:tab/>
        <w:t>$</w:t>
      </w:r>
      <w:r>
        <w:rPr>
          <w:sz w:val="20"/>
          <w:szCs w:val="20"/>
          <w:color w:val="auto"/>
        </w:rPr>
        <w:tab/>
      </w:r>
      <w:r>
        <w:rPr>
          <w:rFonts w:ascii="Times New Roman" w:cs="Times New Roman" w:eastAsia="Times New Roman" w:hAnsi="Times New Roman"/>
          <w:sz w:val="16"/>
          <w:szCs w:val="16"/>
          <w:color w:val="auto"/>
        </w:rPr>
        <w:t>19,080</w:t>
        <w:tab/>
        <w:t>$</w:t>
      </w:r>
      <w:r>
        <w:rPr>
          <w:sz w:val="20"/>
          <w:szCs w:val="20"/>
          <w:color w:val="auto"/>
        </w:rPr>
        <w:tab/>
      </w:r>
      <w:r>
        <w:rPr>
          <w:rFonts w:ascii="Times New Roman" w:cs="Times New Roman" w:eastAsia="Times New Roman" w:hAnsi="Times New Roman"/>
          <w:sz w:val="16"/>
          <w:szCs w:val="16"/>
          <w:color w:val="auto"/>
        </w:rPr>
        <w:t>2,843</w:t>
        <w:tab/>
        <w:t>$</w:t>
      </w:r>
      <w:r>
        <w:rPr>
          <w:sz w:val="20"/>
          <w:szCs w:val="20"/>
          <w:color w:val="auto"/>
        </w:rPr>
        <w:tab/>
      </w:r>
      <w:r>
        <w:rPr>
          <w:rFonts w:ascii="Times New Roman" w:cs="Times New Roman" w:eastAsia="Times New Roman" w:hAnsi="Times New Roman"/>
          <w:sz w:val="16"/>
          <w:szCs w:val="16"/>
          <w:color w:val="auto"/>
        </w:rPr>
        <w:t>19,375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-105410</wp:posOffset>
            </wp:positionV>
            <wp:extent cx="7148195" cy="167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48195" cy="167005"/>
                    </a:xfrm>
                    <a:prstGeom prst="rect">
                      <a:avLst/>
                    </a:prstGeom>
                    <a:noFill/>
                  </pic:spPr>
                </pic:pic>
              </a:graphicData>
            </a:graphic>
          </wp:anchor>
        </w:drawing>
      </w:r>
    </w:p>
    <w:p>
      <w:pPr>
        <w:sectPr>
          <w:pgSz w:w="11900" w:h="16838" w:orient="portrait"/>
          <w:cols w:equalWidth="0" w:num="1">
            <w:col w:w="10020"/>
          </w:cols>
          <w:pgMar w:left="1440" w:top="123" w:right="4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020"/>
          </w:cols>
          <w:pgMar w:left="1440" w:top="123" w:right="4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(U.S. dollars in thousands)</w:t>
      </w:r>
    </w:p>
    <w:p>
      <w:pPr>
        <w:sectPr>
          <w:pgSz w:w="11900" w:h="16838" w:orient="portrait"/>
          <w:cols w:equalWidth="0" w:num="1">
            <w:col w:w="11260"/>
          </w:cols>
          <w:pgMar w:left="320" w:top="814" w:right="319" w:bottom="1440" w:gutter="0" w:footer="0" w:header="0"/>
        </w:sectPr>
      </w:pPr>
    </w:p>
    <w:p>
      <w:pPr>
        <w:spacing w:after="0" w:line="18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2024</w:t>
      </w:r>
      <w:r>
        <w:rPr>
          <w:sz w:val="20"/>
          <w:szCs w:val="20"/>
          <w:color w:val="auto"/>
        </w:rPr>
        <w:tab/>
      </w:r>
      <w:r>
        <w:rPr>
          <w:rFonts w:ascii="Times New Roman" w:cs="Times New Roman" w:eastAsia="Times New Roman" w:hAnsi="Times New Roman"/>
          <w:sz w:val="15"/>
          <w:szCs w:val="15"/>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16510</wp:posOffset>
            </wp:positionV>
            <wp:extent cx="154813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8380" w:space="720"/>
            <w:col w:w="2160"/>
          </w:cols>
          <w:pgMar w:left="32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2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2,216</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(22,934)</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(16,800)</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(64,351)</w:t>
            </w:r>
          </w:p>
        </w:tc>
      </w:tr>
      <w:tr>
        <w:trPr>
          <w:trHeight w:val="191"/>
        </w:trPr>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3,313</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13,047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14,700</w:t>
            </w:r>
          </w:p>
        </w:tc>
      </w:tr>
      <w:tr>
        <w:trPr>
          <w:trHeight w:val="191"/>
        </w:trPr>
        <w:tc>
          <w:tcPr>
            <w:tcW w:w="5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1,172</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19,080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19,080</w:t>
            </w:r>
          </w:p>
        </w:tc>
      </w:tr>
      <w:tr>
        <w:trPr>
          <w:trHeight w:val="191"/>
        </w:trPr>
        <w:tc>
          <w:tcPr>
            <w:tcW w:w="5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Fair value of warrants deducted from revenues</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13,842</w:t>
            </w:r>
          </w:p>
        </w:tc>
      </w:tr>
      <w:tr>
        <w:trPr>
          <w:trHeight w:val="191"/>
        </w:trPr>
        <w:tc>
          <w:tcPr>
            <w:tcW w:w="5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5,084</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21,756</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22,589</w:t>
            </w:r>
          </w:p>
        </w:tc>
      </w:tr>
      <w:tr>
        <w:trPr>
          <w:trHeight w:val="191"/>
        </w:trPr>
        <w:tc>
          <w:tcPr>
            <w:tcW w:w="5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premium and accretion of discount on marketable securities, net</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(230)</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756</w:t>
            </w:r>
          </w:p>
        </w:tc>
      </w:tr>
      <w:tr>
        <w:trPr>
          <w:trHeight w:val="191"/>
        </w:trPr>
        <w:tc>
          <w:tcPr>
            <w:tcW w:w="5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Realized loss on sale and redemption of marketable securities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(164)</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w:t>
            </w:r>
          </w:p>
        </w:tc>
      </w:tr>
      <w:tr>
        <w:trPr>
          <w:trHeight w:val="171"/>
        </w:trPr>
        <w:tc>
          <w:tcPr>
            <w:tcW w:w="546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26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28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8,673</w:t>
            </w:r>
          </w:p>
        </w:tc>
        <w:tc>
          <w:tcPr>
            <w:tcW w:w="3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6,557</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28,173</w:t>
            </w:r>
          </w:p>
        </w:tc>
        <w:tc>
          <w:tcPr>
            <w:tcW w:w="3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(19,220)</w:t>
            </w:r>
          </w:p>
        </w:tc>
      </w:tr>
      <w:tr>
        <w:trPr>
          <w:trHeight w:val="191"/>
        </w:trPr>
        <w:tc>
          <w:tcPr>
            <w:tcW w:w="5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accounts receivables and prepaid expenses</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1,795</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w:t>
            </w:r>
          </w:p>
        </w:tc>
      </w:tr>
      <w:tr>
        <w:trPr>
          <w:trHeight w:val="191"/>
        </w:trPr>
        <w:tc>
          <w:tcPr>
            <w:tcW w:w="5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2,875</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120" w:type="dxa"/>
            <w:vAlign w:val="bottom"/>
          </w:tcPr>
          <w:p>
            <w:pPr>
              <w:spacing w:after="0"/>
              <w:rPr>
                <w:sz w:val="16"/>
                <w:szCs w:val="16"/>
                <w:color w:val="auto"/>
              </w:rPr>
            </w:pPr>
          </w:p>
        </w:tc>
      </w:tr>
      <w:tr>
        <w:trPr>
          <w:trHeight w:val="191"/>
        </w:trPr>
        <w:tc>
          <w:tcPr>
            <w:tcW w:w="5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 right-of-use assets and liabilities, net</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(266)</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191"/>
        </w:trPr>
        <w:tc>
          <w:tcPr>
            <w:tcW w:w="5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Deposits and other long term assets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(674)</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(2,333)</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(2,282)</w:t>
            </w:r>
          </w:p>
        </w:tc>
      </w:tr>
      <w:tr>
        <w:trPr>
          <w:trHeight w:val="191"/>
        </w:trPr>
        <w:tc>
          <w:tcPr>
            <w:tcW w:w="5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3,856</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w:t>
            </w:r>
          </w:p>
        </w:tc>
      </w:tr>
      <w:tr>
        <w:trPr>
          <w:trHeight w:val="191"/>
        </w:trPr>
        <w:tc>
          <w:tcPr>
            <w:tcW w:w="5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1,020</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191"/>
        </w:trPr>
        <w:tc>
          <w:tcPr>
            <w:tcW w:w="5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798</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w:t>
            </w:r>
          </w:p>
        </w:tc>
      </w:tr>
      <w:tr>
        <w:trPr>
          <w:trHeight w:val="191"/>
        </w:trPr>
        <w:tc>
          <w:tcPr>
            <w:tcW w:w="5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(2,950)</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(8,357)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(9,020)</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(10,547)</w:t>
            </w:r>
          </w:p>
        </w:tc>
      </w:tr>
      <w:tr>
        <w:trPr>
          <w:trHeight w:val="191"/>
        </w:trPr>
        <w:tc>
          <w:tcPr>
            <w:tcW w:w="5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severance pay, net</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7"/>
        </w:trPr>
        <w:tc>
          <w:tcPr>
            <w:tcW w:w="5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long - term liabilities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(1,018)</w:t>
            </w:r>
          </w:p>
        </w:tc>
      </w:tr>
      <w:tr>
        <w:trPr>
          <w:trHeight w:val="195"/>
        </w:trPr>
        <w:tc>
          <w:tcPr>
            <w:tcW w:w="54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546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8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1"/>
        </w:trPr>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(897)</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(4,394)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w:t>
            </w:r>
          </w:p>
        </w:tc>
      </w:tr>
      <w:tr>
        <w:trPr>
          <w:trHeight w:val="191"/>
        </w:trPr>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Production of equipment for lease to customers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(1,023)</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(10,746)</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1"/>
        </w:trPr>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(investment in) short-term bank deposits, net</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(36,533)</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29,666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39,433</w:t>
            </w:r>
          </w:p>
        </w:tc>
      </w:tr>
      <w:tr>
        <w:trPr>
          <w:trHeight w:val="191"/>
        </w:trPr>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sales and redemption of marketable securities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12,500</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22,994</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7,240</w:t>
            </w:r>
          </w:p>
        </w:tc>
      </w:tr>
      <w:tr>
        <w:trPr>
          <w:trHeight w:val="191"/>
        </w:trPr>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12,012</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56,641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20,522</w:t>
            </w:r>
          </w:p>
        </w:tc>
      </w:tr>
      <w:tr>
        <w:trPr>
          <w:trHeight w:val="207"/>
        </w:trPr>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Investment in marketable securities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(16,772)</w:t>
            </w: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(62,673)</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(33,977)</w:t>
            </w:r>
          </w:p>
        </w:tc>
      </w:tr>
      <w:tr>
        <w:trPr>
          <w:trHeight w:val="195"/>
        </w:trPr>
        <w:tc>
          <w:tcPr>
            <w:tcW w:w="54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(30,713</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546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8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1"/>
        </w:trPr>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employee stock options</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594</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293</w:t>
            </w:r>
          </w:p>
        </w:tc>
      </w:tr>
      <w:tr>
        <w:trPr>
          <w:trHeight w:val="191"/>
        </w:trPr>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Payments related to shares withheld for taxes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(402)</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(1,476)</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23"/>
        </w:trPr>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(75,000)</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(84,055)</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(55,770)</w:t>
            </w:r>
          </w:p>
        </w:tc>
      </w:tr>
      <w:tr>
        <w:trPr>
          <w:trHeight w:val="179"/>
        </w:trPr>
        <w:tc>
          <w:tcPr>
            <w:tcW w:w="5460" w:type="dxa"/>
            <w:vAlign w:val="bottom"/>
            <w:tcBorders>
              <w:top w:val="single" w:sz="8" w:color="CCEEFF"/>
              <w:bottom w:val="single" w:sz="8" w:color="CCEEFF"/>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5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(74,808</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(19,612</w:t>
            </w:r>
          </w:p>
        </w:tc>
        <w:tc>
          <w:tcPr>
            <w:tcW w:w="14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(84,815</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(56,522</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(78,858)</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(36,683)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(4,602)</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(64,992)</w:t>
            </w:r>
          </w:p>
        </w:tc>
      </w:tr>
      <w:tr>
        <w:trPr>
          <w:trHeight w:val="223"/>
        </w:trPr>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113,861</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76,288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39,605</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104,597</w:t>
            </w:r>
          </w:p>
        </w:tc>
      </w:tr>
      <w:tr>
        <w:trPr>
          <w:trHeight w:val="219"/>
        </w:trPr>
        <w:tc>
          <w:tcPr>
            <w:tcW w:w="5460" w:type="dxa"/>
            <w:vAlign w:val="bottom"/>
            <w:tcBorders>
              <w:top w:val="single" w:sz="8" w:color="CCEEFF"/>
              <w:bottom w:val="single" w:sz="8" w:color="CCEEFF"/>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52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35,003</w:t>
            </w:r>
          </w:p>
        </w:tc>
        <w:tc>
          <w:tcPr>
            <w:tcW w:w="240" w:type="dxa"/>
            <w:vAlign w:val="bottom"/>
            <w:tcBorders>
              <w:top w:val="single" w:sz="8" w:color="CCEEFF"/>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39,605</w:t>
            </w:r>
          </w:p>
        </w:tc>
        <w:tc>
          <w:tcPr>
            <w:tcW w:w="14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CCEEFF"/>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35,003</w:t>
            </w:r>
          </w:p>
        </w:tc>
        <w:tc>
          <w:tcPr>
            <w:tcW w:w="22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39,605</w:t>
            </w:r>
          </w:p>
        </w:tc>
        <w:tc>
          <w:tcPr>
            <w:tcW w:w="120" w:type="dxa"/>
            <w:vAlign w:val="bottom"/>
            <w:tcBorders>
              <w:top w:val="single" w:sz="8" w:color="CCEEFF"/>
              <w:bottom w:val="single" w:sz="8" w:color="CCEEFF"/>
            </w:tcBorders>
          </w:tcPr>
          <w:p>
            <w:pPr>
              <w:spacing w:after="0"/>
              <w:rPr>
                <w:sz w:val="19"/>
                <w:szCs w:val="19"/>
                <w:color w:val="auto"/>
              </w:rPr>
            </w:pPr>
          </w:p>
        </w:tc>
      </w:tr>
      <w:tr>
        <w:trPr>
          <w:trHeight w:val="187"/>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Purchase of property and equipment on credit</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247</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247</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314</w:t>
            </w:r>
          </w:p>
        </w:tc>
      </w:tr>
      <w:tr>
        <w:trPr>
          <w:trHeight w:val="191"/>
        </w:trPr>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transferred to be used as property and equipment and Equipment on lease</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3,156</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531</w:t>
            </w:r>
          </w:p>
        </w:tc>
      </w:tr>
      <w:tr>
        <w:trPr>
          <w:trHeight w:val="191"/>
        </w:trPr>
        <w:tc>
          <w:tcPr>
            <w:tcW w:w="5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Property, plant and equipment transferred to be used as inventory</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367</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865</w:t>
            </w:r>
          </w:p>
        </w:tc>
      </w:tr>
      <w:tr>
        <w:trPr>
          <w:trHeight w:val="191"/>
        </w:trPr>
        <w:tc>
          <w:tcPr>
            <w:tcW w:w="5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623</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2,934</w:t>
            </w:r>
          </w:p>
        </w:tc>
      </w:tr>
      <w:tr>
        <w:trPr>
          <w:trHeight w:val="577"/>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Revenues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Net income (loss)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Taxes on income</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Financial income</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Intangible assets amortization</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Restructuring expenses</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5"/>
          <w:szCs w:val="15"/>
          <w:b w:val="1"/>
          <w:bCs w:val="1"/>
          <w:color w:val="auto"/>
        </w:rPr>
        <w:t>RECONCILIATION OF GAAP NET INCOME TO ADJUSTED EBITDA</w:t>
      </w:r>
    </w:p>
    <w:p>
      <w:pPr>
        <w:spacing w:after="0" w:line="19"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288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left="4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8"/>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60,696</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56,585</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203,825</w:t>
            </w:r>
          </w:p>
        </w:tc>
        <w:tc>
          <w:tcPr>
            <w:tcW w:w="220" w:type="dxa"/>
            <w:vAlign w:val="bottom"/>
          </w:tcPr>
          <w:p>
            <w:pPr>
              <w:spacing w:after="0"/>
              <w:rPr>
                <w:sz w:val="24"/>
                <w:szCs w:val="24"/>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219,786</w:t>
            </w:r>
          </w:p>
        </w:tc>
        <w:tc>
          <w:tcPr>
            <w:tcW w:w="4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2"/>
        </w:trPr>
        <w:tc>
          <w:tcPr>
            <w:tcW w:w="2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2,216</w:t>
            </w:r>
          </w:p>
        </w:tc>
        <w:tc>
          <w:tcPr>
            <w:tcW w:w="3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(22,934)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(16,800)</w:t>
            </w:r>
          </w:p>
        </w:tc>
        <w:tc>
          <w:tcPr>
            <w:tcW w:w="3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(64,351)</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423</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970</w:t>
            </w:r>
          </w:p>
        </w:tc>
        <w:tc>
          <w:tcPr>
            <w:tcW w:w="4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(3,849)</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(22,350)</w:t>
            </w:r>
          </w:p>
        </w:tc>
        <w:tc>
          <w:tcPr>
            <w:tcW w:w="38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(24,150)</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5,084</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21,756</w:t>
            </w:r>
          </w:p>
        </w:tc>
        <w:tc>
          <w:tcPr>
            <w:tcW w:w="3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22,589</w:t>
            </w:r>
          </w:p>
        </w:tc>
        <w:tc>
          <w:tcPr>
            <w:tcW w:w="40" w:type="dxa"/>
            <w:vAlign w:val="bottom"/>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424</w:t>
            </w: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2,243</w:t>
            </w:r>
          </w:p>
        </w:tc>
        <w:tc>
          <w:tcPr>
            <w:tcW w:w="40" w:type="dxa"/>
            <w:vAlign w:val="bottom"/>
          </w:tcPr>
          <w:p>
            <w:pPr>
              <w:spacing w:after="0"/>
              <w:rPr>
                <w:sz w:val="17"/>
                <w:szCs w:val="17"/>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1,172</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19,080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19,375</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-1023620</wp:posOffset>
            </wp:positionV>
            <wp:extent cx="7148195" cy="144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48195" cy="14414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-735330</wp:posOffset>
            </wp:positionV>
            <wp:extent cx="7148195"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-492760</wp:posOffset>
            </wp:positionV>
            <wp:extent cx="7148195" cy="121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-249555</wp:posOffset>
            </wp:positionV>
            <wp:extent cx="7148195" cy="121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80" w:space="720"/>
            <w:col w:w="8160"/>
          </w:cols>
          <w:pgMar w:left="320" w:top="814" w:right="319" w:bottom="1440" w:gutter="0" w:footer="0" w:header="0"/>
        </w:sectPr>
      </w:pPr>
    </w:p>
    <w:tbl>
      <w:tblPr>
        <w:tblLayout w:type="fixed"/>
        <w:tblInd w:w="0" w:type="dxa"/>
        <w:tblCellMar>
          <w:top w:w="0" w:type="dxa"/>
          <w:left w:w="0" w:type="dxa"/>
          <w:bottom w:w="0" w:type="dxa"/>
          <w:right w:w="0" w:type="dxa"/>
        </w:tblCellMar>
      </w:tblPr>
      <w:tr>
        <w:trPr>
          <w:trHeight w:val="20"/>
        </w:trPr>
        <w:tc>
          <w:tcPr>
            <w:tcW w:w="59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5"/>
        </w:trPr>
        <w:tc>
          <w:tcPr>
            <w:tcW w:w="5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Non-GAAP Operating income (loss)</w:t>
            </w:r>
          </w:p>
        </w:tc>
        <w:tc>
          <w:tcPr>
            <w:tcW w:w="4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line="175" w:lineRule="exact"/>
              <w:rPr>
                <w:sz w:val="20"/>
                <w:szCs w:val="20"/>
                <w:color w:val="auto"/>
              </w:rPr>
            </w:pPr>
            <w:r>
              <w:rPr>
                <w:rFonts w:ascii="Times New Roman" w:cs="Times New Roman" w:eastAsia="Times New Roman" w:hAnsi="Times New Roman"/>
                <w:sz w:val="16"/>
                <w:szCs w:val="16"/>
                <w:color w:val="auto"/>
              </w:rPr>
              <w:t>5,470</w:t>
            </w:r>
          </w:p>
        </w:tc>
        <w:tc>
          <w:tcPr>
            <w:tcW w:w="4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(2,581)</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(10,790)</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(43,324)</w:t>
            </w:r>
          </w:p>
        </w:tc>
      </w:tr>
      <w:tr>
        <w:trPr>
          <w:trHeight w:val="20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4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2,889</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12,457</w:t>
            </w:r>
          </w:p>
        </w:tc>
      </w:tr>
      <w:tr>
        <w:trPr>
          <w:trHeight w:val="195"/>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42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type w:val="continuous"/>
        </w:sectPr>
      </w:pPr>
    </w:p>
    <w:bookmarkStart w:id="13" w:name="page14"/>
    <w:bookmarkEnd w:id="13"/>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5850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7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jpe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s://www.sec.gov/Archives/edgar/data/000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2025-02-12T07:05:32Z</dcterms:created>
  <dcterms:modified xsi:type="dcterms:W3CDTF">2025-02-12T07:05:32Z</dcterms:modified>
</cp:coreProperties>
</file>