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107"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Samuel Ronen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0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07"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4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300" w:type="dxa"/>
            <w:vAlign w:val="bottom"/>
          </w:tcPr>
          <w:p>
            <w:pPr>
              <w:jc w:val="center"/>
              <w:ind w:left="1322"/>
              <w:spacing w:after="0"/>
              <w:rPr>
                <w:sz w:val="20"/>
                <w:szCs w:val="20"/>
                <w:color w:val="auto"/>
              </w:rPr>
            </w:pPr>
            <w:r>
              <w:rPr>
                <w:rFonts w:ascii="Times New Roman" w:cs="Times New Roman" w:eastAsia="Times New Roman" w:hAnsi="Times New Roman"/>
                <w:sz w:val="20"/>
                <w:szCs w:val="20"/>
                <w:color w:val="0000FF"/>
                <w:w w:val="98"/>
              </w:rPr>
              <w:t>101,494</w:t>
            </w:r>
          </w:p>
        </w:tc>
        <w:tc>
          <w:tcPr>
            <w:tcW w:w="41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tcPr>
          <w:p>
            <w:pPr>
              <w:spacing w:after="0"/>
              <w:rPr>
                <w:sz w:val="6"/>
                <w:szCs w:val="6"/>
                <w:color w:val="auto"/>
              </w:rPr>
            </w:pPr>
          </w:p>
        </w:tc>
        <w:tc>
          <w:tcPr>
            <w:tcW w:w="4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4"/>
              </w:rPr>
              <w:t>11,788</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4"/>
              </w:rPr>
              <w:t>13,095</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(3)</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4"/>
              </w:rPr>
              <w:t>21,724</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(4)</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4"/>
              </w:rPr>
              <w:t>39,967</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(5)</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8"/>
              </w:rPr>
              <w:t>164,582</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(6)</w:t>
            </w:r>
          </w:p>
        </w:tc>
        <w:tc>
          <w:tcPr>
            <w:tcW w:w="3300" w:type="dxa"/>
            <w:vAlign w:val="bottom"/>
            <w:tcBorders>
              <w:bottom w:val="single" w:sz="8" w:color="2C2C2C"/>
            </w:tcBorders>
          </w:tcPr>
          <w:p>
            <w:pPr>
              <w:jc w:val="center"/>
              <w:ind w:left="1322"/>
              <w:spacing w:after="0"/>
              <w:rPr>
                <w:sz w:val="20"/>
                <w:szCs w:val="20"/>
                <w:color w:val="auto"/>
              </w:rPr>
            </w:pPr>
            <w:r>
              <w:rPr>
                <w:rFonts w:ascii="Times New Roman" w:cs="Times New Roman" w:eastAsia="Times New Roman" w:hAnsi="Times New Roman"/>
                <w:sz w:val="20"/>
                <w:szCs w:val="20"/>
                <w:color w:val="0000FF"/>
                <w:w w:val="94"/>
              </w:rPr>
              <w:t>32,302</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shd w:val="clear" w:color="auto" w:fill="2C2C2C"/>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08/22/2029</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37,500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28.15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08/12/2030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10,350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57.79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08/12/2031</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33"/>
              <w:spacing w:after="0"/>
              <w:rPr>
                <w:sz w:val="20"/>
                <w:szCs w:val="20"/>
                <w:color w:val="auto"/>
              </w:rPr>
            </w:pPr>
            <w:r>
              <w:rPr>
                <w:rFonts w:ascii="Times New Roman" w:cs="Times New Roman" w:eastAsia="Times New Roman" w:hAnsi="Times New Roman"/>
                <w:sz w:val="20"/>
                <w:szCs w:val="20"/>
                <w:color w:val="0000FF"/>
                <w:w w:val="97"/>
              </w:rPr>
              <w:t>5,005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122.19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08/11/2032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23,775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35.51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12/29/2032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23,158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22.02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08/12/2033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jc w:val="center"/>
              <w:ind w:left="13"/>
              <w:spacing w:after="0"/>
              <w:rPr>
                <w:sz w:val="20"/>
                <w:szCs w:val="20"/>
                <w:color w:val="auto"/>
              </w:rPr>
            </w:pPr>
            <w:r>
              <w:rPr>
                <w:rFonts w:ascii="Times New Roman" w:cs="Times New Roman" w:eastAsia="Times New Roman" w:hAnsi="Times New Roman"/>
                <w:sz w:val="20"/>
                <w:szCs w:val="20"/>
                <w:color w:val="0000FF"/>
                <w:w w:val="98"/>
              </w:rPr>
              <w:t>48,525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23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0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10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233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223329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(13)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08/12/2034</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65,036</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16.48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 ordinary</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(14)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08/12/2035</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68,009</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15.19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0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August 11, 2022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(August 11, 2026).</w:t>
      </w:r>
    </w:p>
    <w:p>
      <w:pPr>
        <w:spacing w:after="0" w:line="33" w:lineRule="exact"/>
        <w:rPr>
          <w:rFonts w:ascii="Times New Roman" w:cs="Times New Roman" w:eastAsia="Times New Roman" w:hAnsi="Times New Roman"/>
          <w:sz w:val="15"/>
          <w:szCs w:val="15"/>
          <w:color w:val="008000"/>
        </w:rPr>
      </w:pPr>
    </w:p>
    <w:p>
      <w:pPr>
        <w:ind w:left="20" w:right="2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December 29, 2022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(December 29, 2026).</w:t>
      </w:r>
    </w:p>
    <w:p>
      <w:pPr>
        <w:spacing w:after="0" w:line="33" w:lineRule="exact"/>
        <w:rPr>
          <w:rFonts w:ascii="Times New Roman" w:cs="Times New Roman" w:eastAsia="Times New Roman" w:hAnsi="Times New Roman"/>
          <w:sz w:val="15"/>
          <w:szCs w:val="15"/>
          <w:color w:val="008000"/>
        </w:rPr>
      </w:pPr>
    </w:p>
    <w:p>
      <w:pPr>
        <w:jc w:val="both"/>
        <w:ind w:left="20" w:right="1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August 12, 2023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(August 12, 2027).</w:t>
      </w:r>
    </w:p>
    <w:p>
      <w:pPr>
        <w:spacing w:after="0" w:line="33" w:lineRule="exact"/>
        <w:rPr>
          <w:rFonts w:ascii="Times New Roman" w:cs="Times New Roman" w:eastAsia="Times New Roman" w:hAnsi="Times New Roman"/>
          <w:sz w:val="15"/>
          <w:szCs w:val="15"/>
          <w:color w:val="008000"/>
        </w:rPr>
      </w:pPr>
    </w:p>
    <w:p>
      <w:pPr>
        <w:jc w:val="both"/>
        <w:ind w:left="20" w:right="1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August 12,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on the four-year anniversary of that grant date (August 12, 2028).</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August 12, 2025 and that vest and settle for underlying ordinary shares in accordance with the following schedule: 25% of the RSUs will vest and settle for underlying ordinary shares upon the one-year anniversary of the grant date, and an additional 6.25% of the RSUs will vest and settle on a quarterly basis over the following three years such that all RSUs reported in this row will be fully vested and settled on the four-year anniversary of that grant date (August 12, 2029).</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August 12, 2025 and that vest and settle for underlying ordinary shares in accordance with the following schedule: 25% of the RSUs will vest and settle for underlying ordinary shares upon the one-year anniversary of the grant date, and an additional 6.25% of the RSUs will vest and settle on a quarterly basis over the following three years such that all RSUs reported in this row will be fully vested and settled on the four-year anniversary of that grant date (August 12, 2029).</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to purchase ordinary shares reported in this row fully vested and became exercisable prior to the date of this report.</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to purchase ordinary shares reported in this row fully vested and became exercisable prior to the date of this report.</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options to purchase ordinary shares reported in this row fully vested and became exercisable prior to the date of this report.</w:t>
      </w:r>
    </w:p>
    <w:p>
      <w:pPr>
        <w:spacing w:after="0" w:line="52" w:lineRule="exact"/>
        <w:rPr>
          <w:rFonts w:ascii="Times New Roman" w:cs="Times New Roman" w:eastAsia="Times New Roman" w:hAnsi="Times New Roman"/>
          <w:sz w:val="15"/>
          <w:szCs w:val="15"/>
          <w:color w:val="008000"/>
        </w:rPr>
      </w:pPr>
    </w:p>
    <w:p>
      <w:pPr>
        <w:ind w:left="20" w:right="260" w:firstLine="5"/>
        <w:spacing w:after="0" w:line="239"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August 11, 2022 and vest and become exercisable for underlying ordinary shares in accordance with the following schedule: 25% of the options vested upon the one-year anniversary of the grant date, and an additional 6.25% of the options vest on a quarterly basis over the following three years such that all options reported in this row will be fully vested and exercisable on the four-year anniversary of the grant date (August 11, 2026).</w:t>
      </w:r>
    </w:p>
    <w:p>
      <w:pPr>
        <w:spacing w:after="0" w:line="33" w:lineRule="exact"/>
        <w:rPr>
          <w:rFonts w:ascii="Times New Roman" w:cs="Times New Roman" w:eastAsia="Times New Roman" w:hAnsi="Times New Roman"/>
          <w:sz w:val="15"/>
          <w:szCs w:val="15"/>
          <w:color w:val="008000"/>
        </w:rPr>
      </w:pPr>
    </w:p>
    <w:p>
      <w:pPr>
        <w:ind w:left="20" w:right="260" w:firstLine="5"/>
        <w:spacing w:after="0" w:line="239" w:lineRule="auto"/>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December 29, 2022 and vest and become exercisable for underlying ordinary shares in accordance with the following schedule: 25% of the options vested upon the one-year anniversary of the grant date, and an additional 6.25% of the options vest on a quarterly basis over the following three years such that all options reported in this row will be fully vested and exercisable on the four-year anniversary of the grant date (December 29, 2026).</w:t>
      </w:r>
    </w:p>
    <w:p>
      <w:pPr>
        <w:spacing w:after="0" w:line="33" w:lineRule="exact"/>
        <w:rPr>
          <w:rFonts w:ascii="Times New Roman" w:cs="Times New Roman" w:eastAsia="Times New Roman" w:hAnsi="Times New Roman"/>
          <w:sz w:val="15"/>
          <w:szCs w:val="15"/>
          <w:color w:val="008000"/>
        </w:rPr>
      </w:pPr>
    </w:p>
    <w:p>
      <w:pPr>
        <w:ind w:left="20" w:right="260" w:firstLine="5"/>
        <w:spacing w:after="0" w:line="239"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August 12, 2023 and vest and become exercisable for underlying ordinary shares in accordance with the following schedule: 25% of the options vested upon the one-year anniversary of the grant date, and an additional 6.25% of the options vest on a quarterly basis over the following three years such that all options reported in this row will be fully vested and exercisable on the four-year anniversary of the grant date (August 12, 2027).</w:t>
      </w:r>
    </w:p>
    <w:p>
      <w:pPr>
        <w:spacing w:after="0" w:line="33" w:lineRule="exact"/>
        <w:rPr>
          <w:rFonts w:ascii="Times New Roman" w:cs="Times New Roman" w:eastAsia="Times New Roman" w:hAnsi="Times New Roman"/>
          <w:sz w:val="15"/>
          <w:szCs w:val="15"/>
          <w:color w:val="008000"/>
        </w:rPr>
      </w:pPr>
    </w:p>
    <w:p>
      <w:pPr>
        <w:ind w:left="20" w:right="260" w:firstLine="5"/>
        <w:spacing w:after="0" w:line="239"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August 12, 2024 and vest and become exercisable for underlying ordinary shares in accordance with the following schedule: 25% of the options vested upon the one-year anniversary of the grant date, and an additional 6.25% of the options vest on a quarterly basis over the following three years such that all options reported in this row will be fully vested and exercisable on the four-year anniversary of the grant date (August 12, 2028).</w:t>
      </w:r>
    </w:p>
    <w:p>
      <w:pPr>
        <w:spacing w:after="0" w:line="33" w:lineRule="exact"/>
        <w:rPr>
          <w:rFonts w:ascii="Times New Roman" w:cs="Times New Roman" w:eastAsia="Times New Roman" w:hAnsi="Times New Roman"/>
          <w:sz w:val="15"/>
          <w:szCs w:val="15"/>
          <w:color w:val="008000"/>
        </w:rPr>
      </w:pPr>
    </w:p>
    <w:p>
      <w:pPr>
        <w:ind w:left="20" w:right="100" w:firstLine="5"/>
        <w:spacing w:after="0" w:line="239"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to purchase ordinary shares reported in this row were granted by the Issuer to the Reporting Person on August 12, 2025 and vest and become exercisable for underlying ordinary shares in accordance with the following schedule: 25% of the options will vest upon the one-year anniversary of the grant date, and an additional 6.25% of the options will vest on a quarterly basis over the following three years such that all options reported in this row will be fully vested and exercisable on the four-year anniversary of the grant date (August 12, 2029).</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015"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Ronen Samuel</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90890"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2026-03-18T11:12:14Z</dcterms:created>
  <dcterms:modified xsi:type="dcterms:W3CDTF">2026-03-18T11:12:14Z</dcterms:modified>
</cp:coreProperties>
</file>