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94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9437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Mann Yaaqov</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ROSH-</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4809246</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HA'AYIN</w:t>
            </w:r>
          </w:p>
        </w:tc>
        <w:tc>
          <w:tcPr>
            <w:tcW w:w="7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40" w:type="dxa"/>
            <w:vAlign w:val="bottom"/>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25,680</w:t>
            </w:r>
          </w:p>
        </w:tc>
        <w:tc>
          <w:tcPr>
            <w:tcW w:w="41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41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4,120</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(2)</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9,559</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(3)</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7,621</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(4)</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96,774</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(5)</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7,752</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(6)</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9,445</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3240" w:type="dxa"/>
            <w:vAlign w:val="bottom"/>
            <w:tcBorders>
              <w:top w:val="single" w:sz="8" w:color="808080"/>
            </w:tcBorders>
            <w:shd w:val="clear" w:color="auto" w:fill="2C2C2C"/>
          </w:tcPr>
          <w:p>
            <w:pPr>
              <w:spacing w:after="0" w:line="20" w:lineRule="exact"/>
              <w:rPr>
                <w:sz w:val="1"/>
                <w:szCs w:val="1"/>
                <w:color w:val="auto"/>
              </w:rPr>
            </w:pPr>
          </w:p>
        </w:tc>
        <w:tc>
          <w:tcPr>
            <w:tcW w:w="4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08/08/2028</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20"/>
                <w:szCs w:val="20"/>
                <w:color w:val="0000FF"/>
              </w:rPr>
              <w:t>3,279</w:t>
            </w: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20"/>
                <w:szCs w:val="20"/>
                <w:color w:val="0000FF"/>
              </w:rPr>
              <w:t>18.8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01/31/2032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right"/>
              <w:ind w:right="19"/>
              <w:spacing w:after="0"/>
              <w:rPr>
                <w:sz w:val="20"/>
                <w:szCs w:val="20"/>
                <w:color w:val="auto"/>
              </w:rPr>
            </w:pPr>
            <w:r>
              <w:rPr>
                <w:rFonts w:ascii="Times New Roman" w:cs="Times New Roman" w:eastAsia="Times New Roman" w:hAnsi="Times New Roman"/>
                <w:sz w:val="20"/>
                <w:szCs w:val="20"/>
                <w:color w:val="0000FF"/>
              </w:rPr>
              <w:t>17,000</w:t>
            </w: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20"/>
                <w:szCs w:val="20"/>
                <w:color w:val="0000FF"/>
              </w:rPr>
              <w:t>105.06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August 10, 2022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(August 10, 2026).</w:t>
      </w:r>
    </w:p>
    <w:p>
      <w:pPr>
        <w:spacing w:after="0" w:line="33"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9, 2023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9, 2027).</w:t>
      </w:r>
    </w:p>
    <w:p>
      <w:pPr>
        <w:spacing w:after="0" w:line="33"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14,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14, 2028).</w:t>
      </w:r>
    </w:p>
    <w:p>
      <w:pPr>
        <w:spacing w:after="0" w:line="33"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July 11, 2024 and that vest and settle for underlying ordinary shares in accordance with the following schedule: 25% of the RSUs vested and settled for underlying ordinary shares upon the one-year anniversary of the grant date, and</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260"/>
        <w:spacing w:after="0" w:line="259" w:lineRule="auto"/>
        <w:rPr>
          <w:sz w:val="20"/>
          <w:szCs w:val="20"/>
          <w:color w:val="auto"/>
        </w:rPr>
      </w:pPr>
      <w:r>
        <w:rPr>
          <w:rFonts w:ascii="Times New Roman" w:cs="Times New Roman" w:eastAsia="Times New Roman" w:hAnsi="Times New Roman"/>
          <w:sz w:val="15"/>
          <w:szCs w:val="15"/>
          <w:color w:val="008000"/>
        </w:rPr>
        <w:t>an additional 6.25% of the RSUs vest and settle on a quarterly basis over the following three years such that all RSUs reported in this row will be fully vested and settled on the four-year anniversary of that grant date (July 11, 2028).</w:t>
      </w:r>
    </w:p>
    <w:p>
      <w:pPr>
        <w:spacing w:after="0" w:line="18" w:lineRule="exact"/>
        <w:rPr>
          <w:sz w:val="20"/>
          <w:szCs w:val="20"/>
          <w:color w:val="auto"/>
        </w:rPr>
      </w:pPr>
    </w:p>
    <w:p>
      <w:pPr>
        <w:ind w:right="60" w:firstLine="5"/>
        <w:spacing w:after="0" w:line="23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July 11,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(July 11, 2028).</w:t>
      </w:r>
    </w:p>
    <w:p>
      <w:pPr>
        <w:spacing w:after="0" w:line="33" w:lineRule="exact"/>
        <w:rPr>
          <w:rFonts w:ascii="Times New Roman" w:cs="Times New Roman" w:eastAsia="Times New Roman" w:hAnsi="Times New Roman"/>
          <w:sz w:val="15"/>
          <w:szCs w:val="15"/>
          <w:color w:val="008000"/>
        </w:rPr>
      </w:pPr>
    </w:p>
    <w:p>
      <w:pPr>
        <w:ind w:right="60" w:firstLine="5"/>
        <w:spacing w:after="0" w:line="23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13, 2025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13, 2029).</w:t>
      </w:r>
    </w:p>
    <w:p>
      <w:pPr>
        <w:spacing w:after="0" w:line="33"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are fully vested and became exercisable prior to the date of this report.</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are fully vested and became exercisable prior to the date of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Yaaqov Mann</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Yaaqov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25959"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2026-03-31T10:33:13Z</dcterms:created>
  <dcterms:modified xsi:type="dcterms:W3CDTF">2026-03-31T10:33:13Z</dcterms:modified>
</cp:coreProperties>
</file>