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200660</wp:posOffset>
            </wp:positionH>
            <wp:positionV relativeFrom="page">
              <wp:posOffset>149860</wp:posOffset>
            </wp:positionV>
            <wp:extent cx="7148195" cy="228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page">
              <wp:posOffset>200660</wp:posOffset>
            </wp:positionH>
            <wp:positionV relativeFrom="page">
              <wp:posOffset>179705</wp:posOffset>
            </wp:positionV>
            <wp:extent cx="714819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48195" cy="7620"/>
                    </a:xfrm>
                    <a:prstGeom prst="rect">
                      <a:avLst/>
                    </a:prstGeom>
                    <a:noFill/>
                  </pic:spPr>
                </pic:pic>
              </a:graphicData>
            </a:graphic>
          </wp:anchor>
        </w:drawing>
        <w:t>UNITED STATES</w:t>
      </w:r>
    </w:p>
    <w:p>
      <w:pPr>
        <w:spacing w:after="0" w:line="14" w:lineRule="exact"/>
        <w:rPr>
          <w:sz w:val="24"/>
          <w:szCs w:val="24"/>
          <w:color w:val="auto"/>
        </w:rPr>
      </w:pPr>
    </w:p>
    <w:p>
      <w:pPr>
        <w:jc w:val="center"/>
        <w:ind w:right="-1100"/>
        <w:spacing w:after="0"/>
        <w:rPr>
          <w:sz w:val="20"/>
          <w:szCs w:val="20"/>
          <w:color w:val="auto"/>
        </w:rPr>
      </w:pPr>
      <w:r>
        <w:rPr>
          <w:rFonts w:ascii="Arial" w:cs="Arial" w:eastAsia="Arial" w:hAnsi="Arial"/>
          <w:sz w:val="19"/>
          <w:szCs w:val="19"/>
          <w:b w:val="1"/>
          <w:bCs w:val="1"/>
          <w:color w:val="auto"/>
        </w:rPr>
        <w:t>SECURITIES AND EXCHANGE COMMISSION</w:t>
      </w:r>
    </w:p>
    <w:p>
      <w:pPr>
        <w:spacing w:after="0" w:line="1"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Washington, D.C. 20549</w:t>
      </w:r>
    </w:p>
    <w:p>
      <w:pPr>
        <w:spacing w:after="0" w:line="172" w:lineRule="exact"/>
        <w:rPr>
          <w:sz w:val="24"/>
          <w:szCs w:val="24"/>
          <w:color w:val="auto"/>
        </w:rPr>
      </w:pPr>
    </w:p>
    <w:p>
      <w:pPr>
        <w:jc w:val="center"/>
        <w:ind w:right="-1100"/>
        <w:spacing w:after="0"/>
        <w:rPr>
          <w:sz w:val="20"/>
          <w:szCs w:val="20"/>
          <w:color w:val="auto"/>
        </w:rPr>
      </w:pPr>
      <w:r>
        <w:rPr>
          <w:rFonts w:ascii="Arial" w:cs="Arial" w:eastAsia="Arial" w:hAnsi="Arial"/>
          <w:sz w:val="19"/>
          <w:szCs w:val="19"/>
          <w:b w:val="1"/>
          <w:bCs w:val="1"/>
          <w:color w:val="auto"/>
        </w:rPr>
        <w:t>FORM 6-K</w:t>
      </w:r>
    </w:p>
    <w:p>
      <w:pPr>
        <w:spacing w:after="0" w:line="196"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REPORT OF FOREIGN PRIVATE ISSUER</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PURSUANT TO RULE 13a-16 OR 15d-16 OF</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THE SECURITIES EXCHANGE ACT OF 1934</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 xml:space="preserve">For the month of </w:t>
      </w:r>
      <w:r>
        <w:rPr>
          <w:rFonts w:ascii="Arial" w:cs="Arial" w:eastAsia="Arial" w:hAnsi="Arial"/>
          <w:sz w:val="16"/>
          <w:szCs w:val="16"/>
          <w:b w:val="1"/>
          <w:bCs w:val="1"/>
          <w:color w:val="auto"/>
        </w:rPr>
        <w:t>May 2021</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001-36903</w:t>
      </w:r>
    </w:p>
    <w:p>
      <w:pPr>
        <w:spacing w:after="0" w:line="190" w:lineRule="exact"/>
        <w:rPr>
          <w:sz w:val="24"/>
          <w:szCs w:val="24"/>
          <w:color w:val="auto"/>
        </w:rPr>
      </w:pPr>
    </w:p>
    <w:p>
      <w:pPr>
        <w:jc w:val="center"/>
        <w:ind w:right="-1100"/>
        <w:spacing w:after="0"/>
        <w:rPr>
          <w:sz w:val="20"/>
          <w:szCs w:val="20"/>
          <w:color w:val="auto"/>
        </w:rPr>
      </w:pPr>
      <w:r>
        <w:rPr>
          <w:rFonts w:ascii="Arial" w:cs="Arial" w:eastAsia="Arial" w:hAnsi="Arial"/>
          <w:sz w:val="19"/>
          <w:szCs w:val="19"/>
          <w:b w:val="1"/>
          <w:bCs w:val="1"/>
          <w:color w:val="auto"/>
        </w:rPr>
        <w:t>KORNIT DIGITAL LTD.</w:t>
      </w:r>
    </w:p>
    <w:p>
      <w:pPr>
        <w:spacing w:after="0" w:line="23"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(Translation of Registrant’s name into English)</w:t>
      </w:r>
    </w:p>
    <w:p>
      <w:pPr>
        <w:spacing w:after="0" w:line="180"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12 Ha’Amal Street</w:t>
      </w:r>
    </w:p>
    <w:p>
      <w:pPr>
        <w:spacing w:after="0" w:line="24"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Park Afek</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Rosh Ha’Ayin 4824096 Israel</w:t>
      </w:r>
    </w:p>
    <w:p>
      <w:pPr>
        <w:spacing w:after="0" w:line="7" w:lineRule="exact"/>
        <w:rPr>
          <w:sz w:val="24"/>
          <w:szCs w:val="24"/>
          <w:color w:val="auto"/>
        </w:rPr>
      </w:pPr>
    </w:p>
    <w:p>
      <w:pPr>
        <w:jc w:val="center"/>
        <w:ind w:right="-1100"/>
        <w:spacing w:after="0"/>
        <w:rPr>
          <w:sz w:val="20"/>
          <w:szCs w:val="20"/>
          <w:color w:val="auto"/>
        </w:rPr>
      </w:pPr>
      <w:r>
        <w:rPr>
          <w:rFonts w:ascii="Arial" w:cs="Arial" w:eastAsia="Arial" w:hAnsi="Arial"/>
          <w:sz w:val="16"/>
          <w:szCs w:val="16"/>
          <w:color w:val="auto"/>
        </w:rPr>
        <w:t>(Address of Principal Executive Office)</w:t>
      </w:r>
    </w:p>
    <w:p>
      <w:pPr>
        <w:spacing w:after="0" w:line="186"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whether the registrant files or will file annual reports under cover of Form 20-F or Form 40-F.</w:t>
      </w:r>
    </w:p>
    <w:p>
      <w:pPr>
        <w:spacing w:after="0" w:line="180" w:lineRule="exact"/>
        <w:rPr>
          <w:sz w:val="24"/>
          <w:szCs w:val="24"/>
          <w:color w:val="auto"/>
        </w:rPr>
      </w:pPr>
    </w:p>
    <w:p>
      <w:pPr>
        <w:ind w:left="4700"/>
        <w:spacing w:after="0" w:line="184" w:lineRule="exact"/>
        <w:rPr>
          <w:sz w:val="20"/>
          <w:szCs w:val="20"/>
          <w:color w:val="auto"/>
        </w:rPr>
      </w:pPr>
      <w:r>
        <w:rPr>
          <w:rFonts w:ascii="Arial" w:cs="Arial" w:eastAsia="Arial" w:hAnsi="Arial"/>
          <w:sz w:val="16"/>
          <w:szCs w:val="16"/>
          <w:color w:val="auto"/>
        </w:rPr>
        <w:t xml:space="preserve">Form 20-F </w:t>
      </w:r>
      <w:r>
        <w:rPr>
          <w:rFonts w:ascii="MS PGothic" w:cs="MS PGothic" w:eastAsia="MS PGothic" w:hAnsi="MS PGothic"/>
          <w:sz w:val="16"/>
          <w:szCs w:val="16"/>
          <w:color w:val="auto"/>
        </w:rPr>
        <w:t>☒</w:t>
      </w:r>
      <w:r>
        <w:rPr>
          <w:rFonts w:ascii="Arial" w:cs="Arial" w:eastAsia="Arial" w:hAnsi="Arial"/>
          <w:sz w:val="16"/>
          <w:szCs w:val="16"/>
          <w:color w:val="auto"/>
        </w:rPr>
        <w:t xml:space="preserve"> Form 40-F </w:t>
      </w:r>
      <w:r>
        <w:rPr>
          <w:rFonts w:ascii="MS PGothic" w:cs="MS PGothic" w:eastAsia="MS PGothic" w:hAnsi="MS PGothic"/>
          <w:sz w:val="16"/>
          <w:szCs w:val="16"/>
          <w:color w:val="auto"/>
        </w:rPr>
        <w:t>☐</w:t>
      </w:r>
    </w:p>
    <w:p>
      <w:pPr>
        <w:spacing w:after="0" w:line="198"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101(b)(1): </w:t>
      </w:r>
      <w:r>
        <w:rPr>
          <w:rFonts w:ascii="MS PGothic" w:cs="MS PGothic" w:eastAsia="MS PGothic" w:hAnsi="MS PGothic"/>
          <w:sz w:val="14"/>
          <w:szCs w:val="14"/>
          <w:color w:val="auto"/>
        </w:rPr>
        <w:t>☐</w:t>
      </w:r>
    </w:p>
    <w:p>
      <w:pPr>
        <w:spacing w:after="0" w:line="22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Indicate by check mark if the registrant is submitting the Form 6-K in paper as permitted by Regulation S-T Rule 101(b)(7):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167640</wp:posOffset>
            </wp:positionV>
            <wp:extent cx="714819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48195" cy="762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182880</wp:posOffset>
            </wp:positionV>
            <wp:extent cx="7148195" cy="228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48195" cy="2286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584835</wp:posOffset>
            </wp:positionV>
            <wp:extent cx="7148195" cy="152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465" w:right="1440" w:bottom="1440" w:gutter="0" w:footer="0" w:header="0"/>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CONTENTS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Results of Operations and Financial Condition- First Quarter 2021</w:t>
      </w:r>
    </w:p>
    <w:p>
      <w:pPr>
        <w:spacing w:after="0" w:line="198" w:lineRule="exact"/>
        <w:rPr>
          <w:sz w:val="20"/>
          <w:szCs w:val="20"/>
          <w:color w:val="auto"/>
        </w:rPr>
      </w:pPr>
    </w:p>
    <w:p>
      <w:pPr>
        <w:jc w:val="both"/>
        <w:ind w:right="20" w:firstLine="565"/>
        <w:spacing w:after="0" w:line="280" w:lineRule="auto"/>
        <w:rPr>
          <w:sz w:val="20"/>
          <w:szCs w:val="20"/>
          <w:color w:val="auto"/>
        </w:rPr>
      </w:pPr>
      <w:r>
        <w:rPr>
          <w:rFonts w:ascii="Arial" w:cs="Arial" w:eastAsia="Arial" w:hAnsi="Arial"/>
          <w:sz w:val="16"/>
          <w:szCs w:val="16"/>
          <w:color w:val="auto"/>
        </w:rPr>
        <w:t>On May 11, 2021 Kornit Digital Ltd. (“</w:t>
      </w:r>
      <w:r>
        <w:rPr>
          <w:rFonts w:ascii="Arial" w:cs="Arial" w:eastAsia="Arial" w:hAnsi="Arial"/>
          <w:sz w:val="16"/>
          <w:szCs w:val="16"/>
          <w:b w:val="1"/>
          <w:bCs w:val="1"/>
          <w:color w:val="auto"/>
        </w:rPr>
        <w:t>Kornit</w:t>
      </w:r>
      <w:r>
        <w:rPr>
          <w:rFonts w:ascii="Arial" w:cs="Arial" w:eastAsia="Arial" w:hAnsi="Arial"/>
          <w:sz w:val="16"/>
          <w:szCs w:val="16"/>
          <w:color w:val="auto"/>
        </w:rPr>
        <w:t xml:space="preserve">”) issued a press release entitled “Kornit Digital Reports First Quarter Results,” in which Kornit reported its financial results for the first quarter ended March 31, 2021. A copy of that press release is furnished as </w:t>
      </w:r>
      <w:r>
        <w:rPr>
          <w:rFonts w:ascii="Arial" w:cs="Arial" w:eastAsia="Arial" w:hAnsi="Arial"/>
          <w:sz w:val="16"/>
          <w:szCs w:val="16"/>
          <w:u w:val="single" w:color="auto"/>
          <w:color w:val="auto"/>
        </w:rPr>
        <w:t>Exhibit 99.1</w:t>
      </w:r>
      <w:r>
        <w:rPr>
          <w:rFonts w:ascii="Arial" w:cs="Arial" w:eastAsia="Arial" w:hAnsi="Arial"/>
          <w:sz w:val="16"/>
          <w:szCs w:val="16"/>
          <w:color w:val="auto"/>
        </w:rPr>
        <w:t xml:space="preserve"> hereto.</w:t>
      </w:r>
    </w:p>
    <w:p>
      <w:pPr>
        <w:spacing w:after="0" w:line="148" w:lineRule="exact"/>
        <w:rPr>
          <w:sz w:val="20"/>
          <w:szCs w:val="20"/>
          <w:color w:val="auto"/>
        </w:rPr>
      </w:pPr>
    </w:p>
    <w:p>
      <w:pPr>
        <w:jc w:val="both"/>
        <w:ind w:firstLine="609"/>
        <w:spacing w:after="0" w:line="262" w:lineRule="auto"/>
        <w:rPr>
          <w:sz w:val="20"/>
          <w:szCs w:val="20"/>
          <w:color w:val="auto"/>
        </w:rPr>
      </w:pPr>
      <w:r>
        <w:rPr>
          <w:rFonts w:ascii="Arial" w:cs="Arial" w:eastAsia="Arial" w:hAnsi="Arial"/>
          <w:sz w:val="16"/>
          <w:szCs w:val="16"/>
          <w:color w:val="auto"/>
        </w:rPr>
        <w:t xml:space="preserve">In conjunction with the conference call being held on May 11, 2021 to discuss Kornit’s results for the first quarter ended March 31, 2021, Kornit also made available to its investors a slide presentation to provide additional information regarding its business and its financial results. That slide presentation is attached as </w:t>
      </w:r>
      <w:r>
        <w:rPr>
          <w:rFonts w:ascii="Arial" w:cs="Arial" w:eastAsia="Arial" w:hAnsi="Arial"/>
          <w:sz w:val="16"/>
          <w:szCs w:val="16"/>
          <w:u w:val="single" w:color="auto"/>
          <w:color w:val="auto"/>
        </w:rPr>
        <w:t>Exhibit 99.2</w:t>
      </w:r>
      <w:r>
        <w:rPr>
          <w:rFonts w:ascii="Arial" w:cs="Arial" w:eastAsia="Arial" w:hAnsi="Arial"/>
          <w:sz w:val="16"/>
          <w:szCs w:val="16"/>
          <w:color w:val="auto"/>
        </w:rPr>
        <w:t xml:space="preserve"> to this Report of Foreign Private Issuer on Form 6-K (this “</w:t>
      </w:r>
      <w:r>
        <w:rPr>
          <w:rFonts w:ascii="Arial" w:cs="Arial" w:eastAsia="Arial" w:hAnsi="Arial"/>
          <w:sz w:val="16"/>
          <w:szCs w:val="16"/>
          <w:b w:val="1"/>
          <w:bCs w:val="1"/>
          <w:color w:val="auto"/>
        </w:rPr>
        <w:t>Form 6-K</w:t>
      </w:r>
      <w:r>
        <w:rPr>
          <w:rFonts w:ascii="Arial" w:cs="Arial" w:eastAsia="Arial" w:hAnsi="Arial"/>
          <w:sz w:val="16"/>
          <w:szCs w:val="16"/>
          <w:color w:val="auto"/>
        </w:rPr>
        <w:t>”) and is incorporated herein by reference.</w:t>
      </w:r>
    </w:p>
    <w:p>
      <w:pPr>
        <w:spacing w:after="0" w:line="162" w:lineRule="exact"/>
        <w:rPr>
          <w:sz w:val="20"/>
          <w:szCs w:val="20"/>
          <w:color w:val="auto"/>
        </w:rPr>
      </w:pPr>
    </w:p>
    <w:p>
      <w:pPr>
        <w:jc w:val="both"/>
        <w:ind w:firstLine="565"/>
        <w:spacing w:after="0" w:line="287" w:lineRule="auto"/>
        <w:rPr>
          <w:rFonts w:ascii="Arial" w:cs="Arial" w:eastAsia="Arial" w:hAnsi="Arial"/>
          <w:sz w:val="15"/>
          <w:szCs w:val="15"/>
          <w:color w:val="auto"/>
        </w:rPr>
      </w:pPr>
      <w:r>
        <w:rPr>
          <w:rFonts w:ascii="Arial" w:cs="Arial" w:eastAsia="Arial" w:hAnsi="Arial"/>
          <w:sz w:val="15"/>
          <w:szCs w:val="15"/>
          <w:color w:val="auto"/>
        </w:rPr>
        <w:t xml:space="preserve">The U.S. GAAP financial information contained in the (i) consolidated balance sheets, (ii) consolidated statements of operations and (iii) consolidated statements of cash flows included in the press release attached as Exhibit 99.1 to this Form 6-K is hereby incorporated by reference into Kornit’s Registration Statements on </w:t>
      </w:r>
      <w:hyperlink r:id="rId13">
        <w:r>
          <w:rPr>
            <w:rFonts w:ascii="Arial" w:cs="Arial" w:eastAsia="Arial" w:hAnsi="Arial"/>
            <w:sz w:val="15"/>
            <w:szCs w:val="15"/>
            <w:u w:val="single" w:color="auto"/>
            <w:color w:val="0000EE"/>
          </w:rPr>
          <w:t>Form F-3</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(File No. 333-248784) and Form S-8 (File No.’s </w:t>
      </w:r>
      <w:hyperlink r:id="rId14">
        <w:r>
          <w:rPr>
            <w:rFonts w:ascii="Arial" w:cs="Arial" w:eastAsia="Arial" w:hAnsi="Arial"/>
            <w:sz w:val="15"/>
            <w:szCs w:val="15"/>
            <w:u w:val="single" w:color="auto"/>
            <w:color w:val="0000EE"/>
          </w:rPr>
          <w:t>333-203970</w:t>
        </w:r>
      </w:hyperlink>
      <w:r>
        <w:rPr>
          <w:rFonts w:ascii="Arial" w:cs="Arial" w:eastAsia="Arial" w:hAnsi="Arial"/>
          <w:sz w:val="15"/>
          <w:szCs w:val="15"/>
          <w:color w:val="auto"/>
        </w:rPr>
        <w:t xml:space="preserve">, </w:t>
      </w:r>
      <w:hyperlink r:id="rId15">
        <w:r>
          <w:rPr>
            <w:rFonts w:ascii="Arial" w:cs="Arial" w:eastAsia="Arial" w:hAnsi="Arial"/>
            <w:sz w:val="15"/>
            <w:szCs w:val="15"/>
            <w:u w:val="single" w:color="auto"/>
            <w:color w:val="0000EE"/>
          </w:rPr>
          <w:t>333-214015</w:t>
        </w:r>
      </w:hyperlink>
      <w:r>
        <w:rPr>
          <w:rFonts w:ascii="Arial" w:cs="Arial" w:eastAsia="Arial" w:hAnsi="Arial"/>
          <w:sz w:val="15"/>
          <w:szCs w:val="15"/>
          <w:color w:val="auto"/>
        </w:rPr>
        <w:t xml:space="preserve">, </w:t>
      </w:r>
      <w:hyperlink r:id="rId16">
        <w:r>
          <w:rPr>
            <w:rFonts w:ascii="Arial" w:cs="Arial" w:eastAsia="Arial" w:hAnsi="Arial"/>
            <w:sz w:val="15"/>
            <w:szCs w:val="15"/>
            <w:u w:val="single" w:color="auto"/>
            <w:color w:val="0000EE"/>
          </w:rPr>
          <w:t>333-217039</w:t>
        </w:r>
      </w:hyperlink>
      <w:r>
        <w:rPr>
          <w:rFonts w:ascii="Arial" w:cs="Arial" w:eastAsia="Arial" w:hAnsi="Arial"/>
          <w:sz w:val="15"/>
          <w:szCs w:val="15"/>
          <w:color w:val="auto"/>
        </w:rPr>
        <w:t xml:space="preserve">, </w:t>
      </w:r>
      <w:hyperlink r:id="rId17">
        <w:r>
          <w:rPr>
            <w:rFonts w:ascii="Arial" w:cs="Arial" w:eastAsia="Arial" w:hAnsi="Arial"/>
            <w:sz w:val="15"/>
            <w:szCs w:val="15"/>
            <w:u w:val="single" w:color="auto"/>
            <w:color w:val="0000EE"/>
          </w:rPr>
          <w:t>333-223794</w:t>
        </w:r>
      </w:hyperlink>
      <w:r>
        <w:rPr>
          <w:rFonts w:ascii="Arial" w:cs="Arial" w:eastAsia="Arial" w:hAnsi="Arial"/>
          <w:sz w:val="15"/>
          <w:szCs w:val="15"/>
          <w:color w:val="auto"/>
        </w:rPr>
        <w:t xml:space="preserve">, </w:t>
      </w:r>
      <w:hyperlink r:id="rId18">
        <w:r>
          <w:rPr>
            <w:rFonts w:ascii="Arial" w:cs="Arial" w:eastAsia="Arial" w:hAnsi="Arial"/>
            <w:sz w:val="15"/>
            <w:szCs w:val="15"/>
            <w:u w:val="single" w:color="auto"/>
            <w:color w:val="0000EE"/>
          </w:rPr>
          <w:t>333-230567</w:t>
        </w:r>
      </w:hyperlink>
      <w:r>
        <w:rPr>
          <w:rFonts w:ascii="Arial" w:cs="Arial" w:eastAsia="Arial" w:hAnsi="Arial"/>
          <w:sz w:val="15"/>
          <w:szCs w:val="15"/>
          <w:color w:val="auto"/>
        </w:rPr>
        <w:t xml:space="preserve">, </w:t>
      </w:r>
      <w:hyperlink r:id="rId19">
        <w:r>
          <w:rPr>
            <w:rFonts w:ascii="Arial" w:cs="Arial" w:eastAsia="Arial" w:hAnsi="Arial"/>
            <w:sz w:val="15"/>
            <w:szCs w:val="15"/>
            <w:u w:val="single" w:color="auto"/>
            <w:color w:val="0000EE"/>
          </w:rPr>
          <w:t>333-237346</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 xml:space="preserve">and </w:t>
      </w:r>
      <w:hyperlink r:id="rId20">
        <w:r>
          <w:rPr>
            <w:rFonts w:ascii="Arial" w:cs="Arial" w:eastAsia="Arial" w:hAnsi="Arial"/>
            <w:sz w:val="15"/>
            <w:szCs w:val="15"/>
            <w:u w:val="single" w:color="auto"/>
            <w:color w:val="0000EE"/>
          </w:rPr>
          <w:t>333-254749</w:t>
        </w:r>
      </w:hyperlink>
      <w:r>
        <w:rPr>
          <w:rFonts w:ascii="Arial" w:cs="Arial" w:eastAsia="Arial" w:hAnsi="Arial"/>
          <w:sz w:val="15"/>
          <w:szCs w:val="15"/>
          <w:color w:val="auto"/>
        </w:rPr>
        <w:t>).</w:t>
      </w:r>
    </w:p>
    <w:p>
      <w:pPr>
        <w:spacing w:after="0" w:line="331" w:lineRule="exact"/>
        <w:rPr>
          <w:rFonts w:ascii="Arial" w:cs="Arial" w:eastAsia="Arial" w:hAnsi="Arial"/>
          <w:sz w:val="15"/>
          <w:szCs w:val="15"/>
          <w:color w:val="auto"/>
        </w:rPr>
      </w:pPr>
    </w:p>
    <w:p>
      <w:pPr>
        <w:jc w:val="center"/>
        <w:spacing w:after="0"/>
        <w:rPr>
          <w:sz w:val="20"/>
          <w:szCs w:val="20"/>
          <w:color w:val="auto"/>
        </w:rPr>
      </w:pPr>
      <w:r>
        <w:rPr>
          <w:rFonts w:ascii="Arial" w:cs="Arial" w:eastAsia="Arial" w:hAnsi="Arial"/>
          <w:sz w:val="19"/>
          <w:szCs w:val="19"/>
          <w:color w:val="auto"/>
        </w:rPr>
        <w:t>1</w:t>
      </w:r>
    </w:p>
    <w:p>
      <w:pPr>
        <w:spacing w:after="0" w:line="20" w:lineRule="exact"/>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1">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2" w:name="page3"/>
    <w:bookmarkEnd w:id="2"/>
    <w:p>
      <w:pPr>
        <w:jc w:val="center"/>
        <w:spacing w:after="0"/>
        <w:rPr>
          <w:sz w:val="20"/>
          <w:szCs w:val="20"/>
          <w:color w:val="auto"/>
        </w:rPr>
      </w:pPr>
      <w:r>
        <w:rPr>
          <w:rFonts w:ascii="Arial" w:cs="Arial" w:eastAsia="Arial" w:hAnsi="Arial"/>
          <w:sz w:val="16"/>
          <w:szCs w:val="16"/>
          <w:b w:val="1"/>
          <w:bCs w:val="1"/>
          <w:color w:val="auto"/>
        </w:rPr>
        <w:t>SIGNATURES</w:t>
      </w:r>
    </w:p>
    <w:p>
      <w:pPr>
        <w:spacing w:after="0" w:line="202" w:lineRule="exact"/>
        <w:rPr>
          <w:sz w:val="20"/>
          <w:szCs w:val="20"/>
          <w:color w:val="auto"/>
        </w:rPr>
      </w:pPr>
    </w:p>
    <w:p>
      <w:pPr>
        <w:ind w:right="20" w:firstLine="565"/>
        <w:spacing w:after="0" w:line="275"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20" w:type="dxa"/>
            <w:vAlign w:val="bottom"/>
          </w:tcPr>
          <w:p>
            <w:pPr>
              <w:spacing w:after="0"/>
              <w:rPr>
                <w:sz w:val="20"/>
                <w:szCs w:val="20"/>
                <w:color w:val="auto"/>
              </w:rPr>
            </w:pPr>
            <w:r>
              <w:rPr>
                <w:rFonts w:ascii="Arial" w:cs="Arial" w:eastAsia="Arial" w:hAnsi="Arial"/>
                <w:sz w:val="16"/>
                <w:szCs w:val="16"/>
                <w:color w:val="auto"/>
              </w:rPr>
              <w:t>Date: May 11, 2021</w:t>
            </w:r>
          </w:p>
        </w:tc>
        <w:tc>
          <w:tcPr>
            <w:tcW w:w="7240" w:type="dxa"/>
            <w:vAlign w:val="bottom"/>
            <w:gridSpan w:val="2"/>
          </w:tcPr>
          <w:p>
            <w:pPr>
              <w:ind w:left="2740"/>
              <w:spacing w:after="0"/>
              <w:rPr>
                <w:sz w:val="20"/>
                <w:szCs w:val="20"/>
                <w:color w:val="auto"/>
              </w:rPr>
            </w:pPr>
            <w:r>
              <w:rPr>
                <w:rFonts w:ascii="Arial" w:cs="Arial" w:eastAsia="Arial" w:hAnsi="Arial"/>
                <w:sz w:val="16"/>
                <w:szCs w:val="16"/>
                <w:b w:val="1"/>
                <w:bCs w:val="1"/>
                <w:color w:val="auto"/>
              </w:rPr>
              <w:t>KORNIT DIGITAL LTD.</w:t>
            </w:r>
          </w:p>
        </w:tc>
      </w:tr>
      <w:tr>
        <w:trPr>
          <w:trHeight w:val="386"/>
        </w:trPr>
        <w:tc>
          <w:tcPr>
            <w:tcW w:w="4020" w:type="dxa"/>
            <w:vAlign w:val="bottom"/>
          </w:tcPr>
          <w:p>
            <w:pPr>
              <w:spacing w:after="0"/>
              <w:rPr>
                <w:sz w:val="24"/>
                <w:szCs w:val="24"/>
                <w:color w:val="auto"/>
              </w:rPr>
            </w:pPr>
          </w:p>
        </w:tc>
        <w:tc>
          <w:tcPr>
            <w:tcW w:w="3300" w:type="dxa"/>
            <w:vAlign w:val="bottom"/>
          </w:tcPr>
          <w:p>
            <w:pPr>
              <w:ind w:left="2740"/>
              <w:spacing w:after="0"/>
              <w:rPr>
                <w:sz w:val="20"/>
                <w:szCs w:val="20"/>
                <w:color w:val="auto"/>
              </w:rPr>
            </w:pPr>
            <w:r>
              <w:rPr>
                <w:rFonts w:ascii="Arial" w:cs="Arial" w:eastAsia="Arial" w:hAnsi="Arial"/>
                <w:sz w:val="16"/>
                <w:szCs w:val="16"/>
                <w:color w:val="auto"/>
              </w:rPr>
              <w:t>By:</w:t>
            </w:r>
          </w:p>
        </w:tc>
        <w:tc>
          <w:tcPr>
            <w:tcW w:w="394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Alon Rozner</w:t>
            </w:r>
          </w:p>
        </w:tc>
      </w:tr>
      <w:tr>
        <w:trPr>
          <w:trHeight w:val="179"/>
        </w:trPr>
        <w:tc>
          <w:tcPr>
            <w:tcW w:w="4020" w:type="dxa"/>
            <w:vAlign w:val="bottom"/>
          </w:tcPr>
          <w:p>
            <w:pPr>
              <w:spacing w:after="0"/>
              <w:rPr>
                <w:sz w:val="15"/>
                <w:szCs w:val="15"/>
                <w:color w:val="auto"/>
              </w:rPr>
            </w:pPr>
          </w:p>
        </w:tc>
        <w:tc>
          <w:tcPr>
            <w:tcW w:w="3300" w:type="dxa"/>
            <w:vAlign w:val="bottom"/>
          </w:tcPr>
          <w:p>
            <w:pPr>
              <w:ind w:left="2740"/>
              <w:spacing w:after="0" w:line="179" w:lineRule="exact"/>
              <w:rPr>
                <w:sz w:val="20"/>
                <w:szCs w:val="20"/>
                <w:color w:val="auto"/>
              </w:rPr>
            </w:pPr>
            <w:r>
              <w:rPr>
                <w:rFonts w:ascii="Arial" w:cs="Arial" w:eastAsia="Arial" w:hAnsi="Arial"/>
                <w:sz w:val="16"/>
                <w:szCs w:val="16"/>
                <w:color w:val="auto"/>
              </w:rPr>
              <w:t>Name:</w:t>
            </w:r>
          </w:p>
        </w:tc>
        <w:tc>
          <w:tcPr>
            <w:tcW w:w="3940" w:type="dxa"/>
            <w:vAlign w:val="bottom"/>
          </w:tcPr>
          <w:p>
            <w:pPr>
              <w:spacing w:after="0" w:line="179" w:lineRule="exact"/>
              <w:rPr>
                <w:sz w:val="20"/>
                <w:szCs w:val="20"/>
                <w:color w:val="auto"/>
              </w:rPr>
            </w:pPr>
            <w:r>
              <w:rPr>
                <w:rFonts w:ascii="Arial" w:cs="Arial" w:eastAsia="Arial" w:hAnsi="Arial"/>
                <w:sz w:val="16"/>
                <w:szCs w:val="16"/>
                <w:color w:val="auto"/>
              </w:rPr>
              <w:t>Alon Rozner</w:t>
            </w:r>
          </w:p>
        </w:tc>
      </w:tr>
      <w:tr>
        <w:trPr>
          <w:trHeight w:val="204"/>
        </w:trPr>
        <w:tc>
          <w:tcPr>
            <w:tcW w:w="4020" w:type="dxa"/>
            <w:vAlign w:val="bottom"/>
          </w:tcPr>
          <w:p>
            <w:pPr>
              <w:spacing w:after="0"/>
              <w:rPr>
                <w:sz w:val="17"/>
                <w:szCs w:val="17"/>
                <w:color w:val="auto"/>
              </w:rPr>
            </w:pPr>
          </w:p>
        </w:tc>
        <w:tc>
          <w:tcPr>
            <w:tcW w:w="3300" w:type="dxa"/>
            <w:vAlign w:val="bottom"/>
          </w:tcPr>
          <w:p>
            <w:pPr>
              <w:ind w:left="2740"/>
              <w:spacing w:after="0"/>
              <w:rPr>
                <w:sz w:val="20"/>
                <w:szCs w:val="20"/>
                <w:color w:val="auto"/>
              </w:rPr>
            </w:pPr>
            <w:r>
              <w:rPr>
                <w:rFonts w:ascii="Arial" w:cs="Arial" w:eastAsia="Arial" w:hAnsi="Arial"/>
                <w:sz w:val="16"/>
                <w:szCs w:val="16"/>
                <w:color w:val="auto"/>
              </w:rPr>
              <w:t>Title:</w:t>
            </w:r>
          </w:p>
        </w:tc>
        <w:tc>
          <w:tcPr>
            <w:tcW w:w="3940" w:type="dxa"/>
            <w:vAlign w:val="bottom"/>
          </w:tcPr>
          <w:p>
            <w:pPr>
              <w:spacing w:after="0"/>
              <w:rPr>
                <w:sz w:val="20"/>
                <w:szCs w:val="20"/>
                <w:color w:val="auto"/>
              </w:rPr>
            </w:pPr>
            <w:r>
              <w:rPr>
                <w:rFonts w:ascii="Arial" w:cs="Arial" w:eastAsia="Arial" w:hAnsi="Arial"/>
                <w:sz w:val="16"/>
                <w:szCs w:val="16"/>
                <w:color w:val="auto"/>
              </w:rPr>
              <w:t>Chief Financial Officer</w:t>
            </w:r>
          </w:p>
        </w:tc>
      </w:tr>
    </w:tbl>
    <w:p>
      <w:pPr>
        <w:spacing w:after="0" w:line="363" w:lineRule="exact"/>
        <w:rPr>
          <w:sz w:val="20"/>
          <w:szCs w:val="20"/>
          <w:color w:val="auto"/>
        </w:rPr>
      </w:pPr>
    </w:p>
    <w:p>
      <w:pPr>
        <w:jc w:val="center"/>
        <w:spacing w:after="0"/>
        <w:rPr>
          <w:sz w:val="20"/>
          <w:szCs w:val="20"/>
          <w:color w:val="auto"/>
        </w:rPr>
      </w:pPr>
      <w:r>
        <w:rPr>
          <w:rFonts w:ascii="Arial" w:cs="Arial" w:eastAsia="Arial" w:hAnsi="Arial"/>
          <w:sz w:val="19"/>
          <w:szCs w:val="19"/>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10160</wp:posOffset>
            </wp:positionV>
            <wp:extent cx="7148195" cy="152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8"/>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120" w:type="dxa"/>
            <w:vAlign w:val="bottom"/>
            <w:gridSpan w:val="3"/>
          </w:tcPr>
          <w:p>
            <w:pPr>
              <w:jc w:val="center"/>
              <w:ind w:right="1140"/>
              <w:spacing w:after="0"/>
              <w:rPr>
                <w:sz w:val="20"/>
                <w:szCs w:val="20"/>
                <w:color w:val="auto"/>
              </w:rPr>
            </w:pPr>
            <w:r>
              <w:rPr>
                <w:rFonts w:ascii="Arial" w:cs="Arial" w:eastAsia="Arial" w:hAnsi="Arial"/>
                <w:sz w:val="16"/>
                <w:szCs w:val="16"/>
                <w:b w:val="1"/>
                <w:bCs w:val="1"/>
                <w:color w:val="auto"/>
                <w:w w:val="94"/>
              </w:rPr>
              <w:t>Exhibit Index</w:t>
            </w:r>
          </w:p>
        </w:tc>
      </w:tr>
      <w:tr>
        <w:trPr>
          <w:trHeight w:val="398"/>
        </w:trPr>
        <w:tc>
          <w:tcPr>
            <w:tcW w:w="1020" w:type="dxa"/>
            <w:vAlign w:val="bottom"/>
          </w:tcPr>
          <w:p>
            <w:pPr>
              <w:spacing w:after="0"/>
              <w:rPr>
                <w:sz w:val="20"/>
                <w:szCs w:val="20"/>
                <w:color w:val="auto"/>
              </w:rPr>
            </w:pPr>
            <w:r>
              <w:rPr>
                <w:rFonts w:ascii="Arial" w:cs="Arial" w:eastAsia="Arial" w:hAnsi="Arial"/>
                <w:sz w:val="16"/>
                <w:szCs w:val="16"/>
                <w:b w:val="1"/>
                <w:bCs w:val="1"/>
                <w:color w:val="auto"/>
              </w:rPr>
              <w:t>Exhibit No.</w:t>
            </w:r>
          </w:p>
        </w:tc>
        <w:tc>
          <w:tcPr>
            <w:tcW w:w="10240" w:type="dxa"/>
            <w:vAlign w:val="bottom"/>
            <w:gridSpan w:val="4"/>
          </w:tcPr>
          <w:p>
            <w:pPr>
              <w:ind w:left="120"/>
              <w:spacing w:after="0"/>
              <w:rPr>
                <w:sz w:val="20"/>
                <w:szCs w:val="20"/>
                <w:color w:val="auto"/>
              </w:rPr>
            </w:pPr>
            <w:r>
              <w:rPr>
                <w:rFonts w:ascii="Arial" w:cs="Arial" w:eastAsia="Arial" w:hAnsi="Arial"/>
                <w:sz w:val="16"/>
                <w:szCs w:val="16"/>
                <w:b w:val="1"/>
                <w:bCs w:val="1"/>
                <w:color w:val="auto"/>
              </w:rPr>
              <w:t>Description</w:t>
            </w:r>
          </w:p>
        </w:tc>
      </w:tr>
      <w:tr>
        <w:trPr>
          <w:trHeight w:val="171"/>
        </w:trPr>
        <w:tc>
          <w:tcPr>
            <w:tcW w:w="1020" w:type="dxa"/>
            <w:vAlign w:val="bottom"/>
            <w:tcBorders>
              <w:top w:val="single" w:sz="8" w:color="auto"/>
            </w:tcBorders>
            <w:shd w:val="clear" w:color="auto" w:fill="CCEEFF"/>
          </w:tcPr>
          <w:p>
            <w:pPr>
              <w:spacing w:after="0" w:line="155" w:lineRule="exact"/>
              <w:rPr>
                <w:sz w:val="20"/>
                <w:szCs w:val="20"/>
                <w:color w:val="auto"/>
              </w:rPr>
            </w:pPr>
            <w:r>
              <w:rPr>
                <w:rFonts w:ascii="Arial" w:cs="Arial" w:eastAsia="Arial" w:hAnsi="Arial"/>
                <w:sz w:val="16"/>
                <w:szCs w:val="16"/>
                <w:color w:val="auto"/>
              </w:rPr>
              <w:t>99.1</w:t>
            </w:r>
          </w:p>
        </w:tc>
        <w:tc>
          <w:tcPr>
            <w:tcW w:w="120" w:type="dxa"/>
            <w:vAlign w:val="bottom"/>
            <w:tcBorders>
              <w:top w:val="single" w:sz="8" w:color="CCEEFF"/>
            </w:tcBorders>
            <w:shd w:val="clear" w:color="auto" w:fill="CCEEFF"/>
          </w:tcPr>
          <w:p>
            <w:pPr>
              <w:spacing w:after="0"/>
              <w:rPr>
                <w:sz w:val="14"/>
                <w:szCs w:val="14"/>
                <w:color w:val="auto"/>
              </w:rPr>
            </w:pPr>
          </w:p>
        </w:tc>
        <w:tc>
          <w:tcPr>
            <w:tcW w:w="10120" w:type="dxa"/>
            <w:vAlign w:val="bottom"/>
            <w:tcBorders>
              <w:top w:val="single" w:sz="8" w:color="auto"/>
            </w:tcBorders>
            <w:gridSpan w:val="3"/>
            <w:shd w:val="clear" w:color="auto" w:fill="CCEEFF"/>
          </w:tcPr>
          <w:p>
            <w:pPr>
              <w:spacing w:after="0" w:line="155" w:lineRule="exact"/>
              <w:rPr>
                <w:rFonts w:ascii="Arial" w:cs="Arial" w:eastAsia="Arial" w:hAnsi="Arial"/>
                <w:sz w:val="16"/>
                <w:szCs w:val="16"/>
                <w:color w:val="0000EE"/>
              </w:rPr>
            </w:pPr>
            <w:hyperlink w:anchor="page5">
              <w:r>
                <w:rPr>
                  <w:rFonts w:ascii="Arial" w:cs="Arial" w:eastAsia="Arial" w:hAnsi="Arial"/>
                  <w:sz w:val="16"/>
                  <w:szCs w:val="16"/>
                  <w:color w:val="0000EE"/>
                </w:rPr>
                <w:t>Press release, dated May 11, 2021, titled “Kornit Digital Reports First Quarter 2021 Results”</w:t>
              </w:r>
            </w:hyperlink>
          </w:p>
        </w:tc>
      </w:tr>
      <w:tr>
        <w:trPr>
          <w:trHeight w:val="191"/>
        </w:trPr>
        <w:tc>
          <w:tcPr>
            <w:tcW w:w="102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4440" w:type="dxa"/>
            <w:vAlign w:val="bottom"/>
            <w:tcBorders>
              <w:top w:val="single" w:sz="8" w:color="0000EE"/>
            </w:tcBorders>
          </w:tcPr>
          <w:p>
            <w:pPr>
              <w:spacing w:after="0"/>
              <w:rPr>
                <w:sz w:val="16"/>
                <w:szCs w:val="16"/>
                <w:color w:val="auto"/>
              </w:rPr>
            </w:pPr>
          </w:p>
        </w:tc>
        <w:tc>
          <w:tcPr>
            <w:tcW w:w="1460" w:type="dxa"/>
            <w:vAlign w:val="bottom"/>
            <w:tcBorders>
              <w:top w:val="single" w:sz="8" w:color="0000EE"/>
            </w:tcBorders>
          </w:tcPr>
          <w:p>
            <w:pPr>
              <w:spacing w:after="0"/>
              <w:rPr>
                <w:sz w:val="16"/>
                <w:szCs w:val="16"/>
                <w:color w:val="auto"/>
              </w:rPr>
            </w:pPr>
          </w:p>
        </w:tc>
        <w:tc>
          <w:tcPr>
            <w:tcW w:w="4220" w:type="dxa"/>
            <w:vAlign w:val="bottom"/>
            <w:tcBorders>
              <w:top w:val="single" w:sz="8" w:color="CCEEFF"/>
            </w:tcBorders>
          </w:tcPr>
          <w:p>
            <w:pPr>
              <w:spacing w:after="0"/>
              <w:rPr>
                <w:sz w:val="16"/>
                <w:szCs w:val="16"/>
                <w:color w:val="auto"/>
              </w:rPr>
            </w:pPr>
          </w:p>
        </w:tc>
      </w:tr>
      <w:tr>
        <w:trPr>
          <w:trHeight w:val="171"/>
        </w:trPr>
        <w:tc>
          <w:tcPr>
            <w:tcW w:w="1020" w:type="dxa"/>
            <w:vAlign w:val="bottom"/>
            <w:shd w:val="clear" w:color="auto" w:fill="CCEEFF"/>
          </w:tcPr>
          <w:p>
            <w:pPr>
              <w:spacing w:after="0" w:line="155" w:lineRule="exact"/>
              <w:rPr>
                <w:sz w:val="20"/>
                <w:szCs w:val="20"/>
                <w:color w:val="auto"/>
              </w:rPr>
            </w:pPr>
            <w:r>
              <w:rPr>
                <w:rFonts w:ascii="Arial" w:cs="Arial" w:eastAsia="Arial" w:hAnsi="Arial"/>
                <w:sz w:val="16"/>
                <w:szCs w:val="16"/>
                <w:color w:val="auto"/>
              </w:rPr>
              <w:t>99.2</w:t>
            </w:r>
          </w:p>
        </w:tc>
        <w:tc>
          <w:tcPr>
            <w:tcW w:w="10240" w:type="dxa"/>
            <w:vAlign w:val="bottom"/>
            <w:gridSpan w:val="4"/>
            <w:shd w:val="clear" w:color="auto" w:fill="CCEEFF"/>
          </w:tcPr>
          <w:p>
            <w:pPr>
              <w:ind w:left="120"/>
              <w:spacing w:after="0" w:line="155" w:lineRule="exact"/>
              <w:rPr>
                <w:rFonts w:ascii="Arial" w:cs="Arial" w:eastAsia="Arial" w:hAnsi="Arial"/>
                <w:sz w:val="16"/>
                <w:szCs w:val="16"/>
                <w:color w:val="0000EE"/>
              </w:rPr>
            </w:pPr>
            <w:hyperlink w:anchor="page14">
              <w:r>
                <w:rPr>
                  <w:rFonts w:ascii="Arial" w:cs="Arial" w:eastAsia="Arial" w:hAnsi="Arial"/>
                  <w:sz w:val="16"/>
                  <w:szCs w:val="16"/>
                  <w:color w:val="0000EE"/>
                </w:rPr>
                <w:t>Slide presentation for conference call of Kornit held on May 11, 2021</w:t>
              </w:r>
            </w:hyperlink>
          </w:p>
        </w:tc>
      </w:tr>
      <w:tr>
        <w:trPr>
          <w:trHeight w:val="577"/>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4440" w:type="dxa"/>
            <w:vAlign w:val="bottom"/>
            <w:tcBorders>
              <w:top w:val="single" w:sz="8" w:color="0000EE"/>
              <w:bottom w:val="single" w:sz="8" w:color="auto"/>
            </w:tcBorders>
          </w:tcPr>
          <w:p>
            <w:pPr>
              <w:spacing w:after="0"/>
              <w:rPr>
                <w:sz w:val="24"/>
                <w:szCs w:val="24"/>
                <w:color w:val="auto"/>
              </w:rPr>
            </w:pPr>
          </w:p>
        </w:tc>
        <w:tc>
          <w:tcPr>
            <w:tcW w:w="1460" w:type="dxa"/>
            <w:vAlign w:val="bottom"/>
            <w:tcBorders>
              <w:top w:val="single" w:sz="8" w:color="CCEEFF"/>
              <w:bottom w:val="single" w:sz="8" w:color="auto"/>
            </w:tcBorders>
          </w:tcPr>
          <w:p>
            <w:pPr>
              <w:jc w:val="right"/>
              <w:ind w:right="1306"/>
              <w:spacing w:after="0"/>
              <w:rPr>
                <w:sz w:val="20"/>
                <w:szCs w:val="20"/>
                <w:color w:val="auto"/>
              </w:rPr>
            </w:pPr>
            <w:r>
              <w:rPr>
                <w:rFonts w:ascii="Arial" w:cs="Arial" w:eastAsia="Arial" w:hAnsi="Arial"/>
                <w:sz w:val="15"/>
                <w:szCs w:val="15"/>
                <w:color w:val="auto"/>
                <w:w w:val="71"/>
              </w:rPr>
              <w:t>3</w:t>
            </w:r>
          </w:p>
        </w:tc>
        <w:tc>
          <w:tcPr>
            <w:tcW w:w="42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60"/>
          </w:cols>
          <w:pgMar w:left="320" w:top="816" w:right="319" w:bottom="1440" w:gutter="0" w:footer="0" w:header="0"/>
        </w:sectPr>
      </w:pPr>
    </w:p>
    <w:bookmarkStart w:id="4" w:name="page5"/>
    <w:bookmarkEnd w:id="4"/>
    <w:p>
      <w:pPr>
        <w:jc w:val="right"/>
        <w:spacing w:after="0"/>
        <w:rPr>
          <w:sz w:val="20"/>
          <w:szCs w:val="20"/>
          <w:color w:val="auto"/>
        </w:rPr>
      </w:pPr>
      <w:r>
        <w:rPr>
          <w:rFonts w:ascii="Arial" w:cs="Arial" w:eastAsia="Arial" w:hAnsi="Arial"/>
          <w:sz w:val="16"/>
          <w:szCs w:val="16"/>
          <w:b w:val="1"/>
          <w:bCs w:val="1"/>
          <w:color w:val="auto"/>
        </w:rPr>
        <w:t>Exhibit 99.1</w:t>
      </w:r>
    </w:p>
    <w:p>
      <w:pPr>
        <w:spacing w:after="0" w:line="19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Investor Contact:</w:t>
      </w:r>
    </w:p>
    <w:p>
      <w:pPr>
        <w:spacing w:after="0" w:line="24" w:lineRule="exact"/>
        <w:rPr>
          <w:sz w:val="20"/>
          <w:szCs w:val="20"/>
          <w:color w:val="auto"/>
        </w:rPr>
      </w:pPr>
    </w:p>
    <w:p>
      <w:pPr>
        <w:ind w:left="4"/>
        <w:spacing w:after="0"/>
        <w:rPr>
          <w:sz w:val="20"/>
          <w:szCs w:val="20"/>
          <w:color w:val="auto"/>
        </w:rPr>
      </w:pPr>
      <w:r>
        <w:rPr>
          <w:rFonts w:ascii="Arial" w:cs="Arial" w:eastAsia="Arial" w:hAnsi="Arial"/>
          <w:sz w:val="16"/>
          <w:szCs w:val="16"/>
          <w:color w:val="auto"/>
        </w:rPr>
        <w:t>Monica Gould</w:t>
      </w:r>
    </w:p>
    <w:p>
      <w:pPr>
        <w:spacing w:after="0" w:line="7"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 Blueshirt Group</w:t>
      </w:r>
    </w:p>
    <w:p>
      <w:pPr>
        <w:spacing w:after="0" w:line="7" w:lineRule="exact"/>
        <w:rPr>
          <w:sz w:val="20"/>
          <w:szCs w:val="20"/>
          <w:color w:val="auto"/>
        </w:rPr>
      </w:pPr>
    </w:p>
    <w:p>
      <w:pPr>
        <w:ind w:left="4" w:right="9380" w:hanging="4"/>
        <w:spacing w:after="0" w:line="330" w:lineRule="auto"/>
        <w:tabs>
          <w:tab w:leader="none" w:pos="389" w:val="left"/>
        </w:tabs>
        <w:numPr>
          <w:ilvl w:val="0"/>
          <w:numId w:val="1"/>
        </w:numPr>
        <w:rPr>
          <w:rFonts w:ascii="Arial" w:cs="Arial" w:eastAsia="Arial" w:hAnsi="Arial"/>
          <w:sz w:val="14"/>
          <w:szCs w:val="14"/>
          <w:color w:val="auto"/>
        </w:rPr>
      </w:pPr>
      <w:r>
        <w:rPr>
          <w:rFonts w:ascii="Arial" w:cs="Arial" w:eastAsia="Arial" w:hAnsi="Arial"/>
          <w:sz w:val="14"/>
          <w:szCs w:val="14"/>
          <w:color w:val="auto"/>
        </w:rPr>
        <w:t>871-3927 Monica@blueshirtgroup.com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83185</wp:posOffset>
            </wp:positionV>
            <wp:extent cx="1069975" cy="64516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3">
                      <a:extLst>
                        <a:ext uri="{28A0092B-C50C-407E-A947-70E740481C1C}"/>
                      </a:extLst>
                    </a:blip>
                    <a:srcRect/>
                    <a:stretch>
                      <a:fillRect/>
                    </a:stretch>
                  </pic:blipFill>
                  <pic:spPr bwMode="auto">
                    <a:xfrm>
                      <a:off x="0" y="0"/>
                      <a:ext cx="1069975" cy="6451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Kornit Digital Reports First Quarter 2021 Results</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Revenue Increased 152% Year-Over-Year</w:t>
      </w:r>
    </w:p>
    <w:p>
      <w:pPr>
        <w:spacing w:after="0" w:line="198"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Record Shipments of Mass Production Systems</w:t>
      </w:r>
    </w:p>
    <w:p>
      <w:pPr>
        <w:spacing w:after="0" w:line="202" w:lineRule="exact"/>
        <w:rPr>
          <w:sz w:val="20"/>
          <w:szCs w:val="20"/>
          <w:color w:val="auto"/>
        </w:rPr>
      </w:pPr>
    </w:p>
    <w:p>
      <w:pPr>
        <w:ind w:left="284" w:hanging="284"/>
        <w:spacing w:after="0"/>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First quarter revenue grew 152% year-over-year to $66.1 million, net of non-cash warrants impact of $3.1 million</w:t>
      </w:r>
    </w:p>
    <w:p>
      <w:pPr>
        <w:spacing w:after="0" w:line="198" w:lineRule="exact"/>
        <w:rPr>
          <w:rFonts w:ascii="Arial" w:cs="Arial" w:eastAsia="Arial" w:hAnsi="Arial"/>
          <w:sz w:val="16"/>
          <w:szCs w:val="16"/>
          <w:color w:val="auto"/>
        </w:rPr>
      </w:pPr>
    </w:p>
    <w:p>
      <w:pPr>
        <w:ind w:left="284" w:right="20" w:hanging="284"/>
        <w:spacing w:after="0" w:line="275" w:lineRule="auto"/>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First quarter GAAP operating profit of $3.1 million; non-GAAP operating profit of $6.5 million, in each case net of $3.1 million attributed to the non-cash impact of warrants</w:t>
      </w:r>
    </w:p>
    <w:p>
      <w:pPr>
        <w:spacing w:after="0" w:line="151" w:lineRule="exact"/>
        <w:rPr>
          <w:rFonts w:ascii="Arial" w:cs="Arial" w:eastAsia="Arial" w:hAnsi="Arial"/>
          <w:sz w:val="16"/>
          <w:szCs w:val="16"/>
          <w:color w:val="auto"/>
        </w:rPr>
      </w:pPr>
    </w:p>
    <w:p>
      <w:pPr>
        <w:ind w:left="284" w:hanging="284"/>
        <w:spacing w:after="0"/>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Revenue growth and profitability significantly exceeded expectations</w:t>
      </w:r>
    </w:p>
    <w:p>
      <w:pPr>
        <w:spacing w:after="0" w:line="198" w:lineRule="exact"/>
        <w:rPr>
          <w:rFonts w:ascii="Arial" w:cs="Arial" w:eastAsia="Arial" w:hAnsi="Arial"/>
          <w:sz w:val="16"/>
          <w:szCs w:val="16"/>
          <w:color w:val="auto"/>
        </w:rPr>
      </w:pPr>
    </w:p>
    <w:p>
      <w:pPr>
        <w:ind w:left="284" w:hanging="284"/>
        <w:spacing w:after="0"/>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Executing on major global expansion projects with strategic customers</w:t>
      </w:r>
    </w:p>
    <w:p>
      <w:pPr>
        <w:spacing w:after="0" w:line="198" w:lineRule="exact"/>
        <w:rPr>
          <w:rFonts w:ascii="Arial" w:cs="Arial" w:eastAsia="Arial" w:hAnsi="Arial"/>
          <w:sz w:val="16"/>
          <w:szCs w:val="16"/>
          <w:color w:val="auto"/>
        </w:rPr>
      </w:pPr>
    </w:p>
    <w:p>
      <w:pPr>
        <w:ind w:left="284" w:hanging="284"/>
        <w:spacing w:after="0"/>
        <w:tabs>
          <w:tab w:leader="none" w:pos="284" w:val="left"/>
        </w:tabs>
        <w:numPr>
          <w:ilvl w:val="0"/>
          <w:numId w:val="2"/>
        </w:numPr>
        <w:rPr>
          <w:rFonts w:ascii="Arial" w:cs="Arial" w:eastAsia="Arial" w:hAnsi="Arial"/>
          <w:sz w:val="16"/>
          <w:szCs w:val="16"/>
          <w:color w:val="auto"/>
        </w:rPr>
      </w:pPr>
      <w:r>
        <w:rPr>
          <w:rFonts w:ascii="Arial" w:cs="Arial" w:eastAsia="Arial" w:hAnsi="Arial"/>
          <w:sz w:val="16"/>
          <w:szCs w:val="16"/>
          <w:color w:val="auto"/>
        </w:rPr>
        <w:t>Introduction of breakthrough MAX technology and ATLAS MAX establishes new standard for sustainable on-demand textile production</w:t>
      </w:r>
    </w:p>
    <w:p>
      <w:pPr>
        <w:spacing w:after="0" w:line="194" w:lineRule="exact"/>
        <w:rPr>
          <w:sz w:val="20"/>
          <w:szCs w:val="20"/>
          <w:color w:val="auto"/>
        </w:rPr>
      </w:pPr>
    </w:p>
    <w:p>
      <w:pPr>
        <w:jc w:val="both"/>
        <w:ind w:left="4" w:right="20"/>
        <w:spacing w:after="0" w:line="280" w:lineRule="auto"/>
        <w:rPr>
          <w:sz w:val="20"/>
          <w:szCs w:val="20"/>
          <w:color w:val="auto"/>
        </w:rPr>
      </w:pPr>
      <w:r>
        <w:rPr>
          <w:rFonts w:ascii="Arial" w:cs="Arial" w:eastAsia="Arial" w:hAnsi="Arial"/>
          <w:sz w:val="16"/>
          <w:szCs w:val="16"/>
          <w:b w:val="1"/>
          <w:bCs w:val="1"/>
          <w:color w:val="auto"/>
        </w:rPr>
        <w:t xml:space="preserve">Rosh-Ha’Ayin, Israel – May 11, 2021 – </w:t>
      </w:r>
      <w:r>
        <w:rPr>
          <w:rFonts w:ascii="Arial" w:cs="Arial" w:eastAsia="Arial" w:hAnsi="Arial"/>
          <w:sz w:val="16"/>
          <w:szCs w:val="16"/>
          <w:color w:val="auto"/>
        </w:rPr>
        <w:t>Kornit Digital Ltd. (NASDAQ: KRNT), a worldwide market leader in digital textile printing technology, today reported results for the</w:t>
      </w:r>
      <w:r>
        <w:rPr>
          <w:rFonts w:ascii="Arial" w:cs="Arial" w:eastAsia="Arial" w:hAnsi="Arial"/>
          <w:sz w:val="16"/>
          <w:szCs w:val="16"/>
          <w:b w:val="1"/>
          <w:bCs w:val="1"/>
          <w:color w:val="auto"/>
        </w:rPr>
        <w:t xml:space="preserve"> </w:t>
      </w:r>
      <w:r>
        <w:rPr>
          <w:rFonts w:ascii="Arial" w:cs="Arial" w:eastAsia="Arial" w:hAnsi="Arial"/>
          <w:sz w:val="16"/>
          <w:szCs w:val="16"/>
          <w:color w:val="auto"/>
        </w:rPr>
        <w:t>first quarter ended March 31, 2021.</w:t>
      </w:r>
    </w:p>
    <w:p>
      <w:pPr>
        <w:spacing w:after="0" w:line="148" w:lineRule="exact"/>
        <w:rPr>
          <w:sz w:val="20"/>
          <w:szCs w:val="20"/>
          <w:color w:val="auto"/>
        </w:rPr>
      </w:pPr>
    </w:p>
    <w:p>
      <w:pPr>
        <w:jc w:val="both"/>
        <w:ind w:left="4"/>
        <w:spacing w:after="0" w:line="258" w:lineRule="auto"/>
        <w:rPr>
          <w:sz w:val="20"/>
          <w:szCs w:val="20"/>
          <w:color w:val="auto"/>
        </w:rPr>
      </w:pPr>
      <w:r>
        <w:rPr>
          <w:rFonts w:ascii="Arial" w:cs="Arial" w:eastAsia="Arial" w:hAnsi="Arial"/>
          <w:sz w:val="16"/>
          <w:szCs w:val="16"/>
          <w:color w:val="auto"/>
        </w:rPr>
        <w:t>“We are excited to share a strong start to the year and outstanding first quarter results. We significantly exceeded our expectations for revenue and profitability, and our outlook for the year is very strong,” said Ronen Samuel, Kornit Digital’s Chief Executive Officer. “As the world moves into the post-pandemic era, the textile industry is in desperate need to accelerate its mass adoption of digital, sustainable, on-demand production. The business opportunity ahead of us is enormous and we are laser focused on introducing continued innovation and scaling our business on all fronts.”</w:t>
      </w:r>
    </w:p>
    <w:p>
      <w:pPr>
        <w:spacing w:after="0" w:line="165" w:lineRule="exact"/>
        <w:rPr>
          <w:sz w:val="20"/>
          <w:szCs w:val="20"/>
          <w:color w:val="auto"/>
        </w:rPr>
      </w:pPr>
    </w:p>
    <w:p>
      <w:pPr>
        <w:jc w:val="both"/>
        <w:ind w:left="4"/>
        <w:spacing w:after="0" w:line="254" w:lineRule="auto"/>
        <w:rPr>
          <w:sz w:val="20"/>
          <w:szCs w:val="20"/>
          <w:color w:val="auto"/>
        </w:rPr>
      </w:pPr>
      <w:r>
        <w:rPr>
          <w:rFonts w:ascii="Arial" w:cs="Arial" w:eastAsia="Arial" w:hAnsi="Arial"/>
          <w:sz w:val="16"/>
          <w:szCs w:val="16"/>
          <w:color w:val="auto"/>
        </w:rPr>
        <w:t>Mr. Samuel continued, “during the second half of last year we discussed engagements on major global expansion projects with multiple strategic accounts, which we are now rolling out and we continue to build Kornit’s brand recognition in the heart of the fashion and home décor industries. The launch of our Max technology establishes a new standard for on-demand fashion and apparel production and significantly expands our addressable market into lucrative new segments. Our first product release, the ATLAS MAX, is just the beginning of revolutionary future new products coming from the MAX line, which will unlock additional huge market segments. Kornit is in a remarkable position and I am more confident than ever in our value proposition, our leadership position, and our dedicated people as we take another step on our path to become a $500 million revenue run rate business ahead of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374015</wp:posOffset>
            </wp:positionV>
            <wp:extent cx="7148195" cy="152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4">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4"/>
          </w:cols>
          <w:pgMar w:left="316" w:top="123" w:right="319" w:bottom="1440" w:gutter="0" w:footer="0" w:header="0"/>
        </w:sectPr>
      </w:pPr>
    </w:p>
    <w:bookmarkStart w:id="5" w:name="page6"/>
    <w:bookmarkEnd w:id="5"/>
    <w:p>
      <w:pPr>
        <w:spacing w:after="0" w:line="275" w:lineRule="auto"/>
        <w:rPr>
          <w:sz w:val="20"/>
          <w:szCs w:val="20"/>
          <w:color w:val="auto"/>
        </w:rPr>
      </w:pPr>
      <w:r>
        <w:rPr>
          <w:rFonts w:ascii="Arial" w:cs="Arial" w:eastAsia="Arial" w:hAnsi="Arial"/>
          <w:sz w:val="16"/>
          <w:szCs w:val="16"/>
          <w:color w:val="auto"/>
        </w:rPr>
        <w:t>The following table compares the adverse, non-cash impact that the Company’s outstanding warrants had on the Company’s results of operations during the first quarters of 2021 and 2020, respectively: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3540" w:type="dxa"/>
            <w:vAlign w:val="bottom"/>
          </w:tcPr>
          <w:p>
            <w:pPr>
              <w:spacing w:after="0"/>
              <w:rPr>
                <w:sz w:val="18"/>
                <w:szCs w:val="18"/>
                <w:color w:val="auto"/>
              </w:rPr>
            </w:pPr>
          </w:p>
        </w:tc>
        <w:tc>
          <w:tcPr>
            <w:tcW w:w="3500" w:type="dxa"/>
            <w:vAlign w:val="bottom"/>
            <w:gridSpan w:val="4"/>
          </w:tcPr>
          <w:p>
            <w:pPr>
              <w:jc w:val="right"/>
              <w:ind w:right="340"/>
              <w:spacing w:after="0"/>
              <w:rPr>
                <w:sz w:val="20"/>
                <w:szCs w:val="20"/>
                <w:color w:val="auto"/>
              </w:rPr>
            </w:pPr>
            <w:r>
              <w:rPr>
                <w:rFonts w:ascii="Arial" w:cs="Arial" w:eastAsia="Arial" w:hAnsi="Arial"/>
                <w:sz w:val="16"/>
                <w:szCs w:val="16"/>
                <w:b w:val="1"/>
                <w:bCs w:val="1"/>
                <w:color w:val="auto"/>
              </w:rPr>
              <w:t>First Quarter Warrants Impact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366"/>
        </w:trPr>
        <w:tc>
          <w:tcPr>
            <w:tcW w:w="354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80" w:type="dxa"/>
            <w:vAlign w:val="bottom"/>
            <w:gridSpan w:val="6"/>
          </w:tcPr>
          <w:p>
            <w:pPr>
              <w:jc w:val="right"/>
              <w:ind w:right="820"/>
              <w:spacing w:after="0"/>
              <w:rPr>
                <w:sz w:val="20"/>
                <w:szCs w:val="20"/>
                <w:color w:val="auto"/>
              </w:rPr>
            </w:pPr>
            <w:r>
              <w:rPr>
                <w:rFonts w:ascii="Arial" w:cs="Arial" w:eastAsia="Arial" w:hAnsi="Arial"/>
                <w:sz w:val="16"/>
                <w:szCs w:val="16"/>
                <w:b w:val="1"/>
                <w:bCs w:val="1"/>
                <w:color w:val="auto"/>
              </w:rPr>
              <w:t>Three Months Ended</w:t>
            </w: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2"/>
        </w:trPr>
        <w:tc>
          <w:tcPr>
            <w:tcW w:w="3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gridSpan w:val="6"/>
          </w:tcPr>
          <w:p>
            <w:pPr>
              <w:jc w:val="right"/>
              <w:ind w:right="1180"/>
              <w:spacing w:after="0"/>
              <w:rPr>
                <w:sz w:val="20"/>
                <w:szCs w:val="20"/>
                <w:color w:val="auto"/>
              </w:rPr>
            </w:pPr>
            <w:r>
              <w:rPr>
                <w:rFonts w:ascii="Arial" w:cs="Arial" w:eastAsia="Arial" w:hAnsi="Arial"/>
                <w:sz w:val="16"/>
                <w:szCs w:val="16"/>
                <w:b w:val="1"/>
                <w:bCs w:val="1"/>
                <w:color w:val="auto"/>
              </w:rPr>
              <w:t>March 31,</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207"/>
        </w:trPr>
        <w:tc>
          <w:tcPr>
            <w:tcW w:w="3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2021</w:t>
            </w:r>
          </w:p>
        </w:tc>
        <w:tc>
          <w:tcPr>
            <w:tcW w:w="960" w:type="dxa"/>
            <w:vAlign w:val="bottom"/>
            <w:tcBorders>
              <w:bottom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46"/>
              <w:spacing w:after="0"/>
              <w:rPr>
                <w:sz w:val="20"/>
                <w:szCs w:val="20"/>
                <w:color w:val="auto"/>
              </w:rPr>
            </w:pPr>
            <w:r>
              <w:rPr>
                <w:rFonts w:ascii="Arial" w:cs="Arial" w:eastAsia="Arial" w:hAnsi="Arial"/>
                <w:sz w:val="16"/>
                <w:szCs w:val="16"/>
                <w:b w:val="1"/>
                <w:bCs w:val="1"/>
                <w:color w:val="auto"/>
              </w:rPr>
              <w:t>2020</w:t>
            </w:r>
          </w:p>
        </w:tc>
        <w:tc>
          <w:tcPr>
            <w:tcW w:w="960" w:type="dxa"/>
            <w:vAlign w:val="bottom"/>
            <w:tcBorders>
              <w:bottom w:val="single" w:sz="8" w:color="auto"/>
            </w:tcBorders>
          </w:tcPr>
          <w:p>
            <w:pPr>
              <w:spacing w:after="0"/>
              <w:rPr>
                <w:sz w:val="18"/>
                <w:szCs w:val="18"/>
                <w:color w:val="auto"/>
              </w:rPr>
            </w:pPr>
          </w:p>
        </w:tc>
        <w:tc>
          <w:tcPr>
            <w:tcW w:w="240" w:type="dxa"/>
            <w:vAlign w:val="bottom"/>
          </w:tcPr>
          <w:p>
            <w:pPr>
              <w:spacing w:after="0"/>
              <w:rPr>
                <w:sz w:val="18"/>
                <w:szCs w:val="18"/>
                <w:color w:val="auto"/>
              </w:rPr>
            </w:pPr>
          </w:p>
        </w:tc>
      </w:tr>
      <w:tr>
        <w:trPr>
          <w:trHeight w:val="175"/>
        </w:trPr>
        <w:tc>
          <w:tcPr>
            <w:tcW w:w="3540" w:type="dxa"/>
            <w:vAlign w:val="bottom"/>
          </w:tcPr>
          <w:p>
            <w:pPr>
              <w:spacing w:after="0"/>
              <w:rPr>
                <w:sz w:val="15"/>
                <w:szCs w:val="15"/>
                <w:color w:val="auto"/>
              </w:rPr>
            </w:pPr>
          </w:p>
        </w:tc>
        <w:tc>
          <w:tcPr>
            <w:tcW w:w="2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80"/>
              <w:spacing w:after="0" w:line="175" w:lineRule="exact"/>
              <w:rPr>
                <w:sz w:val="20"/>
                <w:szCs w:val="20"/>
                <w:color w:val="auto"/>
              </w:rPr>
            </w:pPr>
            <w:r>
              <w:rPr>
                <w:rFonts w:ascii="Arial" w:cs="Arial" w:eastAsia="Arial" w:hAnsi="Arial"/>
                <w:sz w:val="16"/>
                <w:szCs w:val="16"/>
                <w:b w:val="1"/>
                <w:bCs w:val="1"/>
                <w:color w:val="auto"/>
                <w:w w:val="92"/>
              </w:rPr>
              <w:t>Net of</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center"/>
              <w:ind w:right="460"/>
              <w:spacing w:after="0" w:line="175" w:lineRule="exact"/>
              <w:rPr>
                <w:sz w:val="20"/>
                <w:szCs w:val="20"/>
                <w:color w:val="auto"/>
              </w:rPr>
            </w:pPr>
            <w:r>
              <w:rPr>
                <w:rFonts w:ascii="Arial" w:cs="Arial" w:eastAsia="Arial" w:hAnsi="Arial"/>
                <w:sz w:val="16"/>
                <w:szCs w:val="16"/>
                <w:b w:val="1"/>
                <w:bCs w:val="1"/>
                <w:color w:val="auto"/>
                <w:w w:val="88"/>
              </w:rPr>
              <w:t>Net of</w:t>
            </w: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40" w:type="dxa"/>
            <w:vAlign w:val="bottom"/>
          </w:tcPr>
          <w:p>
            <w:pPr>
              <w:spacing w:after="0"/>
              <w:rPr>
                <w:sz w:val="15"/>
                <w:szCs w:val="15"/>
                <w:color w:val="auto"/>
              </w:rPr>
            </w:pPr>
          </w:p>
        </w:tc>
      </w:tr>
      <w:tr>
        <w:trPr>
          <w:trHeight w:val="191"/>
        </w:trPr>
        <w:tc>
          <w:tcPr>
            <w:tcW w:w="35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5"/>
              </w:rPr>
              <w:t>Warrants</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5"/>
              </w:rPr>
              <w:t>Warrants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92"/>
              </w:rPr>
              <w:t>Warrants</w:t>
            </w:r>
          </w:p>
        </w:tc>
        <w:tc>
          <w:tcPr>
            <w:tcW w:w="140" w:type="dxa"/>
            <w:vAlign w:val="bottom"/>
          </w:tcPr>
          <w:p>
            <w:pPr>
              <w:spacing w:after="0"/>
              <w:rPr>
                <w:sz w:val="16"/>
                <w:szCs w:val="16"/>
                <w:color w:val="auto"/>
              </w:rPr>
            </w:pPr>
          </w:p>
        </w:tc>
        <w:tc>
          <w:tcPr>
            <w:tcW w:w="120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5"/>
              </w:rPr>
              <w:t>Warrants</w:t>
            </w:r>
          </w:p>
        </w:tc>
      </w:tr>
      <w:tr>
        <w:trPr>
          <w:trHeight w:val="212"/>
        </w:trPr>
        <w:tc>
          <w:tcPr>
            <w:tcW w:w="35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Impact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6"/>
                <w:szCs w:val="16"/>
                <w:b w:val="1"/>
                <w:bCs w:val="1"/>
                <w:color w:val="auto"/>
                <w:w w:val="92"/>
              </w:rPr>
              <w:t>Impact</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60" w:type="dxa"/>
            <w:vAlign w:val="bottom"/>
            <w:gridSpan w:val="2"/>
          </w:tcPr>
          <w:p>
            <w:pPr>
              <w:jc w:val="center"/>
              <w:ind w:right="420"/>
              <w:spacing w:after="0"/>
              <w:rPr>
                <w:sz w:val="20"/>
                <w:szCs w:val="20"/>
                <w:color w:val="auto"/>
              </w:rPr>
            </w:pPr>
            <w:r>
              <w:rPr>
                <w:rFonts w:ascii="Arial" w:cs="Arial" w:eastAsia="Arial" w:hAnsi="Arial"/>
                <w:sz w:val="16"/>
                <w:szCs w:val="16"/>
                <w:b w:val="1"/>
                <w:bCs w:val="1"/>
                <w:color w:val="auto"/>
                <w:w w:val="92"/>
              </w:rPr>
              <w:t>Impact</w:t>
            </w:r>
          </w:p>
        </w:tc>
        <w:tc>
          <w:tcPr>
            <w:tcW w:w="140" w:type="dxa"/>
            <w:vAlign w:val="bottom"/>
          </w:tcPr>
          <w:p>
            <w:pPr>
              <w:spacing w:after="0"/>
              <w:rPr>
                <w:sz w:val="18"/>
                <w:szCs w:val="18"/>
                <w:color w:val="auto"/>
              </w:rPr>
            </w:pPr>
          </w:p>
        </w:tc>
        <w:tc>
          <w:tcPr>
            <w:tcW w:w="12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2"/>
              </w:rPr>
              <w:t>Impact</w:t>
            </w:r>
          </w:p>
        </w:tc>
      </w:tr>
      <w:tr>
        <w:trPr>
          <w:trHeight w:val="191"/>
        </w:trPr>
        <w:tc>
          <w:tcPr>
            <w:tcW w:w="3540" w:type="dxa"/>
            <w:vAlign w:val="bottom"/>
          </w:tcPr>
          <w:p>
            <w:pPr>
              <w:spacing w:after="0"/>
              <w:rPr>
                <w:sz w:val="16"/>
                <w:szCs w:val="16"/>
                <w:color w:val="auto"/>
              </w:rPr>
            </w:pPr>
          </w:p>
        </w:tc>
        <w:tc>
          <w:tcPr>
            <w:tcW w:w="2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91"/>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2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66.1M</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center"/>
              <w:ind w:left="540"/>
              <w:spacing w:after="0"/>
              <w:rPr>
                <w:sz w:val="20"/>
                <w:szCs w:val="20"/>
                <w:color w:val="auto"/>
              </w:rPr>
            </w:pPr>
            <w:r>
              <w:rPr>
                <w:rFonts w:ascii="Arial" w:cs="Arial" w:eastAsia="Arial" w:hAnsi="Arial"/>
                <w:sz w:val="16"/>
                <w:szCs w:val="16"/>
                <w:color w:val="auto"/>
                <w:w w:val="95"/>
              </w:rPr>
              <w:t>3.1M</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26.2M</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center"/>
              <w:ind w:left="580"/>
              <w:spacing w:after="0"/>
              <w:rPr>
                <w:sz w:val="20"/>
                <w:szCs w:val="20"/>
                <w:color w:val="auto"/>
              </w:rPr>
            </w:pPr>
            <w:r>
              <w:rPr>
                <w:rFonts w:ascii="Arial" w:cs="Arial" w:eastAsia="Arial" w:hAnsi="Arial"/>
                <w:sz w:val="16"/>
                <w:szCs w:val="16"/>
                <w:color w:val="auto"/>
                <w:w w:val="95"/>
              </w:rPr>
              <w:t>0.6M</w:t>
            </w:r>
          </w:p>
        </w:tc>
      </w:tr>
      <w:tr>
        <w:trPr>
          <w:trHeight w:val="191"/>
        </w:trPr>
        <w:tc>
          <w:tcPr>
            <w:tcW w:w="3540" w:type="dxa"/>
            <w:vAlign w:val="bottom"/>
          </w:tcPr>
          <w:p>
            <w:pPr>
              <w:spacing w:after="0"/>
              <w:rPr>
                <w:sz w:val="20"/>
                <w:szCs w:val="20"/>
                <w:color w:val="auto"/>
              </w:rPr>
            </w:pPr>
            <w:r>
              <w:rPr>
                <w:rFonts w:ascii="Arial" w:cs="Arial" w:eastAsia="Arial" w:hAnsi="Arial"/>
                <w:sz w:val="16"/>
                <w:szCs w:val="16"/>
                <w:color w:val="auto"/>
              </w:rPr>
              <w:t>Non-GAAP Gross Margin</w:t>
            </w:r>
          </w:p>
        </w:tc>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47.1%</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left="580"/>
              <w:spacing w:after="0"/>
              <w:rPr>
                <w:sz w:val="20"/>
                <w:szCs w:val="20"/>
                <w:color w:val="auto"/>
              </w:rPr>
            </w:pPr>
            <w:r>
              <w:rPr>
                <w:rFonts w:ascii="Arial" w:cs="Arial" w:eastAsia="Arial" w:hAnsi="Arial"/>
                <w:sz w:val="16"/>
                <w:szCs w:val="16"/>
                <w:color w:val="auto"/>
                <w:w w:val="87"/>
              </w:rPr>
              <w:t>240bps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6"/>
                <w:szCs w:val="16"/>
                <w:color w:val="auto"/>
              </w:rPr>
              <w:t>33.0%</w:t>
            </w:r>
          </w:p>
        </w:tc>
        <w:tc>
          <w:tcPr>
            <w:tcW w:w="140" w:type="dxa"/>
            <w:vAlign w:val="bottom"/>
          </w:tcPr>
          <w:p>
            <w:pPr>
              <w:spacing w:after="0"/>
              <w:rPr>
                <w:sz w:val="16"/>
                <w:szCs w:val="16"/>
                <w:color w:val="auto"/>
              </w:rPr>
            </w:pPr>
          </w:p>
        </w:tc>
        <w:tc>
          <w:tcPr>
            <w:tcW w:w="1200" w:type="dxa"/>
            <w:vAlign w:val="bottom"/>
            <w:gridSpan w:val="2"/>
          </w:tcPr>
          <w:p>
            <w:pPr>
              <w:jc w:val="center"/>
              <w:ind w:left="620"/>
              <w:spacing w:after="0"/>
              <w:rPr>
                <w:sz w:val="20"/>
                <w:szCs w:val="20"/>
                <w:color w:val="auto"/>
              </w:rPr>
            </w:pPr>
            <w:r>
              <w:rPr>
                <w:rFonts w:ascii="Arial" w:cs="Arial" w:eastAsia="Arial" w:hAnsi="Arial"/>
                <w:sz w:val="16"/>
                <w:szCs w:val="16"/>
                <w:color w:val="auto"/>
                <w:w w:val="87"/>
              </w:rPr>
              <w:t>141bps</w:t>
            </w:r>
          </w:p>
        </w:tc>
      </w:tr>
      <w:tr>
        <w:trPr>
          <w:trHeight w:val="191"/>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Non-GAAP Operating Margin</w:t>
            </w:r>
          </w:p>
        </w:tc>
        <w:tc>
          <w:tcPr>
            <w:tcW w:w="22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9.8%</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gridSpan w:val="2"/>
            <w:shd w:val="clear" w:color="auto" w:fill="CCEEFF"/>
          </w:tcPr>
          <w:p>
            <w:pPr>
              <w:jc w:val="center"/>
              <w:ind w:left="580"/>
              <w:spacing w:after="0"/>
              <w:rPr>
                <w:sz w:val="20"/>
                <w:szCs w:val="20"/>
                <w:color w:val="auto"/>
              </w:rPr>
            </w:pPr>
            <w:r>
              <w:rPr>
                <w:rFonts w:ascii="Arial" w:cs="Arial" w:eastAsia="Arial" w:hAnsi="Arial"/>
                <w:sz w:val="16"/>
                <w:szCs w:val="16"/>
                <w:color w:val="auto"/>
                <w:w w:val="87"/>
              </w:rPr>
              <w:t>409bps</w:t>
            </w:r>
          </w:p>
        </w:tc>
        <w:tc>
          <w:tcPr>
            <w:tcW w:w="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(40.1)%</w:t>
            </w:r>
          </w:p>
        </w:tc>
        <w:tc>
          <w:tcPr>
            <w:tcW w:w="140" w:type="dxa"/>
            <w:vAlign w:val="bottom"/>
            <w:shd w:val="clear" w:color="auto" w:fill="CCEEFF"/>
          </w:tcPr>
          <w:p>
            <w:pPr>
              <w:spacing w:after="0"/>
              <w:rPr>
                <w:sz w:val="16"/>
                <w:szCs w:val="16"/>
                <w:color w:val="auto"/>
              </w:rPr>
            </w:pPr>
          </w:p>
        </w:tc>
        <w:tc>
          <w:tcPr>
            <w:tcW w:w="1200" w:type="dxa"/>
            <w:vAlign w:val="bottom"/>
            <w:gridSpan w:val="2"/>
            <w:shd w:val="clear" w:color="auto" w:fill="CCEEFF"/>
          </w:tcPr>
          <w:p>
            <w:pPr>
              <w:jc w:val="center"/>
              <w:ind w:left="620"/>
              <w:spacing w:after="0"/>
              <w:rPr>
                <w:sz w:val="20"/>
                <w:szCs w:val="20"/>
                <w:color w:val="auto"/>
              </w:rPr>
            </w:pPr>
            <w:r>
              <w:rPr>
                <w:rFonts w:ascii="Arial" w:cs="Arial" w:eastAsia="Arial" w:hAnsi="Arial"/>
                <w:sz w:val="16"/>
                <w:szCs w:val="16"/>
                <w:color w:val="auto"/>
                <w:w w:val="87"/>
              </w:rPr>
              <w:t>295bps</w:t>
            </w:r>
          </w:p>
        </w:tc>
      </w:tr>
      <w:tr>
        <w:trPr>
          <w:trHeight w:val="191"/>
        </w:trPr>
        <w:tc>
          <w:tcPr>
            <w:tcW w:w="3540" w:type="dxa"/>
            <w:vAlign w:val="bottom"/>
          </w:tcPr>
          <w:p>
            <w:pPr>
              <w:spacing w:after="0"/>
              <w:rPr>
                <w:sz w:val="20"/>
                <w:szCs w:val="20"/>
                <w:color w:val="auto"/>
              </w:rPr>
            </w:pPr>
            <w:r>
              <w:rPr>
                <w:rFonts w:ascii="Arial" w:cs="Arial" w:eastAsia="Arial" w:hAnsi="Arial"/>
                <w:sz w:val="16"/>
                <w:szCs w:val="16"/>
                <w:color w:val="auto"/>
              </w:rPr>
              <w:t>Non-GAAP Net Margin</w:t>
            </w:r>
          </w:p>
        </w:tc>
        <w:tc>
          <w:tcPr>
            <w:tcW w:w="2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11.7%</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gridSpan w:val="2"/>
          </w:tcPr>
          <w:p>
            <w:pPr>
              <w:jc w:val="center"/>
              <w:ind w:left="580"/>
              <w:spacing w:after="0"/>
              <w:rPr>
                <w:sz w:val="20"/>
                <w:szCs w:val="20"/>
                <w:color w:val="auto"/>
              </w:rPr>
            </w:pPr>
            <w:r>
              <w:rPr>
                <w:rFonts w:ascii="Arial" w:cs="Arial" w:eastAsia="Arial" w:hAnsi="Arial"/>
                <w:sz w:val="16"/>
                <w:szCs w:val="16"/>
                <w:color w:val="auto"/>
                <w:w w:val="87"/>
              </w:rPr>
              <w:t>400bps</w:t>
            </w: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6"/>
                <w:szCs w:val="16"/>
                <w:color w:val="auto"/>
              </w:rPr>
              <w:t>(34.0)%</w:t>
            </w:r>
          </w:p>
        </w:tc>
        <w:tc>
          <w:tcPr>
            <w:tcW w:w="140" w:type="dxa"/>
            <w:vAlign w:val="bottom"/>
          </w:tcPr>
          <w:p>
            <w:pPr>
              <w:spacing w:after="0"/>
              <w:rPr>
                <w:sz w:val="16"/>
                <w:szCs w:val="16"/>
                <w:color w:val="auto"/>
              </w:rPr>
            </w:pPr>
          </w:p>
        </w:tc>
        <w:tc>
          <w:tcPr>
            <w:tcW w:w="1200" w:type="dxa"/>
            <w:vAlign w:val="bottom"/>
            <w:gridSpan w:val="2"/>
          </w:tcPr>
          <w:p>
            <w:pPr>
              <w:jc w:val="center"/>
              <w:ind w:left="620"/>
              <w:spacing w:after="0"/>
              <w:rPr>
                <w:sz w:val="20"/>
                <w:szCs w:val="20"/>
                <w:color w:val="auto"/>
              </w:rPr>
            </w:pPr>
            <w:r>
              <w:rPr>
                <w:rFonts w:ascii="Arial" w:cs="Arial" w:eastAsia="Arial" w:hAnsi="Arial"/>
                <w:sz w:val="16"/>
                <w:szCs w:val="16"/>
                <w:color w:val="auto"/>
                <w:w w:val="87"/>
              </w:rPr>
              <w:t>282bps</w:t>
            </w:r>
          </w:p>
        </w:tc>
      </w:tr>
      <w:tr>
        <w:trPr>
          <w:trHeight w:val="191"/>
        </w:trPr>
        <w:tc>
          <w:tcPr>
            <w:tcW w:w="3540" w:type="dxa"/>
            <w:vAlign w:val="bottom"/>
            <w:shd w:val="clear" w:color="auto" w:fill="CCEEFF"/>
          </w:tcPr>
          <w:p>
            <w:pPr>
              <w:spacing w:after="0"/>
              <w:rPr>
                <w:sz w:val="20"/>
                <w:szCs w:val="20"/>
                <w:color w:val="auto"/>
              </w:rPr>
            </w:pPr>
            <w:r>
              <w:rPr>
                <w:rFonts w:ascii="Arial" w:cs="Arial" w:eastAsia="Arial" w:hAnsi="Arial"/>
                <w:sz w:val="16"/>
                <w:szCs w:val="16"/>
                <w:color w:val="auto"/>
              </w:rPr>
              <w:t>Non-GAAP Diluted Earnings Per Share</w:t>
            </w:r>
          </w:p>
        </w:tc>
        <w:tc>
          <w:tcPr>
            <w:tcW w:w="234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0.16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0.07</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(0.22)</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0.02</w:t>
            </w:r>
          </w:p>
        </w:tc>
      </w:tr>
    </w:tbl>
    <w:p>
      <w:pPr>
        <w:spacing w:after="0" w:line="179"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“We are very pleased with our strong first quarter results, which were driven by a record quarter for mass production system shipments,” said Alon Rozner, Kornit Digital’s Chief Financial Officer. “Our engagements on major global expansion projects with strategic accounts and our growing business with net new accounts continues to drive our backlog to record levels, positioning us very well to execute on our short term and long-term goals.”</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First Quarter 2021 Results of Operations</w:t>
      </w:r>
    </w:p>
    <w:p>
      <w:pPr>
        <w:spacing w:after="0" w:line="202" w:lineRule="exact"/>
        <w:rPr>
          <w:sz w:val="20"/>
          <w:szCs w:val="20"/>
          <w:color w:val="auto"/>
        </w:rPr>
      </w:pPr>
    </w:p>
    <w:p>
      <w:pPr>
        <w:ind w:left="560" w:right="20" w:hanging="278"/>
        <w:spacing w:after="0" w:line="275"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Total revenue for the first quarter of 2021 was $66.1 million, net of $3.1 million attributed to the non-cash impact of warrants, compared to $26.2 million, net of $0.6 million attributed to the non-cash impact of warrants in the prior year period.</w:t>
      </w:r>
    </w:p>
    <w:p>
      <w:pPr>
        <w:spacing w:after="0" w:line="151" w:lineRule="exact"/>
        <w:rPr>
          <w:rFonts w:ascii="Arial" w:cs="Arial" w:eastAsia="Arial" w:hAnsi="Arial"/>
          <w:sz w:val="16"/>
          <w:szCs w:val="16"/>
          <w:color w:val="auto"/>
        </w:rPr>
      </w:pPr>
    </w:p>
    <w:p>
      <w:pPr>
        <w:ind w:left="560" w:hanging="278"/>
        <w:spacing w:after="0" w:line="275"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GAAP net income for the first quarter of 2021 was $5.1 million, or $0.11 per diluted share, compared to net loss of $10.1 million, or $0.25 per basic share, for the first quarter of 2020.</w:t>
      </w:r>
    </w:p>
    <w:p>
      <w:pPr>
        <w:spacing w:after="0" w:line="151" w:lineRule="exact"/>
        <w:rPr>
          <w:rFonts w:ascii="Arial" w:cs="Arial" w:eastAsia="Arial" w:hAnsi="Arial"/>
          <w:sz w:val="16"/>
          <w:szCs w:val="16"/>
          <w:color w:val="auto"/>
        </w:rPr>
      </w:pPr>
    </w:p>
    <w:p>
      <w:pPr>
        <w:jc w:val="both"/>
        <w:ind w:left="560" w:right="20" w:hanging="278"/>
        <w:spacing w:after="0" w:line="262" w:lineRule="auto"/>
        <w:tabs>
          <w:tab w:leader="none" w:pos="560" w:val="left"/>
        </w:tabs>
        <w:numPr>
          <w:ilvl w:val="0"/>
          <w:numId w:val="3"/>
        </w:numPr>
        <w:rPr>
          <w:rFonts w:ascii="Arial" w:cs="Arial" w:eastAsia="Arial" w:hAnsi="Arial"/>
          <w:sz w:val="16"/>
          <w:szCs w:val="16"/>
          <w:color w:val="auto"/>
        </w:rPr>
      </w:pPr>
      <w:r>
        <w:rPr>
          <w:rFonts w:ascii="Arial" w:cs="Arial" w:eastAsia="Arial" w:hAnsi="Arial"/>
          <w:sz w:val="16"/>
          <w:szCs w:val="16"/>
          <w:color w:val="auto"/>
        </w:rPr>
        <w:t>Non-GAAP net income for the first quarter of 2021 was $7.7 million, or $0.16 per diluted share, net of $0.07 per diluted share attributed to the non-cash impact of warrants, compared to non-GAAP net loss of $8.9 million, or $0.22 per basic share, net of $0.02 per diluted share attributed to the non-cash impact of warrants, for the first quarter of 2020.</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Second Quarter 2021 Guidance</w:t>
      </w:r>
    </w:p>
    <w:p>
      <w:pPr>
        <w:spacing w:after="0" w:line="202" w:lineRule="exact"/>
        <w:rPr>
          <w:sz w:val="20"/>
          <w:szCs w:val="20"/>
          <w:color w:val="auto"/>
        </w:rPr>
      </w:pPr>
    </w:p>
    <w:p>
      <w:pPr>
        <w:spacing w:after="0" w:line="275" w:lineRule="auto"/>
        <w:rPr>
          <w:sz w:val="20"/>
          <w:szCs w:val="20"/>
          <w:color w:val="auto"/>
        </w:rPr>
      </w:pPr>
      <w:r>
        <w:rPr>
          <w:rFonts w:ascii="Arial" w:cs="Arial" w:eastAsia="Arial" w:hAnsi="Arial"/>
          <w:sz w:val="16"/>
          <w:szCs w:val="16"/>
          <w:color w:val="auto"/>
        </w:rPr>
        <w:t>The Company will discuss the details of its guidance live during its earnings conference call, which will be available for replay via webcast at ir.kornit.com, as referenced below.</w:t>
      </w: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5">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20" w:right="319" w:bottom="1440" w:gutter="0" w:footer="0" w:header="0"/>
        </w:sectPr>
      </w:pPr>
    </w:p>
    <w:bookmarkStart w:id="6" w:name="page7"/>
    <w:bookmarkEnd w:id="6"/>
    <w:p>
      <w:pPr>
        <w:spacing w:after="0"/>
        <w:rPr>
          <w:sz w:val="20"/>
          <w:szCs w:val="20"/>
          <w:color w:val="auto"/>
        </w:rPr>
      </w:pPr>
      <w:r>
        <w:rPr>
          <w:rFonts w:ascii="Arial" w:cs="Arial" w:eastAsia="Arial" w:hAnsi="Arial"/>
          <w:sz w:val="16"/>
          <w:szCs w:val="16"/>
          <w:b w:val="1"/>
          <w:bCs w:val="1"/>
          <w:color w:val="auto"/>
        </w:rPr>
        <w:t>First Quarter Earnings Conference Call Information</w:t>
      </w:r>
    </w:p>
    <w:p>
      <w:pPr>
        <w:spacing w:after="0" w:line="20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The Company will host a conference call today at 8:30 a.m. ET, or 3:30 p.m. Israel time, to discuss the results, followed by a question and answer session for the investment community. A live webcast of the call can be accessed at ir.kornit.com. To access the call, participants may dial toll-free at 1-877-407-0792 or +1-201-689-8263. The toll-free Israeli number is 1 809 406 247. The confirmation code is 13719064.</w:t>
      </w:r>
    </w:p>
    <w:p>
      <w:pPr>
        <w:spacing w:after="0" w:line="162" w:lineRule="exact"/>
        <w:rPr>
          <w:sz w:val="20"/>
          <w:szCs w:val="20"/>
          <w:color w:val="auto"/>
        </w:rPr>
      </w:pPr>
    </w:p>
    <w:p>
      <w:pPr>
        <w:jc w:val="both"/>
        <w:ind w:right="20"/>
        <w:spacing w:after="0" w:line="262" w:lineRule="auto"/>
        <w:rPr>
          <w:sz w:val="20"/>
          <w:szCs w:val="20"/>
          <w:color w:val="auto"/>
        </w:rPr>
      </w:pPr>
      <w:r>
        <w:rPr>
          <w:rFonts w:ascii="Arial" w:cs="Arial" w:eastAsia="Arial" w:hAnsi="Arial"/>
          <w:sz w:val="16"/>
          <w:szCs w:val="16"/>
          <w:color w:val="auto"/>
        </w:rPr>
        <w:t>To listen to a telephonic replay of the conference call, dial toll-free 1-844-512-2921 or +1-412-317-6671 (international) and enter confirmation code 13719064. The telephonic replay will be available beginning at 11:30 a.m. ET on Tuesday, May 11, 2021, until 11:59 p.m. ET on Tuesday, May 25, 2021. The call will also be available for replay via the webcast link on Kornit’s Investor Relations website.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 Looking Statements</w:t>
      </w:r>
    </w:p>
    <w:p>
      <w:pPr>
        <w:spacing w:after="0" w:line="202" w:lineRule="exact"/>
        <w:rPr>
          <w:sz w:val="20"/>
          <w:szCs w:val="20"/>
          <w:color w:val="auto"/>
        </w:rPr>
      </w:pPr>
    </w:p>
    <w:p>
      <w:pPr>
        <w:jc w:val="both"/>
        <w:spacing w:after="0" w:line="289" w:lineRule="auto"/>
        <w:rPr>
          <w:sz w:val="20"/>
          <w:szCs w:val="20"/>
          <w:color w:val="auto"/>
        </w:rPr>
      </w:pPr>
      <w:r>
        <w:rPr>
          <w:rFonts w:ascii="Arial" w:cs="Arial" w:eastAsia="Arial" w:hAnsi="Arial"/>
          <w:sz w:val="14"/>
          <w:szCs w:val="14"/>
          <w:color w:val="auto"/>
        </w:rPr>
        <w:t>Certain statements in this press release are “forward-looking statements” within the meaning of the Private Securities Litigation Reform Act of 1995 and other U.S. securities laws. Forward-looking statements are characterized by the use of forward-looking terminology such as “will,” “expects,” “anticipates,” “continue,” “believes,” “should,” “intended,” “guidance,” “preliminary,” “future,” “planned,” or other words. These forward-looking statements include, but are not limited to, statements relating to the Company’s objectives, plans and strategies, statements of preliminary or projected results of operations or of financial condition and all statements that address activities, events or developments that the Company intends, expects, projects, believes or anticipates will or may occur in the future. Forward-looking statements are not guarantees of future performance and are subject to risks and uncertainties. The Company has based these forward-looking statements on assumptions and assessments made by its management in light of their experience and their perception of historical trends, current conditions, expected future developments and other factors they believe to be appropriate. Important factors that could cause actual results, developments and business decisions to differ materially from those anticipated in these forward-looking statements include, among other things: the Company’s degree of success in developing, introducing and selling new or improved products and product enhancements including specifically the Company’s Poly Pro and Presto products; the extent of the Company’s ability to consummate sales to large accounts with multi-system delivery plans; the degree of the Company’s ability to fill orders for Kornit’s systems; the extent of the Company’s ability to continue to increase sales of Kornit’s systems, ink and consumables; the extent of the Company’s ability to leverage Kornit’s global infrastructure build-out; the development of the market for digital textile printing; the availability of alternative ink; competition; sales concentration; changes to the Company’s relationships with suppliers; the extent of the Company’s success in marketing; the duration and severity of, and the degree of recovery from, the global COVID-19 pandemic, which could potentially impact once again, in a material adverse manner, the Company’s operations, financial position and cash flows, and those of the Company’s customers and suppliers; and those additional factors referred to under “Risk Factors” in Item 3.D of the Company’s Annual Report on Form 20-F for the year ended December 31, 2020, filed with the U.S. Securities and Exchange Commission, or SEC, on March 25, 2021. Any forward-looking statements in this press release are made as of the date hereof, whether as a result of new information, future events or otherwise, except as required by law.</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6">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7" w:name="page8"/>
    <w:bookmarkEnd w:id="7"/>
    <w:p>
      <w:pPr>
        <w:spacing w:after="0"/>
        <w:rPr>
          <w:sz w:val="20"/>
          <w:szCs w:val="20"/>
          <w:color w:val="auto"/>
        </w:rPr>
      </w:pPr>
      <w:r>
        <w:rPr>
          <w:rFonts w:ascii="Arial" w:cs="Arial" w:eastAsia="Arial" w:hAnsi="Arial"/>
          <w:sz w:val="16"/>
          <w:szCs w:val="16"/>
          <w:b w:val="1"/>
          <w:bCs w:val="1"/>
          <w:color w:val="auto"/>
        </w:rPr>
        <w:t>Non-GAAP Discussion Disclosure</w:t>
      </w:r>
    </w:p>
    <w:p>
      <w:pPr>
        <w:spacing w:after="0" w:line="202" w:lineRule="exact"/>
        <w:rPr>
          <w:sz w:val="20"/>
          <w:szCs w:val="20"/>
          <w:color w:val="auto"/>
        </w:rPr>
      </w:pPr>
    </w:p>
    <w:p>
      <w:pPr>
        <w:jc w:val="both"/>
        <w:spacing w:after="0" w:line="271" w:lineRule="auto"/>
        <w:rPr>
          <w:sz w:val="20"/>
          <w:szCs w:val="20"/>
          <w:color w:val="auto"/>
        </w:rPr>
      </w:pPr>
      <w:r>
        <w:rPr>
          <w:rFonts w:ascii="Arial" w:cs="Arial" w:eastAsia="Arial" w:hAnsi="Arial"/>
          <w:sz w:val="15"/>
          <w:szCs w:val="15"/>
          <w:color w:val="auto"/>
        </w:rPr>
        <w:t>Non-GAAP financial measures consist of GAAP financial measures adjusted to exclude the impact of share-based compensation expenses, acquisition related expenses, excess cost of acquired inventory, foreign exchange differences associated with ASC 842, amortization of acquired intangible assets, deferred tax impact and the one-time impact of COVID-19, and the tax effect of the foregoing. The purpose of such adjustments is to provide an indication of the Company’s performance exclusive of non-cash charges and other items that are considered by management to be outside of the Company’s core operating results. These non-GAAP measures are among the primary factors management uses in planning for and forecasting future periods. Furthermore, the non-GAAP measures are regularly used internally to understand, manage and evaluate the Company’s business and make operating decisions, and the Company believes that they are useful to investors as a consistent and comparable measure of the ongoing performance of the Company’s business. However, the Company’s non-GAAP financial measures are not meant to be considered in isolation or as a substitute for comparable GAAP measures and should be read only in conjunction with the Company’s consolidated financial statements prepared in accordance with GAAP. Additionally, these non-GAAP financial measures may differ materially from the non-GAAP financial measures used by other companies.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About Kornit</w:t>
      </w:r>
    </w:p>
    <w:p>
      <w:pPr>
        <w:spacing w:after="0" w:line="202" w:lineRule="exact"/>
        <w:rPr>
          <w:sz w:val="20"/>
          <w:szCs w:val="20"/>
          <w:color w:val="auto"/>
        </w:rPr>
      </w:pPr>
    </w:p>
    <w:p>
      <w:pPr>
        <w:jc w:val="both"/>
        <w:spacing w:after="0" w:line="253" w:lineRule="auto"/>
        <w:rPr>
          <w:sz w:val="20"/>
          <w:szCs w:val="20"/>
          <w:color w:val="auto"/>
        </w:rPr>
      </w:pPr>
      <w:r>
        <w:rPr>
          <w:rFonts w:ascii="Arial" w:cs="Arial" w:eastAsia="Arial" w:hAnsi="Arial"/>
          <w:sz w:val="16"/>
          <w:szCs w:val="16"/>
          <w:color w:val="auto"/>
        </w:rPr>
        <w:t>Kornit Digital Ltd. (NASDAQ: KRNT) develops, manufactures and markets industrial digital printing technologies for the garment, apparel and textile industries. Kornit delivers complete solutions, including digital printing systems, inks, consumables, software and after-sales support. Leading the digital direct-to-garment printing market with its exclusive eco-friendly NeoPigment printing process, Kornit caters directly to the changing needs of the textile printing value chain. Kornit’s technology enables innovative business models based on web-to-print, on-demand and mass customization concepts. With its immense experience in the direct-to-garment market, Kornit also offers a revolutionary approach to the roll-to-roll textile printing industry: digitally printing with a single ink set onto multiple types of fabric with no additional finishing processes. Founded in 2002, Kornit Digital is a global company, headquartered in Israel with offices in the USA, Europe and Asia Pacific, and serves customers in more than 100 countries and states worldwide.</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7148195" cy="152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7">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1260"/>
          </w:cols>
          <w:pgMar w:left="320" w:top="816" w:right="319" w:bottom="1440" w:gutter="0" w:footer="0" w:header="0"/>
        </w:sectPr>
      </w:pPr>
    </w:p>
    <w:bookmarkStart w:id="8" w:name="page9"/>
    <w:bookmarkEnd w:id="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w:t>
      </w:r>
    </w:p>
    <w:p>
      <w:pPr>
        <w:spacing w:after="0" w:line="24" w:lineRule="exact"/>
        <w:rPr>
          <w:sz w:val="20"/>
          <w:szCs w:val="20"/>
          <w:color w:val="auto"/>
        </w:rPr>
      </w:pPr>
    </w:p>
    <w:p>
      <w:pPr>
        <w:spacing w:after="0"/>
        <w:rPr>
          <w:sz w:val="20"/>
          <w:szCs w:val="20"/>
          <w:color w:val="auto"/>
        </w:rPr>
      </w:pPr>
      <w:r>
        <w:rPr>
          <w:rFonts w:ascii="Arial" w:cs="Arial" w:eastAsia="Arial" w:hAnsi="Arial"/>
          <w:sz w:val="16"/>
          <w:szCs w:val="16"/>
          <w:color w:val="auto"/>
        </w:rPr>
        <w:t>CURRENT ASSETS: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Cash and cash equivalents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Short-term bank deposit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Marketable securities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Trade receivables, net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Inventories</w:t>
      </w:r>
    </w:p>
    <w:p>
      <w:pPr>
        <w:spacing w:after="0" w:line="7" w:lineRule="exact"/>
        <w:rPr>
          <w:sz w:val="20"/>
          <w:szCs w:val="20"/>
          <w:color w:val="auto"/>
        </w:rPr>
      </w:pPr>
    </w:p>
    <w:p>
      <w:pPr>
        <w:ind w:right="460"/>
        <w:spacing w:after="0" w:line="289" w:lineRule="auto"/>
        <w:rPr>
          <w:sz w:val="20"/>
          <w:szCs w:val="20"/>
          <w:color w:val="auto"/>
        </w:rPr>
      </w:pPr>
      <w:r>
        <w:rPr>
          <w:rFonts w:ascii="Arial" w:cs="Arial" w:eastAsia="Arial" w:hAnsi="Arial"/>
          <w:sz w:val="16"/>
          <w:szCs w:val="16"/>
          <w:color w:val="auto"/>
        </w:rPr>
        <w:t>Other accounts receivable and prepaid expenses Total current assets</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LONG-TERM ASSETS:</w:t>
      </w:r>
    </w:p>
    <w:p>
      <w:pPr>
        <w:spacing w:after="0" w:line="20" w:lineRule="exact"/>
        <w:rPr>
          <w:sz w:val="20"/>
          <w:szCs w:val="20"/>
          <w:color w:val="auto"/>
        </w:rPr>
      </w:pPr>
    </w:p>
    <w:p>
      <w:pPr>
        <w:spacing w:after="0"/>
        <w:rPr>
          <w:sz w:val="20"/>
          <w:szCs w:val="20"/>
          <w:color w:val="auto"/>
        </w:rPr>
      </w:pPr>
      <w:r>
        <w:rPr>
          <w:rFonts w:ascii="Arial" w:cs="Arial" w:eastAsia="Arial" w:hAnsi="Arial"/>
          <w:sz w:val="16"/>
          <w:szCs w:val="16"/>
          <w:color w:val="auto"/>
        </w:rPr>
        <w:t>Marketable securities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Deposits and other long-term assets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Severance pay fund</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Deferred taxes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net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Operating lease right-of-use assets</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Intangible assets, net</w:t>
      </w:r>
    </w:p>
    <w:p>
      <w:pPr>
        <w:spacing w:after="0" w:line="7" w:lineRule="exact"/>
        <w:rPr>
          <w:sz w:val="20"/>
          <w:szCs w:val="20"/>
          <w:color w:val="auto"/>
        </w:rPr>
      </w:pPr>
    </w:p>
    <w:p>
      <w:pPr>
        <w:spacing w:after="0"/>
        <w:rPr>
          <w:sz w:val="20"/>
          <w:szCs w:val="20"/>
          <w:color w:val="auto"/>
        </w:rPr>
      </w:pPr>
      <w:r>
        <w:rPr>
          <w:rFonts w:ascii="Arial" w:cs="Arial" w:eastAsia="Arial" w:hAnsi="Arial"/>
          <w:sz w:val="16"/>
          <w:szCs w:val="16"/>
          <w:color w:val="auto"/>
        </w:rPr>
        <w:t>Goodwill</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Total long-term assets</w:t>
      </w:r>
    </w:p>
    <w:p>
      <w:pPr>
        <w:spacing w:after="0" w:line="234" w:lineRule="exact"/>
        <w:rPr>
          <w:sz w:val="20"/>
          <w:szCs w:val="20"/>
          <w:color w:val="auto"/>
        </w:rPr>
      </w:pPr>
    </w:p>
    <w:p>
      <w:pPr>
        <w:spacing w:after="0"/>
        <w:rPr>
          <w:sz w:val="20"/>
          <w:szCs w:val="20"/>
          <w:color w:val="auto"/>
        </w:rPr>
      </w:pPr>
      <w:r>
        <w:rPr>
          <w:rFonts w:ascii="Arial" w:cs="Arial" w:eastAsia="Arial" w:hAnsi="Arial"/>
          <w:sz w:val="16"/>
          <w:szCs w:val="16"/>
          <w:color w:val="auto"/>
        </w:rPr>
        <w:t>Total assets</w:t>
      </w:r>
    </w:p>
    <w:p>
      <w:pPr>
        <w:spacing w:after="0" w:line="20" w:lineRule="exact"/>
        <w:rPr>
          <w:sz w:val="20"/>
          <w:szCs w:val="20"/>
          <w:color w:val="auto"/>
        </w:rPr>
      </w:pPr>
      <w:r>
        <w:rPr>
          <w:sz w:val="20"/>
          <w:szCs w:val="20"/>
          <w:color w:val="auto"/>
        </w:rPr>
        <w:br w:type="column"/>
      </w:r>
    </w:p>
    <w:p>
      <w:pPr>
        <w:jc w:val="center"/>
        <w:ind w:right="426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426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4260"/>
        <w:spacing w:after="0"/>
        <w:rPr>
          <w:sz w:val="20"/>
          <w:szCs w:val="20"/>
          <w:color w:val="auto"/>
        </w:rPr>
      </w:pPr>
      <w:r>
        <w:rPr>
          <w:rFonts w:ascii="Arial" w:cs="Arial" w:eastAsia="Arial" w:hAnsi="Arial"/>
          <w:sz w:val="15"/>
          <w:szCs w:val="15"/>
          <w:b w:val="1"/>
          <w:bCs w:val="1"/>
          <w:color w:val="auto"/>
        </w:rPr>
        <w:t>CONSOLIDATED BALANCE SHEETS</w:t>
      </w:r>
    </w:p>
    <w:p>
      <w:pPr>
        <w:spacing w:after="0" w:line="19" w:lineRule="exact"/>
        <w:rPr>
          <w:sz w:val="20"/>
          <w:szCs w:val="20"/>
          <w:color w:val="auto"/>
        </w:rPr>
      </w:pPr>
    </w:p>
    <w:p>
      <w:pPr>
        <w:jc w:val="center"/>
        <w:ind w:right="4260"/>
        <w:spacing w:after="0"/>
        <w:rPr>
          <w:sz w:val="20"/>
          <w:szCs w:val="20"/>
          <w:color w:val="auto"/>
        </w:rPr>
      </w:pPr>
      <w:r>
        <w:rPr>
          <w:rFonts w:ascii="Arial" w:cs="Arial" w:eastAsia="Arial" w:hAnsi="Arial"/>
          <w:sz w:val="16"/>
          <w:szCs w:val="16"/>
          <w:b w:val="1"/>
          <w:bCs w:val="1"/>
          <w:color w:val="auto"/>
        </w:rPr>
        <w:t>(U.S. dollars in thousands)</w:t>
      </w:r>
    </w:p>
    <w:p>
      <w:pPr>
        <w:spacing w:after="0" w:line="182" w:lineRule="exact"/>
        <w:rPr>
          <w:sz w:val="20"/>
          <w:szCs w:val="20"/>
          <w:color w:val="auto"/>
        </w:rPr>
      </w:pPr>
    </w:p>
    <w:tbl>
      <w:tblPr>
        <w:tblLayout w:type="fixed"/>
        <w:tblInd w:w="4440" w:type="dxa"/>
        <w:tblCellMar>
          <w:top w:w="0" w:type="dxa"/>
          <w:left w:w="0" w:type="dxa"/>
          <w:bottom w:w="0" w:type="dxa"/>
          <w:right w:w="0" w:type="dxa"/>
        </w:tblCellMar>
      </w:tblPr>
      <w:tr>
        <w:trPr>
          <w:trHeight w:val="203"/>
        </w:trPr>
        <w:tc>
          <w:tcPr>
            <w:tcW w:w="100" w:type="dxa"/>
            <w:vAlign w:val="bottom"/>
          </w:tcPr>
          <w:p>
            <w:pPr>
              <w:spacing w:after="0"/>
              <w:rPr>
                <w:sz w:val="17"/>
                <w:szCs w:val="17"/>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2"/>
              </w:rPr>
              <w:t>March 31,</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b w:val="1"/>
                <w:bCs w:val="1"/>
                <w:color w:val="auto"/>
                <w:w w:val="88"/>
              </w:rPr>
              <w:t>December 31,</w:t>
            </w:r>
          </w:p>
        </w:tc>
      </w:tr>
      <w:tr>
        <w:trPr>
          <w:trHeight w:val="212"/>
        </w:trPr>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89"/>
              </w:rPr>
              <w:t>2021</w:t>
            </w:r>
          </w:p>
        </w:tc>
        <w:tc>
          <w:tcPr>
            <w:tcW w:w="24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2020</w:t>
            </w:r>
          </w:p>
        </w:tc>
      </w:tr>
      <w:tr>
        <w:trPr>
          <w:trHeight w:val="195"/>
        </w:trPr>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94"/>
              </w:rPr>
              <w:t>(Unaudited)</w:t>
            </w:r>
          </w:p>
        </w:tc>
        <w:tc>
          <w:tcPr>
            <w:tcW w:w="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561"/>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94,171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125,777</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243,659</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224,804</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25,836</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13,718</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53,054</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51,566</w:t>
            </w:r>
          </w:p>
        </w:tc>
      </w:tr>
      <w:tr>
        <w:trPr>
          <w:trHeight w:val="203"/>
        </w:trPr>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52,750</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52,487</w:t>
            </w:r>
          </w:p>
        </w:tc>
      </w:tr>
      <w:tr>
        <w:trPr>
          <w:trHeight w:val="208"/>
        </w:trPr>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7,500</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9,178</w:t>
            </w:r>
          </w:p>
        </w:tc>
      </w:tr>
      <w:tr>
        <w:trPr>
          <w:trHeight w:val="195"/>
        </w:trPr>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476,970</w:t>
            </w:r>
          </w:p>
        </w:tc>
        <w:tc>
          <w:tcPr>
            <w:tcW w:w="2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477,530</w:t>
            </w:r>
          </w:p>
        </w:tc>
      </w:tr>
      <w:tr>
        <w:trPr>
          <w:trHeight w:val="561"/>
        </w:trPr>
        <w:tc>
          <w:tcPr>
            <w:tcW w:w="100" w:type="dxa"/>
            <w:vAlign w:val="bottom"/>
          </w:tcPr>
          <w:p>
            <w:pPr>
              <w:spacing w:after="0"/>
              <w:rPr>
                <w:sz w:val="24"/>
                <w:szCs w:val="24"/>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74,986</w:t>
            </w:r>
          </w:p>
        </w:tc>
        <w:tc>
          <w:tcPr>
            <w:tcW w:w="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71,636</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405</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395</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324</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337</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5,473</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5,096</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31,708</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29,255</w:t>
            </w:r>
          </w:p>
        </w:tc>
      </w:tr>
      <w:tr>
        <w:trPr>
          <w:trHeight w:val="191"/>
        </w:trPr>
        <w:tc>
          <w:tcPr>
            <w:tcW w:w="100" w:type="dxa"/>
            <w:vAlign w:val="bottom"/>
          </w:tcPr>
          <w:p>
            <w:pPr>
              <w:spacing w:after="0"/>
              <w:rPr>
                <w:sz w:val="16"/>
                <w:szCs w:val="16"/>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20,319</w:t>
            </w:r>
          </w:p>
        </w:tc>
        <w:tc>
          <w:tcPr>
            <w:tcW w:w="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21,053</w:t>
            </w:r>
          </w:p>
        </w:tc>
      </w:tr>
      <w:tr>
        <w:trPr>
          <w:trHeight w:val="203"/>
        </w:trPr>
        <w:tc>
          <w:tcPr>
            <w:tcW w:w="100" w:type="dxa"/>
            <w:vAlign w:val="bottom"/>
          </w:tcPr>
          <w:p>
            <w:pPr>
              <w:spacing w:after="0"/>
              <w:rPr>
                <w:sz w:val="17"/>
                <w:szCs w:val="17"/>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6,809</w:t>
            </w:r>
          </w:p>
        </w:tc>
        <w:tc>
          <w:tcPr>
            <w:tcW w:w="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7,221</w:t>
            </w:r>
          </w:p>
        </w:tc>
      </w:tr>
      <w:tr>
        <w:trPr>
          <w:trHeight w:val="208"/>
        </w:trPr>
        <w:tc>
          <w:tcPr>
            <w:tcW w:w="100" w:type="dxa"/>
            <w:vAlign w:val="bottom"/>
          </w:tcPr>
          <w:p>
            <w:pPr>
              <w:spacing w:after="0"/>
              <w:rPr>
                <w:sz w:val="18"/>
                <w:szCs w:val="18"/>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16,466</w:t>
            </w:r>
          </w:p>
        </w:tc>
        <w:tc>
          <w:tcPr>
            <w:tcW w:w="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16,466</w:t>
            </w:r>
          </w:p>
        </w:tc>
      </w:tr>
      <w:tr>
        <w:trPr>
          <w:trHeight w:val="195"/>
        </w:trPr>
        <w:tc>
          <w:tcPr>
            <w:tcW w:w="10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156,490</w:t>
            </w:r>
          </w:p>
        </w:tc>
        <w:tc>
          <w:tcPr>
            <w:tcW w:w="240" w:type="dxa"/>
            <w:vAlign w:val="bottom"/>
          </w:tcPr>
          <w:p>
            <w:pPr>
              <w:spacing w:after="0"/>
              <w:rPr>
                <w:sz w:val="16"/>
                <w:szCs w:val="16"/>
                <w:color w:val="auto"/>
              </w:rPr>
            </w:pPr>
          </w:p>
        </w:tc>
        <w:tc>
          <w:tcPr>
            <w:tcW w:w="8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151,459</w:t>
            </w:r>
          </w:p>
        </w:tc>
      </w:tr>
      <w:tr>
        <w:trPr>
          <w:trHeight w:val="422"/>
        </w:trPr>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60" w:type="dxa"/>
            <w:vAlign w:val="bottom"/>
            <w:gridSpan w:val="2"/>
          </w:tcPr>
          <w:p>
            <w:pPr>
              <w:jc w:val="right"/>
              <w:ind w:right="240"/>
              <w:spacing w:after="0"/>
              <w:rPr>
                <w:sz w:val="20"/>
                <w:szCs w:val="20"/>
                <w:color w:val="auto"/>
              </w:rPr>
            </w:pPr>
            <w:r>
              <w:rPr>
                <w:rFonts w:ascii="Arial" w:cs="Arial" w:eastAsia="Arial" w:hAnsi="Arial"/>
                <w:sz w:val="16"/>
                <w:szCs w:val="16"/>
                <w:color w:val="auto"/>
              </w:rPr>
              <w:t>633,460</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Pr>
          <w:p>
            <w:pPr>
              <w:jc w:val="right"/>
              <w:spacing w:after="0"/>
              <w:rPr>
                <w:sz w:val="20"/>
                <w:szCs w:val="20"/>
                <w:color w:val="auto"/>
              </w:rPr>
            </w:pPr>
            <w:r>
              <w:rPr>
                <w:rFonts w:ascii="Arial" w:cs="Arial" w:eastAsia="Arial" w:hAnsi="Arial"/>
                <w:sz w:val="16"/>
                <w:szCs w:val="16"/>
                <w:color w:val="auto"/>
              </w:rPr>
              <w:t>628,989</w:t>
            </w:r>
          </w:p>
        </w:tc>
      </w:tr>
      <w:tr>
        <w:trPr>
          <w:trHeight w:val="20"/>
        </w:trPr>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-2694305</wp:posOffset>
            </wp:positionH>
            <wp:positionV relativeFrom="paragraph">
              <wp:posOffset>-2564130</wp:posOffset>
            </wp:positionV>
            <wp:extent cx="7148195" cy="12128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8">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-2321560</wp:posOffset>
            </wp:positionV>
            <wp:extent cx="7148195" cy="1212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-2078355</wp:posOffset>
            </wp:positionV>
            <wp:extent cx="7148195" cy="1212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0">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-1820545</wp:posOffset>
            </wp:positionV>
            <wp:extent cx="7148195" cy="1365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-1555115</wp:posOffset>
            </wp:positionV>
            <wp:extent cx="7148195" cy="1212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2">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-1311910</wp:posOffset>
            </wp:positionV>
            <wp:extent cx="7148195" cy="1212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-1069340</wp:posOffset>
            </wp:positionV>
            <wp:extent cx="7148195" cy="1212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-826770</wp:posOffset>
            </wp:positionV>
            <wp:extent cx="7148195" cy="1212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7148195" cy="12128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-583565</wp:posOffset>
            </wp:positionV>
            <wp:extent cx="7148195" cy="13652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7148195" cy="136525"/>
                    </a:xfrm>
                    <a:prstGeom prst="rect">
                      <a:avLst/>
                    </a:prstGeom>
                    <a:noFill/>
                  </pic:spPr>
                </pic:pic>
              </a:graphicData>
            </a:graphic>
          </wp:anchor>
        </w:drawing>
        <w:drawing>
          <wp:anchor simplePos="0" relativeHeight="251657728" behindDoc="1" locked="0" layoutInCell="0" allowOverlap="1">
            <wp:simplePos x="0" y="0"/>
            <wp:positionH relativeFrom="column">
              <wp:posOffset>-2694305</wp:posOffset>
            </wp:positionH>
            <wp:positionV relativeFrom="paragraph">
              <wp:posOffset>-310515</wp:posOffset>
            </wp:positionV>
            <wp:extent cx="714819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7">
                      <a:extLst>
                        <a:ext uri="{28A0092B-C50C-407E-A947-70E740481C1C}"/>
                      </a:extLst>
                    </a:blip>
                    <a:srcRect/>
                    <a:stretch>
                      <a:fillRect/>
                    </a:stretch>
                  </pic:blipFill>
                  <pic:spPr bwMode="auto">
                    <a:xfrm>
                      <a:off x="0" y="0"/>
                      <a:ext cx="7148195" cy="128905"/>
                    </a:xfrm>
                    <a:prstGeom prst="rect">
                      <a:avLst/>
                    </a:prstGeom>
                    <a:noFill/>
                  </pic:spPr>
                </pic:pic>
              </a:graphicData>
            </a:graphic>
          </wp:anchor>
        </w:drawing>
      </w:r>
    </w:p>
    <w:p>
      <w:pPr>
        <w:spacing w:after="0" w:line="20" w:lineRule="exact"/>
        <w:rPr>
          <w:sz w:val="20"/>
          <w:szCs w:val="20"/>
          <w:color w:val="auto"/>
        </w:rPr>
      </w:pPr>
    </w:p>
    <w:p>
      <w:pPr>
        <w:sectPr>
          <w:pgSz w:w="11900" w:h="16838" w:orient="portrait"/>
          <w:cols w:equalWidth="0" w:num="2">
            <w:col w:w="3520" w:space="720"/>
            <w:col w:w="7020"/>
          </w:cols>
          <w:pgMar w:left="320" w:top="816" w:right="319" w:bottom="1440" w:gutter="0" w:footer="0" w:header="0"/>
        </w:sectPr>
      </w:pPr>
    </w:p>
    <w:tbl>
      <w:tblPr>
        <w:tblLayout w:type="fixed"/>
        <w:tblInd w:w="0" w:type="dxa"/>
        <w:tblCellMar>
          <w:top w:w="0" w:type="dxa"/>
          <w:left w:w="0" w:type="dxa"/>
          <w:bottom w:w="0" w:type="dxa"/>
          <w:right w:w="0" w:type="dxa"/>
        </w:tblCellMar>
      </w:tblPr>
      <w:tr>
        <w:trPr>
          <w:trHeight w:val="171"/>
        </w:trPr>
        <w:tc>
          <w:tcPr>
            <w:tcW w:w="4520" w:type="dxa"/>
            <w:vAlign w:val="bottom"/>
            <w:shd w:val="clear" w:color="auto" w:fill="CCEEFF"/>
          </w:tcPr>
          <w:p>
            <w:pPr>
              <w:spacing w:after="0"/>
              <w:rPr>
                <w:sz w:val="14"/>
                <w:szCs w:val="14"/>
                <w:color w:val="auto"/>
              </w:rPr>
            </w:pPr>
          </w:p>
        </w:tc>
        <w:tc>
          <w:tcPr>
            <w:tcW w:w="416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20"/>
                <w:szCs w:val="20"/>
                <w:color w:val="auto"/>
              </w:rPr>
            </w:pPr>
            <w:r>
              <w:rPr>
                <w:rFonts w:ascii="Arial" w:cs="Arial" w:eastAsia="Arial" w:hAnsi="Arial"/>
                <w:sz w:val="16"/>
                <w:szCs w:val="16"/>
                <w:b w:val="1"/>
                <w:bCs w:val="1"/>
                <w:color w:val="auto"/>
              </w:rPr>
              <w:t>LIABILITIES AND SHAREHOLDERS’ EQUITY</w:t>
            </w: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4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20"/>
                <w:szCs w:val="20"/>
                <w:color w:val="auto"/>
              </w:rPr>
            </w:pPr>
            <w:r>
              <w:rPr>
                <w:rFonts w:ascii="Arial" w:cs="Arial" w:eastAsia="Arial" w:hAnsi="Arial"/>
                <w:sz w:val="16"/>
                <w:szCs w:val="16"/>
                <w:color w:val="auto"/>
              </w:rPr>
              <w:t>Trade payables</w:t>
            </w:r>
          </w:p>
        </w:tc>
        <w:tc>
          <w:tcPr>
            <w:tcW w:w="450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26,517</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32,016</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Employees and payroll accruals</w:t>
            </w:r>
          </w:p>
        </w:tc>
        <w:tc>
          <w:tcPr>
            <w:tcW w:w="4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16,569</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15,022</w:t>
            </w:r>
          </w:p>
        </w:tc>
        <w:tc>
          <w:tcPr>
            <w:tcW w:w="0" w:type="dxa"/>
            <w:vAlign w:val="bottom"/>
          </w:tcPr>
          <w:p>
            <w:pPr>
              <w:spacing w:after="0"/>
              <w:rPr>
                <w:sz w:val="1"/>
                <w:szCs w:val="1"/>
                <w:color w:val="auto"/>
              </w:rPr>
            </w:pPr>
          </w:p>
        </w:tc>
      </w:tr>
      <w:tr>
        <w:trPr>
          <w:trHeight w:val="191"/>
        </w:trPr>
        <w:tc>
          <w:tcPr>
            <w:tcW w:w="4520" w:type="dxa"/>
            <w:vAlign w:val="bottom"/>
          </w:tcPr>
          <w:p>
            <w:pPr>
              <w:spacing w:after="0"/>
              <w:rPr>
                <w:sz w:val="20"/>
                <w:szCs w:val="20"/>
                <w:color w:val="auto"/>
              </w:rPr>
            </w:pPr>
            <w:r>
              <w:rPr>
                <w:rFonts w:ascii="Arial" w:cs="Arial" w:eastAsia="Arial" w:hAnsi="Arial"/>
                <w:sz w:val="16"/>
                <w:szCs w:val="16"/>
                <w:color w:val="auto"/>
              </w:rPr>
              <w:t>Deferred revenues and advances from customers</w:t>
            </w: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23,647</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27,019</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w:t>
            </w:r>
          </w:p>
        </w:tc>
        <w:tc>
          <w:tcPr>
            <w:tcW w:w="4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3,721</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3,957</w:t>
            </w:r>
          </w:p>
        </w:tc>
        <w:tc>
          <w:tcPr>
            <w:tcW w:w="0" w:type="dxa"/>
            <w:vAlign w:val="bottom"/>
          </w:tcPr>
          <w:p>
            <w:pPr>
              <w:spacing w:after="0"/>
              <w:rPr>
                <w:sz w:val="1"/>
                <w:szCs w:val="1"/>
                <w:color w:val="auto"/>
              </w:rPr>
            </w:pPr>
          </w:p>
        </w:tc>
      </w:tr>
      <w:tr>
        <w:trPr>
          <w:trHeight w:val="207"/>
        </w:trPr>
        <w:tc>
          <w:tcPr>
            <w:tcW w:w="4520" w:type="dxa"/>
            <w:vAlign w:val="bottom"/>
          </w:tcPr>
          <w:p>
            <w:pPr>
              <w:spacing w:after="0"/>
              <w:rPr>
                <w:sz w:val="20"/>
                <w:szCs w:val="20"/>
                <w:color w:val="auto"/>
              </w:rPr>
            </w:pPr>
            <w:r>
              <w:rPr>
                <w:rFonts w:ascii="Arial" w:cs="Arial" w:eastAsia="Arial" w:hAnsi="Arial"/>
                <w:sz w:val="16"/>
                <w:szCs w:val="16"/>
                <w:color w:val="auto"/>
              </w:rPr>
              <w:t>Other payables and accrued expenses</w:t>
            </w:r>
          </w:p>
        </w:tc>
        <w:tc>
          <w:tcPr>
            <w:tcW w:w="4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13,467</w:t>
            </w:r>
          </w:p>
        </w:tc>
        <w:tc>
          <w:tcPr>
            <w:tcW w:w="3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11,613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416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83,921</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89,627</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LONG-TERM LIABILITIES:</w:t>
            </w:r>
          </w:p>
        </w:tc>
        <w:tc>
          <w:tcPr>
            <w:tcW w:w="4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20"/>
                <w:szCs w:val="20"/>
                <w:color w:val="auto"/>
              </w:rPr>
            </w:pPr>
            <w:r>
              <w:rPr>
                <w:rFonts w:ascii="Arial" w:cs="Arial" w:eastAsia="Arial" w:hAnsi="Arial"/>
                <w:sz w:val="16"/>
                <w:szCs w:val="16"/>
                <w:color w:val="auto"/>
              </w:rPr>
              <w:t>Accrued severance pay</w:t>
            </w: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1,171</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1,214</w:t>
            </w:r>
          </w:p>
        </w:tc>
        <w:tc>
          <w:tcPr>
            <w:tcW w:w="0" w:type="dxa"/>
            <w:vAlign w:val="bottom"/>
          </w:tcPr>
          <w:p>
            <w:pPr>
              <w:spacing w:after="0"/>
              <w:rPr>
                <w:sz w:val="1"/>
                <w:szCs w:val="1"/>
                <w:color w:val="auto"/>
              </w:rPr>
            </w:pPr>
          </w:p>
        </w:tc>
      </w:tr>
      <w:tr>
        <w:trPr>
          <w:trHeight w:val="191"/>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Operating lease liabilities</w:t>
            </w:r>
          </w:p>
        </w:tc>
        <w:tc>
          <w:tcPr>
            <w:tcW w:w="41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17,334</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18,688</w:t>
            </w:r>
          </w:p>
        </w:tc>
        <w:tc>
          <w:tcPr>
            <w:tcW w:w="0" w:type="dxa"/>
            <w:vAlign w:val="bottom"/>
          </w:tcPr>
          <w:p>
            <w:pPr>
              <w:spacing w:after="0"/>
              <w:rPr>
                <w:sz w:val="1"/>
                <w:szCs w:val="1"/>
                <w:color w:val="auto"/>
              </w:rPr>
            </w:pPr>
          </w:p>
        </w:tc>
      </w:tr>
      <w:tr>
        <w:trPr>
          <w:trHeight w:val="207"/>
        </w:trPr>
        <w:tc>
          <w:tcPr>
            <w:tcW w:w="4520" w:type="dxa"/>
            <w:vAlign w:val="bottom"/>
          </w:tcPr>
          <w:p>
            <w:pPr>
              <w:spacing w:after="0"/>
              <w:rPr>
                <w:sz w:val="20"/>
                <w:szCs w:val="20"/>
                <w:color w:val="auto"/>
              </w:rPr>
            </w:pPr>
            <w:r>
              <w:rPr>
                <w:rFonts w:ascii="Arial" w:cs="Arial" w:eastAsia="Arial" w:hAnsi="Arial"/>
                <w:sz w:val="16"/>
                <w:szCs w:val="16"/>
                <w:color w:val="auto"/>
              </w:rPr>
              <w:t>Other long-term liabilities</w:t>
            </w:r>
          </w:p>
        </w:tc>
        <w:tc>
          <w:tcPr>
            <w:tcW w:w="4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742</w:t>
            </w: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443</w:t>
            </w:r>
          </w:p>
        </w:tc>
        <w:tc>
          <w:tcPr>
            <w:tcW w:w="0" w:type="dxa"/>
            <w:vAlign w:val="bottom"/>
          </w:tcPr>
          <w:p>
            <w:pPr>
              <w:spacing w:after="0"/>
              <w:rPr>
                <w:sz w:val="1"/>
                <w:szCs w:val="1"/>
                <w:color w:val="auto"/>
              </w:rPr>
            </w:pPr>
          </w:p>
        </w:tc>
      </w:tr>
      <w:tr>
        <w:trPr>
          <w:trHeight w:val="195"/>
        </w:trPr>
        <w:tc>
          <w:tcPr>
            <w:tcW w:w="4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long-term liabilities</w:t>
            </w:r>
          </w:p>
        </w:tc>
        <w:tc>
          <w:tcPr>
            <w:tcW w:w="416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19,247</w:t>
            </w:r>
          </w:p>
        </w:tc>
        <w:tc>
          <w:tcPr>
            <w:tcW w:w="240" w:type="dxa"/>
            <w:vAlign w:val="bottom"/>
            <w:tcBorders>
              <w:top w:val="single" w:sz="8" w:color="CCEEFF"/>
              <w:bottom w:val="single" w:sz="8" w:color="CCEEFF"/>
            </w:tcBorders>
            <w:shd w:val="clear" w:color="auto" w:fill="CCEEFF"/>
          </w:tcPr>
          <w:p>
            <w:pPr>
              <w:spacing w:after="0"/>
              <w:rPr>
                <w:sz w:val="16"/>
                <w:szCs w:val="16"/>
                <w:color w:val="auto"/>
              </w:rPr>
            </w:pPr>
          </w:p>
        </w:tc>
        <w:tc>
          <w:tcPr>
            <w:tcW w:w="340" w:type="dxa"/>
            <w:vAlign w:val="bottom"/>
            <w:tcBorders>
              <w:top w:val="single" w:sz="8" w:color="auto"/>
              <w:bottom w:val="single" w:sz="8" w:color="auto"/>
            </w:tcBorders>
            <w:shd w:val="clear" w:color="auto" w:fill="CCEEFF"/>
          </w:tcPr>
          <w:p>
            <w:pPr>
              <w:spacing w:after="0"/>
              <w:rPr>
                <w:sz w:val="16"/>
                <w:szCs w:val="16"/>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20,345</w:t>
            </w: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5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SHAREHOLDERS’ EQUITY</w:t>
            </w:r>
          </w:p>
        </w:tc>
        <w:tc>
          <w:tcPr>
            <w:tcW w:w="4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530,292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519,017</w:t>
            </w:r>
          </w:p>
        </w:tc>
        <w:tc>
          <w:tcPr>
            <w:tcW w:w="0" w:type="dxa"/>
            <w:vAlign w:val="bottom"/>
          </w:tcPr>
          <w:p>
            <w:pPr>
              <w:spacing w:after="0"/>
              <w:rPr>
                <w:sz w:val="1"/>
                <w:szCs w:val="1"/>
                <w:color w:val="auto"/>
              </w:rPr>
            </w:pPr>
          </w:p>
        </w:tc>
      </w:tr>
      <w:tr>
        <w:trPr>
          <w:trHeight w:val="191"/>
        </w:trPr>
        <w:tc>
          <w:tcPr>
            <w:tcW w:w="4520" w:type="dxa"/>
            <w:vAlign w:val="bottom"/>
            <w:tcBorders>
              <w:top w:val="single" w:sz="8" w:color="CCEEFF"/>
            </w:tcBorders>
          </w:tcPr>
          <w:p>
            <w:pPr>
              <w:spacing w:after="0"/>
              <w:rPr>
                <w:sz w:val="16"/>
                <w:szCs w:val="16"/>
                <w:color w:val="auto"/>
              </w:rPr>
            </w:pPr>
          </w:p>
        </w:tc>
        <w:tc>
          <w:tcPr>
            <w:tcW w:w="416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4520" w:type="dxa"/>
            <w:vAlign w:val="bottom"/>
            <w:shd w:val="clear" w:color="auto" w:fill="CCEEFF"/>
          </w:tcPr>
          <w:p>
            <w:pPr>
              <w:spacing w:after="0"/>
              <w:rPr>
                <w:sz w:val="20"/>
                <w:szCs w:val="20"/>
                <w:color w:val="auto"/>
              </w:rPr>
            </w:pPr>
            <w:r>
              <w:rPr>
                <w:rFonts w:ascii="Arial" w:cs="Arial" w:eastAsia="Arial" w:hAnsi="Arial"/>
                <w:sz w:val="16"/>
                <w:szCs w:val="16"/>
                <w:color w:val="auto"/>
              </w:rPr>
              <w:t>Total liabilities and shareholders’ equity</w:t>
            </w:r>
          </w:p>
        </w:tc>
        <w:tc>
          <w:tcPr>
            <w:tcW w:w="45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633,460</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628,989</w:t>
            </w:r>
          </w:p>
        </w:tc>
        <w:tc>
          <w:tcPr>
            <w:tcW w:w="0" w:type="dxa"/>
            <w:vAlign w:val="bottom"/>
          </w:tcPr>
          <w:p>
            <w:pPr>
              <w:spacing w:after="0"/>
              <w:rPr>
                <w:sz w:val="1"/>
                <w:szCs w:val="1"/>
                <w:color w:val="auto"/>
              </w:rPr>
            </w:pP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4160" w:type="dxa"/>
            <w:vAlign w:val="bottom"/>
            <w:tcBorders>
              <w:top w:val="single" w:sz="8" w:color="CCEEFF"/>
              <w:bottom w:val="single" w:sz="8" w:color="CCEEFF"/>
            </w:tcBorders>
            <w:vMerge w:val="restart"/>
          </w:tcPr>
          <w:p>
            <w:pPr>
              <w:jc w:val="right"/>
              <w:ind w:right="2940"/>
              <w:spacing w:after="0"/>
              <w:rPr>
                <w:sz w:val="20"/>
                <w:szCs w:val="20"/>
                <w:color w:val="auto"/>
              </w:rPr>
            </w:pPr>
            <w:r>
              <w:rPr>
                <w:rFonts w:ascii="Arial" w:cs="Arial" w:eastAsia="Arial" w:hAnsi="Arial"/>
                <w:sz w:val="16"/>
                <w:szCs w:val="16"/>
                <w:color w:val="auto"/>
              </w:rPr>
              <w:t>5</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45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vMerge w:val="continue"/>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1440" w:gutter="0" w:footer="0" w:header="0"/>
          <w:type w:val="continuous"/>
        </w:sectPr>
      </w:pPr>
    </w:p>
    <w:bookmarkStart w:id="9" w:name="page10"/>
    <w:bookmarkEnd w:id="9"/>
    <w:p>
      <w:pPr>
        <w:ind w:left="474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ind w:left="47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7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Three Months</w:t>
            </w: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7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340" w:type="dxa"/>
            <w:vAlign w:val="bottom"/>
            <w:gridSpan w:val="5"/>
          </w:tcPr>
          <w:p>
            <w:pPr>
              <w:jc w:val="right"/>
              <w:ind w:right="680"/>
              <w:spacing w:after="0"/>
              <w:rPr>
                <w:sz w:val="20"/>
                <w:szCs w:val="20"/>
                <w:color w:val="auto"/>
              </w:rPr>
            </w:pPr>
            <w:r>
              <w:rPr>
                <w:rFonts w:ascii="Arial" w:cs="Arial" w:eastAsia="Arial" w:hAnsi="Arial"/>
                <w:sz w:val="16"/>
                <w:szCs w:val="16"/>
                <w:b w:val="1"/>
                <w:bCs w:val="1"/>
                <w:color w:val="auto"/>
              </w:rPr>
              <w:t>Ended March 31,</w:t>
            </w:r>
          </w:p>
        </w:tc>
        <w:tc>
          <w:tcPr>
            <w:tcW w:w="0" w:type="dxa"/>
            <w:vAlign w:val="bottom"/>
          </w:tcPr>
          <w:p>
            <w:pPr>
              <w:spacing w:after="0"/>
              <w:rPr>
                <w:sz w:val="1"/>
                <w:szCs w:val="1"/>
                <w:color w:val="auto"/>
              </w:rPr>
            </w:pPr>
          </w:p>
        </w:tc>
      </w:tr>
      <w:tr>
        <w:trPr>
          <w:trHeight w:val="207"/>
        </w:trPr>
        <w:tc>
          <w:tcPr>
            <w:tcW w:w="7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89"/>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7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ind w:right="6"/>
              <w:spacing w:after="0"/>
              <w:rPr>
                <w:sz w:val="20"/>
                <w:szCs w:val="20"/>
                <w:color w:val="auto"/>
              </w:rPr>
            </w:pPr>
            <w:r>
              <w:rPr>
                <w:rFonts w:ascii="Arial" w:cs="Arial" w:eastAsia="Arial" w:hAnsi="Arial"/>
                <w:sz w:val="16"/>
                <w:szCs w:val="16"/>
                <w:b w:val="1"/>
                <w:bCs w:val="1"/>
                <w:color w:val="auto"/>
              </w:rPr>
              <w:t>(Unaudited)</w:t>
            </w:r>
          </w:p>
        </w:tc>
        <w:tc>
          <w:tcPr>
            <w:tcW w:w="7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80" w:type="dxa"/>
            <w:vAlign w:val="bottom"/>
          </w:tcPr>
          <w:p>
            <w:pPr>
              <w:spacing w:after="0"/>
              <w:rPr>
                <w:sz w:val="20"/>
                <w:szCs w:val="20"/>
                <w:color w:val="auto"/>
              </w:rPr>
            </w:pPr>
            <w:r>
              <w:rPr>
                <w:rFonts w:ascii="Arial" w:cs="Arial" w:eastAsia="Arial" w:hAnsi="Arial"/>
                <w:sz w:val="16"/>
                <w:szCs w:val="16"/>
                <w:color w:val="auto"/>
              </w:rPr>
              <w:t>Revenues</w:t>
            </w: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Products</w:t>
            </w:r>
          </w:p>
        </w:tc>
        <w:tc>
          <w:tcPr>
            <w:tcW w:w="17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57,946</w:t>
            </w:r>
          </w:p>
        </w:tc>
        <w:tc>
          <w:tcPr>
            <w:tcW w:w="360" w:type="dxa"/>
            <w:vAlign w:val="bottom"/>
            <w:shd w:val="clear" w:color="auto" w:fill="CCEEFF"/>
          </w:tcPr>
          <w:p>
            <w:pPr>
              <w:jc w:val="right"/>
              <w:ind w:right="206"/>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22,387</w:t>
            </w:r>
          </w:p>
        </w:tc>
        <w:tc>
          <w:tcPr>
            <w:tcW w:w="0" w:type="dxa"/>
            <w:vAlign w:val="bottom"/>
          </w:tcPr>
          <w:p>
            <w:pPr>
              <w:spacing w:after="0"/>
              <w:rPr>
                <w:sz w:val="1"/>
                <w:szCs w:val="1"/>
                <w:color w:val="auto"/>
              </w:rPr>
            </w:pPr>
          </w:p>
        </w:tc>
      </w:tr>
      <w:tr>
        <w:trPr>
          <w:trHeight w:val="207"/>
        </w:trPr>
        <w:tc>
          <w:tcPr>
            <w:tcW w:w="7180" w:type="dxa"/>
            <w:vAlign w:val="bottom"/>
          </w:tcPr>
          <w:p>
            <w:pPr>
              <w:ind w:left="140"/>
              <w:spacing w:after="0"/>
              <w:rPr>
                <w:sz w:val="20"/>
                <w:szCs w:val="20"/>
                <w:color w:val="auto"/>
              </w:rPr>
            </w:pPr>
            <w:r>
              <w:rPr>
                <w:rFonts w:ascii="Arial" w:cs="Arial" w:eastAsia="Arial" w:hAnsi="Arial"/>
                <w:sz w:val="16"/>
                <w:szCs w:val="16"/>
                <w:color w:val="auto"/>
              </w:rPr>
              <w:t>Services</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8,177</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3,825</w:t>
            </w:r>
          </w:p>
        </w:tc>
        <w:tc>
          <w:tcPr>
            <w:tcW w:w="0" w:type="dxa"/>
            <w:vAlign w:val="bottom"/>
          </w:tcPr>
          <w:p>
            <w:pPr>
              <w:spacing w:after="0"/>
              <w:rPr>
                <w:sz w:val="1"/>
                <w:szCs w:val="1"/>
                <w:color w:val="auto"/>
              </w:rPr>
            </w:pPr>
          </w:p>
        </w:tc>
      </w:tr>
      <w:tr>
        <w:trPr>
          <w:trHeight w:val="191"/>
        </w:trPr>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revenues</w:t>
            </w:r>
          </w:p>
        </w:tc>
        <w:tc>
          <w:tcPr>
            <w:tcW w:w="15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66,123</w:t>
            </w: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26,212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80" w:type="dxa"/>
            <w:vAlign w:val="bottom"/>
            <w:shd w:val="clear" w:color="auto" w:fill="CCEEFF"/>
          </w:tcPr>
          <w:p>
            <w:pPr>
              <w:spacing w:after="0"/>
              <w:rPr>
                <w:sz w:val="20"/>
                <w:szCs w:val="20"/>
                <w:color w:val="auto"/>
              </w:rPr>
            </w:pPr>
            <w:r>
              <w:rPr>
                <w:rFonts w:ascii="Arial" w:cs="Arial" w:eastAsia="Arial" w:hAnsi="Arial"/>
                <w:sz w:val="16"/>
                <w:szCs w:val="16"/>
                <w:color w:val="auto"/>
              </w:rPr>
              <w:t>Cost of revenues</w:t>
            </w:r>
          </w:p>
        </w:tc>
        <w:tc>
          <w:tcPr>
            <w:tcW w:w="1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80" w:type="dxa"/>
            <w:vAlign w:val="bottom"/>
          </w:tcPr>
          <w:p>
            <w:pPr>
              <w:ind w:left="140"/>
              <w:spacing w:after="0"/>
              <w:rPr>
                <w:sz w:val="20"/>
                <w:szCs w:val="20"/>
                <w:color w:val="auto"/>
              </w:rPr>
            </w:pPr>
            <w:r>
              <w:rPr>
                <w:rFonts w:ascii="Arial" w:cs="Arial" w:eastAsia="Arial" w:hAnsi="Arial"/>
                <w:sz w:val="16"/>
                <w:szCs w:val="16"/>
                <w:color w:val="auto"/>
              </w:rPr>
              <w:t>Products</w:t>
            </w: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28,175</w:t>
            </w:r>
          </w:p>
        </w:tc>
        <w:tc>
          <w:tcPr>
            <w:tcW w:w="3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12,156</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Services</w:t>
            </w: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7,538</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6,028</w:t>
            </w:r>
          </w:p>
        </w:tc>
        <w:tc>
          <w:tcPr>
            <w:tcW w:w="0" w:type="dxa"/>
            <w:vAlign w:val="bottom"/>
          </w:tcPr>
          <w:p>
            <w:pPr>
              <w:spacing w:after="0"/>
              <w:rPr>
                <w:sz w:val="1"/>
                <w:szCs w:val="1"/>
                <w:color w:val="auto"/>
              </w:rPr>
            </w:pPr>
          </w:p>
        </w:tc>
      </w:tr>
      <w:tr>
        <w:trPr>
          <w:trHeight w:val="179"/>
        </w:trPr>
        <w:tc>
          <w:tcPr>
            <w:tcW w:w="7180" w:type="dxa"/>
            <w:vAlign w:val="bottom"/>
            <w:tcBorders>
              <w:top w:val="single" w:sz="8" w:color="CCEEFF"/>
              <w:bottom w:val="single" w:sz="8" w:color="CCEEFF"/>
            </w:tcBorders>
          </w:tcPr>
          <w:p>
            <w:pPr>
              <w:spacing w:after="0" w:line="175" w:lineRule="exact"/>
              <w:rPr>
                <w:sz w:val="20"/>
                <w:szCs w:val="20"/>
                <w:color w:val="auto"/>
              </w:rPr>
            </w:pPr>
            <w:r>
              <w:rPr>
                <w:rFonts w:ascii="Arial" w:cs="Arial" w:eastAsia="Arial" w:hAnsi="Arial"/>
                <w:sz w:val="16"/>
                <w:szCs w:val="16"/>
                <w:color w:val="auto"/>
              </w:rPr>
              <w:t>Total cost of revenues</w:t>
            </w:r>
          </w:p>
        </w:tc>
        <w:tc>
          <w:tcPr>
            <w:tcW w:w="1500" w:type="dxa"/>
            <w:vAlign w:val="bottom"/>
            <w:tcBorders>
              <w:top w:val="single" w:sz="8" w:color="CCEEFF"/>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8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35,713</w:t>
            </w:r>
          </w:p>
        </w:tc>
        <w:tc>
          <w:tcPr>
            <w:tcW w:w="240" w:type="dxa"/>
            <w:vAlign w:val="bottom"/>
            <w:tcBorders>
              <w:top w:val="single" w:sz="8" w:color="CCEEFF"/>
              <w:bottom w:val="single" w:sz="8" w:color="CCEEFF"/>
            </w:tcBorders>
          </w:tcPr>
          <w:p>
            <w:pPr>
              <w:spacing w:after="0"/>
              <w:rPr>
                <w:sz w:val="15"/>
                <w:szCs w:val="15"/>
                <w:color w:val="auto"/>
              </w:rPr>
            </w:pPr>
          </w:p>
        </w:tc>
        <w:tc>
          <w:tcPr>
            <w:tcW w:w="36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spacing w:after="0" w:line="175" w:lineRule="exact"/>
              <w:rPr>
                <w:sz w:val="20"/>
                <w:szCs w:val="20"/>
                <w:color w:val="auto"/>
              </w:rPr>
            </w:pPr>
            <w:r>
              <w:rPr>
                <w:rFonts w:ascii="Arial" w:cs="Arial" w:eastAsia="Arial" w:hAnsi="Arial"/>
                <w:sz w:val="16"/>
                <w:szCs w:val="16"/>
                <w:color w:val="auto"/>
              </w:rPr>
              <w:t>18,184</w:t>
            </w:r>
          </w:p>
        </w:tc>
        <w:tc>
          <w:tcPr>
            <w:tcW w:w="120" w:type="dxa"/>
            <w:vAlign w:val="bottom"/>
            <w:tcBorders>
              <w:top w:val="single" w:sz="8" w:color="CCEEFF"/>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180" w:type="dxa"/>
            <w:vAlign w:val="bottom"/>
            <w:shd w:val="clear" w:color="auto" w:fill="CCEEFF"/>
          </w:tcPr>
          <w:p>
            <w:pPr>
              <w:spacing w:after="0"/>
              <w:rPr>
                <w:sz w:val="16"/>
                <w:szCs w:val="16"/>
                <w:color w:val="auto"/>
              </w:rPr>
            </w:pPr>
          </w:p>
        </w:tc>
        <w:tc>
          <w:tcPr>
            <w:tcW w:w="1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180" w:type="dxa"/>
            <w:vAlign w:val="bottom"/>
          </w:tcPr>
          <w:p>
            <w:pPr>
              <w:spacing w:after="0"/>
              <w:rPr>
                <w:sz w:val="20"/>
                <w:szCs w:val="20"/>
                <w:color w:val="auto"/>
              </w:rPr>
            </w:pPr>
            <w:r>
              <w:rPr>
                <w:rFonts w:ascii="Arial" w:cs="Arial" w:eastAsia="Arial" w:hAnsi="Arial"/>
                <w:sz w:val="16"/>
                <w:szCs w:val="16"/>
                <w:color w:val="auto"/>
              </w:rPr>
              <w:t>Gross profit</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30,410</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8,028</w:t>
            </w:r>
          </w:p>
        </w:tc>
        <w:tc>
          <w:tcPr>
            <w:tcW w:w="0" w:type="dxa"/>
            <w:vAlign w:val="bottom"/>
          </w:tcPr>
          <w:p>
            <w:pPr>
              <w:spacing w:after="0"/>
              <w:rPr>
                <w:sz w:val="1"/>
                <w:szCs w:val="1"/>
                <w:color w:val="auto"/>
              </w:rPr>
            </w:pPr>
          </w:p>
        </w:tc>
      </w:tr>
      <w:tr>
        <w:trPr>
          <w:trHeight w:val="191"/>
        </w:trPr>
        <w:tc>
          <w:tcPr>
            <w:tcW w:w="718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80" w:type="dxa"/>
            <w:vAlign w:val="bottom"/>
          </w:tcPr>
          <w:p>
            <w:pPr>
              <w:spacing w:after="0"/>
              <w:rPr>
                <w:sz w:val="20"/>
                <w:szCs w:val="20"/>
                <w:color w:val="auto"/>
              </w:rPr>
            </w:pPr>
            <w:r>
              <w:rPr>
                <w:rFonts w:ascii="Arial" w:cs="Arial" w:eastAsia="Arial" w:hAnsi="Arial"/>
                <w:sz w:val="16"/>
                <w:szCs w:val="16"/>
                <w:color w:val="auto"/>
              </w:rPr>
              <w:t>Operating expenses:</w:t>
            </w: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Research and development, net</w:t>
            </w:r>
          </w:p>
        </w:tc>
        <w:tc>
          <w:tcPr>
            <w:tcW w:w="1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9,444</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6,483</w:t>
            </w:r>
          </w:p>
        </w:tc>
        <w:tc>
          <w:tcPr>
            <w:tcW w:w="0" w:type="dxa"/>
            <w:vAlign w:val="bottom"/>
          </w:tcPr>
          <w:p>
            <w:pPr>
              <w:spacing w:after="0"/>
              <w:rPr>
                <w:sz w:val="1"/>
                <w:szCs w:val="1"/>
                <w:color w:val="auto"/>
              </w:rPr>
            </w:pPr>
          </w:p>
        </w:tc>
      </w:tr>
      <w:tr>
        <w:trPr>
          <w:trHeight w:val="191"/>
        </w:trPr>
        <w:tc>
          <w:tcPr>
            <w:tcW w:w="7180" w:type="dxa"/>
            <w:vAlign w:val="bottom"/>
          </w:tcPr>
          <w:p>
            <w:pPr>
              <w:ind w:left="140"/>
              <w:spacing w:after="0"/>
              <w:rPr>
                <w:sz w:val="20"/>
                <w:szCs w:val="20"/>
                <w:color w:val="auto"/>
              </w:rPr>
            </w:pPr>
            <w:r>
              <w:rPr>
                <w:rFonts w:ascii="Arial" w:cs="Arial" w:eastAsia="Arial" w:hAnsi="Arial"/>
                <w:sz w:val="16"/>
                <w:szCs w:val="16"/>
                <w:color w:val="auto"/>
              </w:rPr>
              <w:t>Sales and marketing</w:t>
            </w: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11,049</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8,497</w:t>
            </w:r>
          </w:p>
        </w:tc>
        <w:tc>
          <w:tcPr>
            <w:tcW w:w="0" w:type="dxa"/>
            <w:vAlign w:val="bottom"/>
          </w:tcPr>
          <w:p>
            <w:pPr>
              <w:spacing w:after="0"/>
              <w:rPr>
                <w:sz w:val="1"/>
                <w:szCs w:val="1"/>
                <w:color w:val="auto"/>
              </w:rPr>
            </w:pPr>
          </w:p>
        </w:tc>
      </w:tr>
      <w:tr>
        <w:trPr>
          <w:trHeight w:val="223"/>
        </w:trPr>
        <w:tc>
          <w:tcPr>
            <w:tcW w:w="71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General and administrative</w:t>
            </w:r>
          </w:p>
        </w:tc>
        <w:tc>
          <w:tcPr>
            <w:tcW w:w="1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6,808</w:t>
            </w:r>
          </w:p>
        </w:tc>
        <w:tc>
          <w:tcPr>
            <w:tcW w:w="3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6,070</w:t>
            </w:r>
          </w:p>
        </w:tc>
        <w:tc>
          <w:tcPr>
            <w:tcW w:w="0" w:type="dxa"/>
            <w:vAlign w:val="bottom"/>
          </w:tcPr>
          <w:p>
            <w:pPr>
              <w:spacing w:after="0"/>
              <w:rPr>
                <w:sz w:val="1"/>
                <w:szCs w:val="1"/>
                <w:color w:val="auto"/>
              </w:rPr>
            </w:pPr>
          </w:p>
        </w:tc>
      </w:tr>
      <w:tr>
        <w:trPr>
          <w:trHeight w:val="175"/>
        </w:trPr>
        <w:tc>
          <w:tcPr>
            <w:tcW w:w="7180" w:type="dxa"/>
            <w:vAlign w:val="bottom"/>
            <w:tcBorders>
              <w:top w:val="single" w:sz="8" w:color="CCEEFF"/>
            </w:tcBorders>
          </w:tcPr>
          <w:p>
            <w:pPr>
              <w:spacing w:after="0" w:line="175" w:lineRule="exact"/>
              <w:rPr>
                <w:sz w:val="20"/>
                <w:szCs w:val="20"/>
                <w:color w:val="auto"/>
              </w:rPr>
            </w:pPr>
            <w:r>
              <w:rPr>
                <w:rFonts w:ascii="Arial" w:cs="Arial" w:eastAsia="Arial" w:hAnsi="Arial"/>
                <w:sz w:val="16"/>
                <w:szCs w:val="16"/>
                <w:color w:val="auto"/>
              </w:rPr>
              <w:t>Total operating expenses</w:t>
            </w:r>
          </w:p>
        </w:tc>
        <w:tc>
          <w:tcPr>
            <w:tcW w:w="1500" w:type="dxa"/>
            <w:vAlign w:val="bottom"/>
            <w:tcBorders>
              <w:top w:val="single" w:sz="8" w:color="CCEEFF"/>
            </w:tcBorders>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27,301</w:t>
            </w:r>
          </w:p>
        </w:tc>
        <w:tc>
          <w:tcPr>
            <w:tcW w:w="240" w:type="dxa"/>
            <w:vAlign w:val="bottom"/>
            <w:tcBorders>
              <w:top w:val="single" w:sz="8" w:color="CCEEFF"/>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right"/>
              <w:spacing w:after="0" w:line="175" w:lineRule="exact"/>
              <w:rPr>
                <w:sz w:val="20"/>
                <w:szCs w:val="20"/>
                <w:color w:val="auto"/>
              </w:rPr>
            </w:pPr>
            <w:r>
              <w:rPr>
                <w:rFonts w:ascii="Arial" w:cs="Arial" w:eastAsia="Arial" w:hAnsi="Arial"/>
                <w:sz w:val="16"/>
                <w:szCs w:val="16"/>
                <w:color w:val="auto"/>
              </w:rPr>
              <w:t>21,050</w:t>
            </w:r>
          </w:p>
        </w:tc>
        <w:tc>
          <w:tcPr>
            <w:tcW w:w="120" w:type="dxa"/>
            <w:vAlign w:val="bottom"/>
            <w:tcBorders>
              <w:top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7180" w:type="dxa"/>
            <w:vAlign w:val="bottom"/>
            <w:shd w:val="clear" w:color="auto" w:fill="CCEEFF"/>
          </w:tcPr>
          <w:p>
            <w:pPr>
              <w:spacing w:after="0"/>
              <w:rPr>
                <w:sz w:val="20"/>
                <w:szCs w:val="20"/>
                <w:color w:val="auto"/>
              </w:rPr>
            </w:pPr>
            <w:r>
              <w:rPr>
                <w:rFonts w:ascii="Arial" w:cs="Arial" w:eastAsia="Arial" w:hAnsi="Arial"/>
                <w:sz w:val="16"/>
                <w:szCs w:val="16"/>
                <w:color w:val="auto"/>
              </w:rPr>
              <w:t>Operating income (loss)</w:t>
            </w:r>
          </w:p>
        </w:tc>
        <w:tc>
          <w:tcPr>
            <w:tcW w:w="15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3,109</w:t>
            </w:r>
          </w:p>
        </w:tc>
        <w:tc>
          <w:tcPr>
            <w:tcW w:w="36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(13,022)</w:t>
            </w:r>
          </w:p>
        </w:tc>
        <w:tc>
          <w:tcPr>
            <w:tcW w:w="0" w:type="dxa"/>
            <w:vAlign w:val="bottom"/>
          </w:tcPr>
          <w:p>
            <w:pPr>
              <w:spacing w:after="0"/>
              <w:rPr>
                <w:sz w:val="1"/>
                <w:szCs w:val="1"/>
                <w:color w:val="auto"/>
              </w:rPr>
            </w:pPr>
          </w:p>
        </w:tc>
      </w:tr>
      <w:tr>
        <w:trPr>
          <w:trHeight w:val="207"/>
        </w:trPr>
        <w:tc>
          <w:tcPr>
            <w:tcW w:w="7180" w:type="dxa"/>
            <w:vAlign w:val="bottom"/>
          </w:tcPr>
          <w:p>
            <w:pPr>
              <w:spacing w:after="0"/>
              <w:rPr>
                <w:sz w:val="20"/>
                <w:szCs w:val="20"/>
                <w:color w:val="auto"/>
              </w:rPr>
            </w:pPr>
            <w:r>
              <w:rPr>
                <w:rFonts w:ascii="Arial" w:cs="Arial" w:eastAsia="Arial" w:hAnsi="Arial"/>
                <w:sz w:val="16"/>
                <w:szCs w:val="16"/>
                <w:color w:val="auto"/>
              </w:rPr>
              <w:t>Financial income, net</w:t>
            </w:r>
          </w:p>
        </w:tc>
        <w:tc>
          <w:tcPr>
            <w:tcW w:w="1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2,065</w:t>
            </w:r>
          </w:p>
        </w:tc>
        <w:tc>
          <w:tcPr>
            <w:tcW w:w="36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rPr>
              <w:t>2,205</w:t>
            </w:r>
          </w:p>
        </w:tc>
        <w:tc>
          <w:tcPr>
            <w:tcW w:w="0" w:type="dxa"/>
            <w:vAlign w:val="bottom"/>
          </w:tcPr>
          <w:p>
            <w:pPr>
              <w:spacing w:after="0"/>
              <w:rPr>
                <w:sz w:val="1"/>
                <w:szCs w:val="1"/>
                <w:color w:val="auto"/>
              </w:rPr>
            </w:pPr>
          </w:p>
        </w:tc>
      </w:tr>
      <w:tr>
        <w:trPr>
          <w:trHeight w:val="191"/>
        </w:trPr>
        <w:tc>
          <w:tcPr>
            <w:tcW w:w="71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(loss) before taxes on income (tax benefit)</w:t>
            </w:r>
          </w:p>
        </w:tc>
        <w:tc>
          <w:tcPr>
            <w:tcW w:w="15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5,174</w:t>
            </w: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(10,817)</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18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180" w:type="dxa"/>
            <w:vAlign w:val="bottom"/>
            <w:shd w:val="clear" w:color="auto" w:fill="CCEEFF"/>
          </w:tcPr>
          <w:p>
            <w:pPr>
              <w:spacing w:after="0"/>
              <w:rPr>
                <w:sz w:val="20"/>
                <w:szCs w:val="20"/>
                <w:color w:val="auto"/>
              </w:rPr>
            </w:pPr>
            <w:r>
              <w:rPr>
                <w:rFonts w:ascii="Arial" w:cs="Arial" w:eastAsia="Arial" w:hAnsi="Arial"/>
                <w:sz w:val="16"/>
                <w:szCs w:val="16"/>
                <w:color w:val="auto"/>
              </w:rPr>
              <w:t>Taxes on income (Tax benefit)</w:t>
            </w:r>
          </w:p>
        </w:tc>
        <w:tc>
          <w:tcPr>
            <w:tcW w:w="15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0" w:type="dxa"/>
            <w:vAlign w:val="bottom"/>
          </w:tcPr>
          <w:p>
            <w:pPr>
              <w:spacing w:after="0"/>
              <w:rPr>
                <w:sz w:val="1"/>
                <w:szCs w:val="1"/>
                <w:color w:val="auto"/>
              </w:rPr>
            </w:pPr>
          </w:p>
        </w:tc>
      </w:tr>
      <w:tr>
        <w:trPr>
          <w:trHeight w:val="20"/>
        </w:trPr>
        <w:tc>
          <w:tcPr>
            <w:tcW w:w="71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Net income (loss)</w:t>
            </w:r>
          </w:p>
        </w:tc>
        <w:tc>
          <w:tcPr>
            <w:tcW w:w="1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vMerge w:val="restart"/>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43"/>
        </w:trPr>
        <w:tc>
          <w:tcPr>
            <w:tcW w:w="7180" w:type="dxa"/>
            <w:vAlign w:val="bottom"/>
            <w:vMerge w:val="continue"/>
          </w:tcPr>
          <w:p>
            <w:pPr>
              <w:spacing w:after="0"/>
              <w:rPr>
                <w:sz w:val="21"/>
                <w:szCs w:val="21"/>
                <w:color w:val="auto"/>
              </w:rPr>
            </w:pPr>
          </w:p>
        </w:tc>
        <w:tc>
          <w:tcPr>
            <w:tcW w:w="15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5,099</w:t>
            </w:r>
          </w:p>
        </w:tc>
        <w:tc>
          <w:tcPr>
            <w:tcW w:w="3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(10,054</w:t>
            </w:r>
          </w:p>
        </w:tc>
        <w:tc>
          <w:tcPr>
            <w:tcW w:w="12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718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7180" w:type="dxa"/>
            <w:vAlign w:val="bottom"/>
          </w:tcPr>
          <w:p>
            <w:pPr>
              <w:spacing w:after="0"/>
              <w:rPr>
                <w:sz w:val="20"/>
                <w:szCs w:val="20"/>
                <w:color w:val="auto"/>
              </w:rPr>
            </w:pPr>
            <w:r>
              <w:rPr>
                <w:rFonts w:ascii="Arial" w:cs="Arial" w:eastAsia="Arial" w:hAnsi="Arial"/>
                <w:sz w:val="16"/>
                <w:szCs w:val="16"/>
                <w:b w:val="1"/>
                <w:bCs w:val="1"/>
                <w:color w:val="auto"/>
              </w:rPr>
              <w:t>Basic earnings (losses) per share</w:t>
            </w:r>
          </w:p>
        </w:tc>
        <w:tc>
          <w:tcPr>
            <w:tcW w:w="1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0.11</w:t>
            </w:r>
          </w:p>
        </w:tc>
        <w:tc>
          <w:tcPr>
            <w:tcW w:w="240" w:type="dxa"/>
            <w:vAlign w:val="bottom"/>
          </w:tcPr>
          <w:p>
            <w:pPr>
              <w:spacing w:after="0"/>
              <w:rPr>
                <w:sz w:val="23"/>
                <w:szCs w:val="23"/>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line="227" w:lineRule="exact"/>
              <w:rPr>
                <w:sz w:val="20"/>
                <w:szCs w:val="20"/>
                <w:color w:val="auto"/>
              </w:rPr>
            </w:pPr>
            <w:r>
              <w:rPr>
                <w:rFonts w:ascii="Arial" w:cs="Arial" w:eastAsia="Arial" w:hAnsi="Arial"/>
                <w:sz w:val="14"/>
                <w:szCs w:val="14"/>
                <w:color w:val="auto"/>
              </w:rPr>
              <w:t>(0.25</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187"/>
        </w:trPr>
        <w:tc>
          <w:tcPr>
            <w:tcW w:w="718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7180" w:type="dxa"/>
            <w:vAlign w:val="bottom"/>
          </w:tcPr>
          <w:p>
            <w:pPr>
              <w:spacing w:after="0"/>
              <w:rPr>
                <w:sz w:val="20"/>
                <w:szCs w:val="20"/>
                <w:color w:val="auto"/>
              </w:rPr>
            </w:pPr>
            <w:r>
              <w:rPr>
                <w:rFonts w:ascii="Arial" w:cs="Arial" w:eastAsia="Arial" w:hAnsi="Arial"/>
                <w:sz w:val="16"/>
                <w:szCs w:val="16"/>
                <w:color w:val="auto"/>
              </w:rPr>
              <w:t>Weighted average number of shares used in computing basic earnings (losses) per share</w:t>
            </w:r>
          </w:p>
        </w:tc>
        <w:tc>
          <w:tcPr>
            <w:tcW w:w="15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46,041,253</w:t>
            </w:r>
          </w:p>
        </w:tc>
        <w:tc>
          <w:tcPr>
            <w:tcW w:w="360" w:type="dxa"/>
            <w:vAlign w:val="bottom"/>
          </w:tcPr>
          <w:p>
            <w:pPr>
              <w:spacing w:after="0"/>
              <w:rPr>
                <w:sz w:val="23"/>
                <w:szCs w:val="23"/>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40,762,688</w:t>
            </w:r>
          </w:p>
        </w:tc>
        <w:tc>
          <w:tcPr>
            <w:tcW w:w="0" w:type="dxa"/>
            <w:vAlign w:val="bottom"/>
          </w:tcPr>
          <w:p>
            <w:pPr>
              <w:spacing w:after="0"/>
              <w:rPr>
                <w:sz w:val="1"/>
                <w:szCs w:val="1"/>
                <w:color w:val="auto"/>
              </w:rPr>
            </w:pPr>
          </w:p>
        </w:tc>
      </w:tr>
      <w:tr>
        <w:trPr>
          <w:trHeight w:val="187"/>
        </w:trPr>
        <w:tc>
          <w:tcPr>
            <w:tcW w:w="718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7180" w:type="dxa"/>
            <w:vAlign w:val="bottom"/>
          </w:tcPr>
          <w:p>
            <w:pPr>
              <w:spacing w:after="0"/>
              <w:rPr>
                <w:sz w:val="20"/>
                <w:szCs w:val="20"/>
                <w:color w:val="auto"/>
              </w:rPr>
            </w:pPr>
            <w:r>
              <w:rPr>
                <w:rFonts w:ascii="Arial" w:cs="Arial" w:eastAsia="Arial" w:hAnsi="Arial"/>
                <w:sz w:val="16"/>
                <w:szCs w:val="16"/>
                <w:b w:val="1"/>
                <w:bCs w:val="1"/>
                <w:color w:val="auto"/>
              </w:rPr>
              <w:t>Diluted earnings (losses) per share</w:t>
            </w:r>
          </w:p>
        </w:tc>
        <w:tc>
          <w:tcPr>
            <w:tcW w:w="17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0.11</w:t>
            </w:r>
          </w:p>
        </w:tc>
        <w:tc>
          <w:tcPr>
            <w:tcW w:w="240" w:type="dxa"/>
            <w:vAlign w:val="bottom"/>
          </w:tcPr>
          <w:p>
            <w:pPr>
              <w:spacing w:after="0"/>
              <w:rPr>
                <w:sz w:val="23"/>
                <w:szCs w:val="23"/>
                <w:color w:val="auto"/>
              </w:rPr>
            </w:pPr>
          </w:p>
        </w:tc>
        <w:tc>
          <w:tcPr>
            <w:tcW w:w="360" w:type="dxa"/>
            <w:vAlign w:val="bottom"/>
          </w:tcPr>
          <w:p>
            <w:pPr>
              <w:jc w:val="right"/>
              <w:ind w:right="206"/>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spacing w:after="0" w:line="227" w:lineRule="exact"/>
              <w:rPr>
                <w:sz w:val="20"/>
                <w:szCs w:val="20"/>
                <w:color w:val="auto"/>
              </w:rPr>
            </w:pPr>
            <w:r>
              <w:rPr>
                <w:rFonts w:ascii="Arial" w:cs="Arial" w:eastAsia="Arial" w:hAnsi="Arial"/>
                <w:sz w:val="14"/>
                <w:szCs w:val="14"/>
                <w:color w:val="auto"/>
              </w:rPr>
              <w:t>(0.25</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187"/>
        </w:trPr>
        <w:tc>
          <w:tcPr>
            <w:tcW w:w="7180" w:type="dxa"/>
            <w:vAlign w:val="bottom"/>
            <w:tcBorders>
              <w:top w:val="single" w:sz="8" w:color="CCEEFF"/>
            </w:tcBorders>
            <w:shd w:val="clear" w:color="auto" w:fill="CCEEFF"/>
          </w:tcPr>
          <w:p>
            <w:pPr>
              <w:spacing w:after="0"/>
              <w:rPr>
                <w:sz w:val="16"/>
                <w:szCs w:val="16"/>
                <w:color w:val="auto"/>
              </w:rPr>
            </w:pPr>
          </w:p>
        </w:tc>
        <w:tc>
          <w:tcPr>
            <w:tcW w:w="15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6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7180" w:type="dxa"/>
            <w:vAlign w:val="bottom"/>
          </w:tcPr>
          <w:p>
            <w:pPr>
              <w:spacing w:after="0"/>
              <w:rPr>
                <w:sz w:val="20"/>
                <w:szCs w:val="20"/>
                <w:color w:val="auto"/>
              </w:rPr>
            </w:pPr>
            <w:r>
              <w:rPr>
                <w:rFonts w:ascii="Arial" w:cs="Arial" w:eastAsia="Arial" w:hAnsi="Arial"/>
                <w:sz w:val="16"/>
                <w:szCs w:val="16"/>
                <w:color w:val="auto"/>
              </w:rPr>
              <w:t>Weighted average number of shares used in computing diluted earnings (losses) per share</w:t>
            </w: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47,568,215</w:t>
            </w:r>
          </w:p>
        </w:tc>
        <w:tc>
          <w:tcPr>
            <w:tcW w:w="36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6"/>
                <w:szCs w:val="16"/>
                <w:color w:val="auto"/>
                <w:w w:val="89"/>
              </w:rPr>
              <w:t>40,762,688</w:t>
            </w:r>
          </w:p>
        </w:tc>
        <w:tc>
          <w:tcPr>
            <w:tcW w:w="0" w:type="dxa"/>
            <w:vAlign w:val="bottom"/>
          </w:tcPr>
          <w:p>
            <w:pPr>
              <w:spacing w:after="0"/>
              <w:rPr>
                <w:sz w:val="1"/>
                <w:szCs w:val="1"/>
                <w:color w:val="auto"/>
              </w:rPr>
            </w:pPr>
          </w:p>
        </w:tc>
      </w:tr>
      <w:tr>
        <w:trPr>
          <w:trHeight w:val="20"/>
        </w:trPr>
        <w:tc>
          <w:tcPr>
            <w:tcW w:w="7180" w:type="dxa"/>
            <w:vAlign w:val="bottom"/>
            <w:vMerge w:val="restart"/>
          </w:tcPr>
          <w:p>
            <w:pPr>
              <w:ind w:left="5580"/>
              <w:spacing w:after="0"/>
              <w:rPr>
                <w:sz w:val="20"/>
                <w:szCs w:val="20"/>
                <w:color w:val="auto"/>
              </w:rPr>
            </w:pPr>
            <w:r>
              <w:rPr>
                <w:rFonts w:ascii="Arial" w:cs="Arial" w:eastAsia="Arial" w:hAnsi="Arial"/>
                <w:sz w:val="16"/>
                <w:szCs w:val="16"/>
                <w:color w:val="auto"/>
              </w:rPr>
              <w:t>6</w:t>
            </w:r>
          </w:p>
        </w:tc>
        <w:tc>
          <w:tcPr>
            <w:tcW w:w="1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3"/>
        </w:trPr>
        <w:tc>
          <w:tcPr>
            <w:tcW w:w="7180" w:type="dxa"/>
            <w:vAlign w:val="bottom"/>
            <w:tcBorders>
              <w:bottom w:val="single" w:sz="8" w:color="auto"/>
            </w:tcBorders>
            <w:vMerge w:val="continue"/>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1440" w:gutter="0" w:footer="0" w:header="0"/>
        </w:sectPr>
      </w:pPr>
    </w:p>
    <w:bookmarkStart w:id="10" w:name="page11"/>
    <w:bookmarkEnd w:id="10"/>
    <w:p>
      <w:pPr>
        <w:spacing w:after="0" w:line="52"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RECONCILATION OF GAAP TO NON-GAAP CONSOLIDATED STATEMENTS OF OPERATIONS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340" w:type="dxa"/>
            <w:vAlign w:val="bottom"/>
            <w:gridSpan w:val="5"/>
          </w:tcPr>
          <w:p>
            <w:pPr>
              <w:jc w:val="center"/>
              <w:ind w:right="280"/>
              <w:spacing w:after="0"/>
              <w:rPr>
                <w:sz w:val="20"/>
                <w:szCs w:val="20"/>
                <w:color w:val="auto"/>
              </w:rPr>
            </w:pPr>
            <w:r>
              <w:rPr>
                <w:rFonts w:ascii="Arial" w:cs="Arial" w:eastAsia="Arial" w:hAnsi="Arial"/>
                <w:sz w:val="16"/>
                <w:szCs w:val="16"/>
                <w:b w:val="1"/>
                <w:bCs w:val="1"/>
                <w:color w:val="auto"/>
                <w:w w:val="92"/>
              </w:rPr>
              <w:t>Three Months Ended</w:t>
            </w:r>
          </w:p>
        </w:tc>
        <w:tc>
          <w:tcPr>
            <w:tcW w:w="0" w:type="dxa"/>
            <w:vAlign w:val="bottom"/>
          </w:tcPr>
          <w:p>
            <w:pPr>
              <w:spacing w:after="0"/>
              <w:rPr>
                <w:sz w:val="1"/>
                <w:szCs w:val="1"/>
                <w:color w:val="auto"/>
              </w:rPr>
            </w:pPr>
          </w:p>
        </w:tc>
      </w:tr>
      <w:tr>
        <w:trPr>
          <w:trHeight w:val="212"/>
        </w:trPr>
        <w:tc>
          <w:tcPr>
            <w:tcW w:w="67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6"/>
                <w:szCs w:val="16"/>
                <w:b w:val="1"/>
                <w:bCs w:val="1"/>
                <w:color w:val="auto"/>
                <w:w w:val="94"/>
              </w:rPr>
              <w:t>March 31,</w:t>
            </w:r>
          </w:p>
        </w:tc>
        <w:tc>
          <w:tcPr>
            <w:tcW w:w="7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78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321"/>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6780" w:type="dxa"/>
            <w:vAlign w:val="bottom"/>
            <w:tcBorders>
              <w:bottom w:val="single" w:sz="8" w:color="CCEEFF"/>
            </w:tcBorders>
          </w:tcPr>
          <w:p>
            <w:pPr>
              <w:spacing w:after="0"/>
              <w:rPr>
                <w:sz w:val="16"/>
                <w:szCs w:val="16"/>
                <w:color w:val="auto"/>
              </w:rPr>
            </w:pPr>
          </w:p>
        </w:tc>
        <w:tc>
          <w:tcPr>
            <w:tcW w:w="19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left="440"/>
              <w:spacing w:after="0"/>
              <w:rPr>
                <w:sz w:val="20"/>
                <w:szCs w:val="20"/>
                <w:color w:val="auto"/>
              </w:rPr>
            </w:pPr>
            <w:r>
              <w:rPr>
                <w:rFonts w:ascii="Arial" w:cs="Arial" w:eastAsia="Arial" w:hAnsi="Arial"/>
                <w:sz w:val="16"/>
                <w:szCs w:val="16"/>
                <w:b w:val="1"/>
                <w:bCs w:val="1"/>
                <w:color w:val="auto"/>
                <w:w w:val="92"/>
              </w:rPr>
              <w:t>(Unaudited)</w:t>
            </w: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GAAP cost of revenues</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86"/>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35,713</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18,184</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tcPr>
          <w:p>
            <w:pPr>
              <w:spacing w:after="0"/>
              <w:rPr>
                <w:sz w:val="20"/>
                <w:szCs w:val="20"/>
                <w:color w:val="auto"/>
              </w:rPr>
            </w:pPr>
            <w:r>
              <w:rPr>
                <w:rFonts w:ascii="Arial" w:cs="Arial" w:eastAsia="Arial" w:hAnsi="Arial"/>
                <w:sz w:val="16"/>
                <w:szCs w:val="16"/>
                <w:color w:val="auto"/>
              </w:rPr>
              <w:t>Cost of product recorded for share-based compensation (1)</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(299)</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(214)</w:t>
            </w: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Cost of service recorded for share-based compensation (1)</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(233)</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0" w:type="dxa"/>
            <w:vAlign w:val="bottom"/>
          </w:tcPr>
          <w:p>
            <w:pPr>
              <w:spacing w:after="0"/>
              <w:rPr>
                <w:sz w:val="1"/>
                <w:szCs w:val="1"/>
                <w:color w:val="auto"/>
              </w:rPr>
            </w:pPr>
          </w:p>
        </w:tc>
      </w:tr>
      <w:tr>
        <w:trPr>
          <w:trHeight w:val="191"/>
        </w:trPr>
        <w:tc>
          <w:tcPr>
            <w:tcW w:w="6780" w:type="dxa"/>
            <w:vAlign w:val="bottom"/>
          </w:tcPr>
          <w:p>
            <w:pPr>
              <w:spacing w:after="0"/>
              <w:rPr>
                <w:sz w:val="20"/>
                <w:szCs w:val="20"/>
                <w:color w:val="auto"/>
              </w:rPr>
            </w:pPr>
            <w:r>
              <w:rPr>
                <w:rFonts w:ascii="Arial" w:cs="Arial" w:eastAsia="Arial" w:hAnsi="Arial"/>
                <w:sz w:val="16"/>
                <w:szCs w:val="16"/>
                <w:color w:val="auto"/>
              </w:rPr>
              <w:t>Intangible assets amortization on cost of product (2)</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(25)</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amortization on cost of service (2)</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(160)</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COVID-19 one time impact (3)</w:t>
            </w: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(244)</w:t>
            </w:r>
          </w:p>
        </w:tc>
        <w:tc>
          <w:tcPr>
            <w:tcW w:w="0" w:type="dxa"/>
            <w:vAlign w:val="bottom"/>
          </w:tcPr>
          <w:p>
            <w:pPr>
              <w:spacing w:after="0"/>
              <w:rPr>
                <w:sz w:val="1"/>
                <w:szCs w:val="1"/>
                <w:color w:val="auto"/>
              </w:rPr>
            </w:pPr>
          </w:p>
        </w:tc>
      </w:tr>
      <w:tr>
        <w:trPr>
          <w:trHeight w:val="24"/>
        </w:trPr>
        <w:tc>
          <w:tcPr>
            <w:tcW w:w="67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cost of revenues</w:t>
            </w:r>
          </w:p>
        </w:tc>
        <w:tc>
          <w:tcPr>
            <w:tcW w:w="1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6780" w:type="dxa"/>
            <w:vAlign w:val="bottom"/>
            <w:vMerge w:val="continue"/>
            <w:shd w:val="clear" w:color="auto" w:fill="CCEEFF"/>
          </w:tcPr>
          <w:p>
            <w:pPr>
              <w:spacing w:after="0"/>
              <w:rPr>
                <w:sz w:val="19"/>
                <w:szCs w:val="19"/>
                <w:color w:val="auto"/>
              </w:rPr>
            </w:pPr>
          </w:p>
        </w:tc>
        <w:tc>
          <w:tcPr>
            <w:tcW w:w="214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34,996</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17,551</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GAAP gross profit</w:t>
            </w:r>
          </w:p>
        </w:tc>
        <w:tc>
          <w:tcPr>
            <w:tcW w:w="214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30,410</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8,028</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Gross profit adjustments</w:t>
            </w: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717</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633</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7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gross profit</w:t>
            </w:r>
          </w:p>
        </w:tc>
        <w:tc>
          <w:tcPr>
            <w:tcW w:w="1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6780" w:type="dxa"/>
            <w:vAlign w:val="bottom"/>
            <w:vMerge w:val="continue"/>
            <w:shd w:val="clear" w:color="auto" w:fill="CCEEFF"/>
          </w:tcPr>
          <w:p>
            <w:pPr>
              <w:spacing w:after="0"/>
              <w:rPr>
                <w:sz w:val="19"/>
                <w:szCs w:val="19"/>
                <w:color w:val="auto"/>
              </w:rPr>
            </w:pPr>
          </w:p>
        </w:tc>
        <w:tc>
          <w:tcPr>
            <w:tcW w:w="214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31,127</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8,661</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GAAP operating expenses</w:t>
            </w:r>
          </w:p>
        </w:tc>
        <w:tc>
          <w:tcPr>
            <w:tcW w:w="214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27,301</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21,050</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tcPr>
          <w:p>
            <w:pPr>
              <w:spacing w:after="0"/>
              <w:rPr>
                <w:sz w:val="20"/>
                <w:szCs w:val="20"/>
                <w:color w:val="auto"/>
              </w:rPr>
            </w:pPr>
            <w:r>
              <w:rPr>
                <w:rFonts w:ascii="Arial" w:cs="Arial" w:eastAsia="Arial" w:hAnsi="Arial"/>
                <w:sz w:val="16"/>
                <w:szCs w:val="16"/>
                <w:color w:val="auto"/>
              </w:rPr>
              <w:t>Share-based compensation (1)</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(2,540)</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(1,744)</w:t>
            </w: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Intangible assets amortization (2)</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(119)</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COVID-19 one time impact (3)</w:t>
            </w: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4"/>
        </w:trPr>
        <w:tc>
          <w:tcPr>
            <w:tcW w:w="67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operating expenses</w:t>
            </w:r>
          </w:p>
        </w:tc>
        <w:tc>
          <w:tcPr>
            <w:tcW w:w="1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6780" w:type="dxa"/>
            <w:vAlign w:val="bottom"/>
            <w:vMerge w:val="continue"/>
            <w:shd w:val="clear" w:color="auto" w:fill="CCEEFF"/>
          </w:tcPr>
          <w:p>
            <w:pPr>
              <w:spacing w:after="0"/>
              <w:rPr>
                <w:sz w:val="19"/>
                <w:szCs w:val="19"/>
                <w:color w:val="auto"/>
              </w:rPr>
            </w:pPr>
          </w:p>
        </w:tc>
        <w:tc>
          <w:tcPr>
            <w:tcW w:w="214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24,642</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19,160</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GAAP Financial income, net</w:t>
            </w:r>
          </w:p>
        </w:tc>
        <w:tc>
          <w:tcPr>
            <w:tcW w:w="214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2,065</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2,205</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Foreign exchange gain associated with ASC 842</w:t>
            </w: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(802)</w:t>
            </w:r>
          </w:p>
        </w:tc>
        <w:tc>
          <w:tcPr>
            <w:tcW w:w="3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24"/>
        </w:trPr>
        <w:tc>
          <w:tcPr>
            <w:tcW w:w="67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Financial income, net</w:t>
            </w:r>
          </w:p>
        </w:tc>
        <w:tc>
          <w:tcPr>
            <w:tcW w:w="1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6780" w:type="dxa"/>
            <w:vAlign w:val="bottom"/>
            <w:vMerge w:val="continue"/>
            <w:shd w:val="clear" w:color="auto" w:fill="CCEEFF"/>
          </w:tcPr>
          <w:p>
            <w:pPr>
              <w:spacing w:after="0"/>
              <w:rPr>
                <w:sz w:val="19"/>
                <w:szCs w:val="19"/>
                <w:color w:val="auto"/>
              </w:rPr>
            </w:pPr>
          </w:p>
        </w:tc>
        <w:tc>
          <w:tcPr>
            <w:tcW w:w="214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1,263</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1,595</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GAAP Taxes on income (Tax benefit)</w:t>
            </w:r>
          </w:p>
        </w:tc>
        <w:tc>
          <w:tcPr>
            <w:tcW w:w="214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(763)</w:t>
            </w:r>
          </w:p>
        </w:tc>
        <w:tc>
          <w:tcPr>
            <w:tcW w:w="0" w:type="dxa"/>
            <w:vAlign w:val="bottom"/>
          </w:tcPr>
          <w:p>
            <w:pPr>
              <w:spacing w:after="0"/>
              <w:rPr>
                <w:sz w:val="1"/>
                <w:szCs w:val="1"/>
                <w:color w:val="auto"/>
              </w:rPr>
            </w:pPr>
          </w:p>
        </w:tc>
      </w:tr>
      <w:tr>
        <w:trPr>
          <w:trHeight w:val="191"/>
        </w:trPr>
        <w:tc>
          <w:tcPr>
            <w:tcW w:w="6780" w:type="dxa"/>
            <w:vAlign w:val="bottom"/>
          </w:tcPr>
          <w:p>
            <w:pPr>
              <w:spacing w:after="0"/>
              <w:rPr>
                <w:sz w:val="20"/>
                <w:szCs w:val="20"/>
                <w:color w:val="auto"/>
              </w:rPr>
            </w:pPr>
            <w:r>
              <w:rPr>
                <w:rFonts w:ascii="Arial" w:cs="Arial" w:eastAsia="Arial" w:hAnsi="Arial"/>
                <w:sz w:val="16"/>
                <w:szCs w:val="16"/>
                <w:color w:val="auto"/>
              </w:rPr>
              <w:t>Tax effect on to the above non-GAAP adjustments</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191</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(82)</w:t>
            </w:r>
          </w:p>
        </w:tc>
        <w:tc>
          <w:tcPr>
            <w:tcW w:w="0" w:type="dxa"/>
            <w:vAlign w:val="bottom"/>
          </w:tcPr>
          <w:p>
            <w:pPr>
              <w:spacing w:after="0"/>
              <w:rPr>
                <w:sz w:val="1"/>
                <w:szCs w:val="1"/>
                <w:color w:val="auto"/>
              </w:rPr>
            </w:pPr>
          </w:p>
        </w:tc>
      </w:tr>
      <w:tr>
        <w:trPr>
          <w:trHeight w:val="203"/>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Taxes on income (Tax benefit) (a)</w:t>
            </w:r>
          </w:p>
        </w:tc>
        <w:tc>
          <w:tcPr>
            <w:tcW w:w="19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(248)</w:t>
            </w:r>
          </w:p>
        </w:tc>
        <w:tc>
          <w:tcPr>
            <w:tcW w:w="34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846</w:t>
            </w:r>
          </w:p>
        </w:tc>
        <w:tc>
          <w:tcPr>
            <w:tcW w:w="120" w:type="dxa"/>
            <w:vAlign w:val="bottom"/>
            <w:tcBorders>
              <w:lef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vMerge w:val="restart"/>
          </w:tcPr>
          <w:p>
            <w:pPr>
              <w:spacing w:after="0"/>
              <w:rPr>
                <w:sz w:val="20"/>
                <w:szCs w:val="20"/>
                <w:color w:val="auto"/>
              </w:rPr>
            </w:pPr>
            <w:r>
              <w:rPr>
                <w:rFonts w:ascii="Arial" w:cs="Arial" w:eastAsia="Arial" w:hAnsi="Arial"/>
                <w:sz w:val="16"/>
                <w:szCs w:val="16"/>
                <w:color w:val="auto"/>
              </w:rPr>
              <w:t>Non-GAAP Taxes on income</w:t>
            </w: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6780" w:type="dxa"/>
            <w:vAlign w:val="bottom"/>
            <w:vMerge w:val="continue"/>
          </w:tcPr>
          <w:p>
            <w:pPr>
              <w:spacing w:after="0"/>
              <w:rPr>
                <w:sz w:val="21"/>
                <w:szCs w:val="21"/>
                <w:color w:val="auto"/>
              </w:rPr>
            </w:pPr>
          </w:p>
        </w:tc>
        <w:tc>
          <w:tcPr>
            <w:tcW w:w="214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18</w:t>
            </w:r>
          </w:p>
        </w:tc>
        <w:tc>
          <w:tcPr>
            <w:tcW w:w="240" w:type="dxa"/>
            <w:vAlign w:val="bottom"/>
          </w:tcPr>
          <w:p>
            <w:pPr>
              <w:spacing w:after="0"/>
              <w:rPr>
                <w:sz w:val="21"/>
                <w:szCs w:val="21"/>
                <w:color w:val="auto"/>
              </w:rPr>
            </w:pP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7"/>
        </w:trPr>
        <w:tc>
          <w:tcPr>
            <w:tcW w:w="6780" w:type="dxa"/>
            <w:vAlign w:val="bottom"/>
            <w:tcBorders>
              <w:top w:val="single" w:sz="8" w:color="CCEEFF"/>
            </w:tcBorders>
            <w:shd w:val="clear" w:color="auto" w:fill="CCEEFF"/>
          </w:tcPr>
          <w:p>
            <w:pPr>
              <w:spacing w:after="0"/>
              <w:rPr>
                <w:sz w:val="16"/>
                <w:szCs w:val="16"/>
                <w:color w:val="auto"/>
              </w:rPr>
            </w:pPr>
          </w:p>
        </w:tc>
        <w:tc>
          <w:tcPr>
            <w:tcW w:w="190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tcPr>
          <w:p>
            <w:pPr>
              <w:spacing w:after="0"/>
              <w:rPr>
                <w:sz w:val="20"/>
                <w:szCs w:val="20"/>
                <w:color w:val="auto"/>
              </w:rPr>
            </w:pPr>
            <w:r>
              <w:rPr>
                <w:rFonts w:ascii="Arial" w:cs="Arial" w:eastAsia="Arial" w:hAnsi="Arial"/>
                <w:sz w:val="16"/>
                <w:szCs w:val="16"/>
                <w:color w:val="auto"/>
              </w:rPr>
              <w:t>GAAP net income (loss)</w:t>
            </w:r>
          </w:p>
        </w:tc>
        <w:tc>
          <w:tcPr>
            <w:tcW w:w="2140" w:type="dxa"/>
            <w:vAlign w:val="bottom"/>
            <w:gridSpan w:val="2"/>
          </w:tcPr>
          <w:p>
            <w:pPr>
              <w:jc w:val="right"/>
              <w:ind w:right="86"/>
              <w:spacing w:after="0"/>
              <w:rPr>
                <w:sz w:val="20"/>
                <w:szCs w:val="20"/>
                <w:color w:val="auto"/>
              </w:rPr>
            </w:pPr>
            <w:r>
              <w:rPr>
                <w:rFonts w:ascii="Arial" w:cs="Arial" w:eastAsia="Arial" w:hAnsi="Arial"/>
                <w:sz w:val="16"/>
                <w:szCs w:val="16"/>
                <w:color w:val="auto"/>
              </w:rPr>
              <w:t>$</w:t>
            </w: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5,099</w:t>
            </w:r>
          </w:p>
        </w:tc>
        <w:tc>
          <w:tcPr>
            <w:tcW w:w="340" w:type="dxa"/>
            <w:vAlign w:val="bottom"/>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(10,054)</w:t>
            </w: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Share-based compensation (1)</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3,072</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tcPr>
          <w:p>
            <w:pPr>
              <w:spacing w:after="0"/>
              <w:rPr>
                <w:sz w:val="20"/>
                <w:szCs w:val="20"/>
                <w:color w:val="auto"/>
              </w:rPr>
            </w:pPr>
            <w:r>
              <w:rPr>
                <w:rFonts w:ascii="Arial" w:cs="Arial" w:eastAsia="Arial" w:hAnsi="Arial"/>
                <w:sz w:val="16"/>
                <w:szCs w:val="16"/>
                <w:color w:val="auto"/>
              </w:rPr>
              <w:t>Intangible assets amortization (2)</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304</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COVID-19 one time impact (3)</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tcPr>
          <w:p>
            <w:pPr>
              <w:spacing w:after="0"/>
              <w:rPr>
                <w:sz w:val="20"/>
                <w:szCs w:val="20"/>
                <w:color w:val="auto"/>
              </w:rPr>
            </w:pPr>
            <w:r>
              <w:rPr>
                <w:rFonts w:ascii="Arial" w:cs="Arial" w:eastAsia="Arial" w:hAnsi="Arial"/>
                <w:sz w:val="16"/>
                <w:szCs w:val="16"/>
                <w:color w:val="auto"/>
              </w:rPr>
              <w:t>Foreign exchange gain associated with ASC 842</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(802)</w:t>
            </w:r>
          </w:p>
        </w:tc>
        <w:tc>
          <w:tcPr>
            <w:tcW w:w="340" w:type="dxa"/>
            <w:vAlign w:val="bottom"/>
          </w:tcPr>
          <w:p>
            <w:pPr>
              <w:spacing w:after="0"/>
              <w:rPr>
                <w:sz w:val="16"/>
                <w:szCs w:val="16"/>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(610)</w:t>
            </w: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Tax effect on to the above non-GAAP adjustments</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(191)</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82</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80" w:type="dxa"/>
            <w:vAlign w:val="bottom"/>
          </w:tcPr>
          <w:p>
            <w:pPr>
              <w:spacing w:after="0"/>
              <w:rPr>
                <w:sz w:val="20"/>
                <w:szCs w:val="20"/>
                <w:color w:val="auto"/>
              </w:rPr>
            </w:pPr>
            <w:r>
              <w:rPr>
                <w:rFonts w:ascii="Arial" w:cs="Arial" w:eastAsia="Arial" w:hAnsi="Arial"/>
                <w:sz w:val="16"/>
                <w:szCs w:val="16"/>
                <w:color w:val="auto"/>
              </w:rPr>
              <w:t>Deferred taxes on income (Tax benefit) (a)</w:t>
            </w: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248</w:t>
            </w:r>
          </w:p>
        </w:tc>
        <w:tc>
          <w:tcPr>
            <w:tcW w:w="340" w:type="dxa"/>
            <w:vAlign w:val="bottom"/>
          </w:tcPr>
          <w:p>
            <w:pPr>
              <w:spacing w:after="0"/>
              <w:rPr>
                <w:sz w:val="17"/>
                <w:szCs w:val="17"/>
                <w:color w:val="auto"/>
              </w:rPr>
            </w:pPr>
          </w:p>
        </w:tc>
        <w:tc>
          <w:tcPr>
            <w:tcW w:w="880" w:type="dxa"/>
            <w:vAlign w:val="bottom"/>
            <w:gridSpan w:val="2"/>
          </w:tcPr>
          <w:p>
            <w:pPr>
              <w:jc w:val="right"/>
              <w:spacing w:after="0"/>
              <w:rPr>
                <w:sz w:val="20"/>
                <w:szCs w:val="20"/>
                <w:color w:val="auto"/>
              </w:rPr>
            </w:pPr>
            <w:r>
              <w:rPr>
                <w:rFonts w:ascii="Arial" w:cs="Arial" w:eastAsia="Arial" w:hAnsi="Arial"/>
                <w:sz w:val="16"/>
                <w:szCs w:val="16"/>
                <w:color w:val="auto"/>
              </w:rPr>
              <w:t>(846)</w:t>
            </w:r>
          </w:p>
        </w:tc>
        <w:tc>
          <w:tcPr>
            <w:tcW w:w="0" w:type="dxa"/>
            <w:vAlign w:val="bottom"/>
          </w:tcPr>
          <w:p>
            <w:pPr>
              <w:spacing w:after="0"/>
              <w:rPr>
                <w:sz w:val="1"/>
                <w:szCs w:val="1"/>
                <w:color w:val="auto"/>
              </w:rPr>
            </w:pPr>
          </w:p>
        </w:tc>
      </w:tr>
      <w:tr>
        <w:trPr>
          <w:trHeight w:val="24"/>
        </w:trPr>
        <w:tc>
          <w:tcPr>
            <w:tcW w:w="6780" w:type="dxa"/>
            <w:vAlign w:val="bottom"/>
            <w:vMerge w:val="restart"/>
            <w:shd w:val="clear" w:color="auto" w:fill="CCEEFF"/>
          </w:tcPr>
          <w:p>
            <w:pPr>
              <w:spacing w:after="0"/>
              <w:rPr>
                <w:sz w:val="20"/>
                <w:szCs w:val="20"/>
                <w:color w:val="auto"/>
              </w:rPr>
            </w:pPr>
            <w:r>
              <w:rPr>
                <w:rFonts w:ascii="Arial" w:cs="Arial" w:eastAsia="Arial" w:hAnsi="Arial"/>
                <w:sz w:val="16"/>
                <w:szCs w:val="16"/>
                <w:color w:val="auto"/>
              </w:rPr>
              <w:t>Non-GAAP net income (loss)</w:t>
            </w:r>
          </w:p>
        </w:tc>
        <w:tc>
          <w:tcPr>
            <w:tcW w:w="1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Borders>
              <w:left w:val="single" w:sz="8" w:color="CCEEFF"/>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9"/>
        </w:trPr>
        <w:tc>
          <w:tcPr>
            <w:tcW w:w="6780" w:type="dxa"/>
            <w:vAlign w:val="bottom"/>
            <w:vMerge w:val="continue"/>
            <w:shd w:val="clear" w:color="auto" w:fill="CCEEFF"/>
          </w:tcPr>
          <w:p>
            <w:pPr>
              <w:spacing w:after="0"/>
              <w:rPr>
                <w:sz w:val="19"/>
                <w:szCs w:val="19"/>
                <w:color w:val="auto"/>
              </w:rPr>
            </w:pPr>
          </w:p>
        </w:tc>
        <w:tc>
          <w:tcPr>
            <w:tcW w:w="214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7,730</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(8,905</w:t>
            </w:r>
          </w:p>
        </w:tc>
        <w:tc>
          <w:tcPr>
            <w:tcW w:w="120" w:type="dxa"/>
            <w:vAlign w:val="bottom"/>
            <w:tcBorders>
              <w:left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GAAP diluted earnings (losses) per share</w:t>
            </w:r>
          </w:p>
        </w:tc>
        <w:tc>
          <w:tcPr>
            <w:tcW w:w="214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0.11</w:t>
            </w:r>
          </w:p>
        </w:tc>
        <w:tc>
          <w:tcPr>
            <w:tcW w:w="24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line="227" w:lineRule="exact"/>
              <w:rPr>
                <w:sz w:val="20"/>
                <w:szCs w:val="20"/>
                <w:color w:val="auto"/>
              </w:rPr>
            </w:pPr>
            <w:r>
              <w:rPr>
                <w:rFonts w:ascii="Arial" w:cs="Arial" w:eastAsia="Arial" w:hAnsi="Arial"/>
                <w:sz w:val="14"/>
                <w:szCs w:val="14"/>
                <w:color w:val="auto"/>
              </w:rPr>
              <w:t>(0.25</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Non-GAAP diluted earnings (losses) per share</w:t>
            </w:r>
          </w:p>
        </w:tc>
        <w:tc>
          <w:tcPr>
            <w:tcW w:w="2140" w:type="dxa"/>
            <w:vAlign w:val="bottom"/>
            <w:gridSpan w:val="2"/>
            <w:shd w:val="clear" w:color="auto" w:fill="CCEEFF"/>
          </w:tcPr>
          <w:p>
            <w:pPr>
              <w:jc w:val="right"/>
              <w:ind w:right="86"/>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0.16</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spacing w:after="0" w:line="227" w:lineRule="exact"/>
              <w:rPr>
                <w:sz w:val="20"/>
                <w:szCs w:val="20"/>
                <w:color w:val="auto"/>
              </w:rPr>
            </w:pPr>
            <w:r>
              <w:rPr>
                <w:rFonts w:ascii="Arial" w:cs="Arial" w:eastAsia="Arial" w:hAnsi="Arial"/>
                <w:sz w:val="14"/>
                <w:szCs w:val="14"/>
                <w:color w:val="auto"/>
              </w:rPr>
              <w:t>(0.22</w:t>
            </w:r>
            <w:r>
              <w:rPr>
                <w:rFonts w:ascii="Arial" w:cs="Arial" w:eastAsia="Arial" w:hAnsi="Arial"/>
                <w:sz w:val="26"/>
                <w:szCs w:val="26"/>
                <w:color w:val="auto"/>
                <w:vertAlign w:val="superscript"/>
              </w:rPr>
              <w:t>)</w:t>
            </w: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Weighted average number of shares</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Shares used in computing GAAP diluted net earnings (losses) per share</w:t>
            </w:r>
          </w:p>
        </w:tc>
        <w:tc>
          <w:tcPr>
            <w:tcW w:w="1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47,568,215</w:t>
            </w: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40,762,688</w:t>
            </w:r>
          </w:p>
        </w:tc>
        <w:tc>
          <w:tcPr>
            <w:tcW w:w="12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Shares used in computing Non-GAAP diluted net earnings (losses) per share</w:t>
            </w:r>
          </w:p>
        </w:tc>
        <w:tc>
          <w:tcPr>
            <w:tcW w:w="19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47,692,101</w:t>
            </w:r>
          </w:p>
        </w:tc>
        <w:tc>
          <w:tcPr>
            <w:tcW w:w="34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2"/>
              </w:rPr>
              <w:t>40,762,688</w:t>
            </w:r>
          </w:p>
        </w:tc>
        <w:tc>
          <w:tcPr>
            <w:tcW w:w="120" w:type="dxa"/>
            <w:vAlign w:val="bottom"/>
            <w:tcBorders>
              <w:left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8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spacing w:after="0"/>
              <w:rPr>
                <w:sz w:val="20"/>
                <w:szCs w:val="20"/>
                <w:color w:val="auto"/>
              </w:rPr>
            </w:pPr>
            <w:r>
              <w:rPr>
                <w:rFonts w:ascii="Arial" w:cs="Arial" w:eastAsia="Arial" w:hAnsi="Arial"/>
                <w:sz w:val="16"/>
                <w:szCs w:val="16"/>
                <w:color w:val="auto"/>
              </w:rPr>
              <w:t>(1) Share-based compensation</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tcPr>
          <w:p>
            <w:pPr>
              <w:ind w:left="280"/>
              <w:spacing w:after="0"/>
              <w:rPr>
                <w:sz w:val="20"/>
                <w:szCs w:val="20"/>
                <w:color w:val="auto"/>
              </w:rPr>
            </w:pPr>
            <w:r>
              <w:rPr>
                <w:rFonts w:ascii="Arial" w:cs="Arial" w:eastAsia="Arial" w:hAnsi="Arial"/>
                <w:sz w:val="16"/>
                <w:szCs w:val="16"/>
                <w:color w:val="auto"/>
              </w:rPr>
              <w:t>Cost of product revenues</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299</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214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service revenues</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233</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tcPr>
          <w:p>
            <w:pPr>
              <w:ind w:left="280"/>
              <w:spacing w:after="0"/>
              <w:rPr>
                <w:sz w:val="20"/>
                <w:szCs w:val="20"/>
                <w:color w:val="auto"/>
              </w:rPr>
            </w:pPr>
            <w:r>
              <w:rPr>
                <w:rFonts w:ascii="Arial" w:cs="Arial" w:eastAsia="Arial" w:hAnsi="Arial"/>
                <w:sz w:val="16"/>
                <w:szCs w:val="16"/>
                <w:color w:val="auto"/>
              </w:rPr>
              <w:t>Research and development</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502</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344</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Selling and marketing</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1,072</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641</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80"/>
              <w:spacing w:after="0"/>
              <w:rPr>
                <w:sz w:val="20"/>
                <w:szCs w:val="20"/>
                <w:color w:val="auto"/>
              </w:rPr>
            </w:pPr>
            <w:r>
              <w:rPr>
                <w:rFonts w:ascii="Arial" w:cs="Arial" w:eastAsia="Arial" w:hAnsi="Arial"/>
                <w:sz w:val="16"/>
                <w:szCs w:val="16"/>
                <w:color w:val="auto"/>
              </w:rPr>
              <w:t>General and administrative</w:t>
            </w: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966</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759</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7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67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3,072</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2,108</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(2) Intangible assets amortization</w:t>
            </w: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80" w:type="dxa"/>
            <w:vAlign w:val="bottom"/>
            <w:vMerge w:val="continue"/>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product revenues</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tcPr>
          <w:p>
            <w:pPr>
              <w:ind w:left="280"/>
              <w:spacing w:after="0"/>
              <w:rPr>
                <w:sz w:val="20"/>
                <w:szCs w:val="20"/>
                <w:color w:val="auto"/>
              </w:rPr>
            </w:pPr>
            <w:r>
              <w:rPr>
                <w:rFonts w:ascii="Arial" w:cs="Arial" w:eastAsia="Arial" w:hAnsi="Arial"/>
                <w:sz w:val="16"/>
                <w:szCs w:val="16"/>
                <w:color w:val="auto"/>
              </w:rPr>
              <w:t>Cost of service revenues</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160</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6780" w:type="dxa"/>
            <w:vAlign w:val="bottom"/>
          </w:tcPr>
          <w:p>
            <w:pPr>
              <w:ind w:left="280"/>
              <w:spacing w:after="0"/>
              <w:rPr>
                <w:sz w:val="20"/>
                <w:szCs w:val="20"/>
                <w:color w:val="auto"/>
              </w:rPr>
            </w:pPr>
            <w:r>
              <w:rPr>
                <w:rFonts w:ascii="Arial" w:cs="Arial" w:eastAsia="Arial" w:hAnsi="Arial"/>
                <w:sz w:val="16"/>
                <w:szCs w:val="16"/>
                <w:color w:val="auto"/>
              </w:rPr>
              <w:t>Selling and marketing</w:t>
            </w:r>
          </w:p>
        </w:tc>
        <w:tc>
          <w:tcPr>
            <w:tcW w:w="1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119</w:t>
            </w:r>
          </w:p>
        </w:tc>
        <w:tc>
          <w:tcPr>
            <w:tcW w:w="34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135</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
        </w:trPr>
        <w:tc>
          <w:tcPr>
            <w:tcW w:w="67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tcBorders>
              <w:left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6780" w:type="dxa"/>
            <w:vAlign w:val="bottom"/>
            <w:shd w:val="clear" w:color="auto" w:fill="CCEEFF"/>
          </w:tcPr>
          <w:p>
            <w:pPr>
              <w:spacing w:after="0"/>
              <w:rPr>
                <w:sz w:val="19"/>
                <w:szCs w:val="19"/>
                <w:color w:val="auto"/>
              </w:rPr>
            </w:pPr>
          </w:p>
        </w:tc>
        <w:tc>
          <w:tcPr>
            <w:tcW w:w="19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304</w:t>
            </w:r>
          </w:p>
        </w:tc>
        <w:tc>
          <w:tcPr>
            <w:tcW w:w="34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160</w:t>
            </w:r>
          </w:p>
        </w:tc>
        <w:tc>
          <w:tcPr>
            <w:tcW w:w="120" w:type="dxa"/>
            <w:vAlign w:val="bottom"/>
            <w:tcBorders>
              <w:left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6"/>
                <w:szCs w:val="16"/>
                <w:color w:val="auto"/>
              </w:rPr>
              <w:t>(3) COVID-19 one time impact</w:t>
            </w:r>
          </w:p>
        </w:tc>
        <w:tc>
          <w:tcPr>
            <w:tcW w:w="19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6780" w:type="dxa"/>
            <w:vAlign w:val="bottom"/>
            <w:vMerge w:val="continue"/>
          </w:tcPr>
          <w:p>
            <w:pPr>
              <w:spacing w:after="0"/>
              <w:rPr>
                <w:sz w:val="16"/>
                <w:szCs w:val="16"/>
                <w:color w:val="auto"/>
              </w:rPr>
            </w:pP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Cost of product revenues</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tcPr>
          <w:p>
            <w:pPr>
              <w:ind w:left="280"/>
              <w:spacing w:after="0"/>
              <w:rPr>
                <w:sz w:val="20"/>
                <w:szCs w:val="20"/>
                <w:color w:val="auto"/>
              </w:rPr>
            </w:pPr>
            <w:r>
              <w:rPr>
                <w:rFonts w:ascii="Arial" w:cs="Arial" w:eastAsia="Arial" w:hAnsi="Arial"/>
                <w:sz w:val="16"/>
                <w:szCs w:val="16"/>
                <w:color w:val="auto"/>
              </w:rPr>
              <w:t>Cost of service revenues</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shd w:val="clear" w:color="auto" w:fill="CCEEFF"/>
          </w:tcPr>
          <w:p>
            <w:pPr>
              <w:ind w:left="280"/>
              <w:spacing w:after="0"/>
              <w:rPr>
                <w:sz w:val="20"/>
                <w:szCs w:val="20"/>
                <w:color w:val="auto"/>
              </w:rPr>
            </w:pPr>
            <w:r>
              <w:rPr>
                <w:rFonts w:ascii="Arial" w:cs="Arial" w:eastAsia="Arial" w:hAnsi="Arial"/>
                <w:sz w:val="16"/>
                <w:szCs w:val="16"/>
                <w:color w:val="auto"/>
              </w:rPr>
              <w:t>Research and development</w:t>
            </w:r>
          </w:p>
        </w:tc>
        <w:tc>
          <w:tcPr>
            <w:tcW w:w="19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6780" w:type="dxa"/>
            <w:vAlign w:val="bottom"/>
          </w:tcPr>
          <w:p>
            <w:pPr>
              <w:ind w:left="280"/>
              <w:spacing w:after="0"/>
              <w:rPr>
                <w:sz w:val="20"/>
                <w:szCs w:val="20"/>
                <w:color w:val="auto"/>
              </w:rPr>
            </w:pPr>
            <w:r>
              <w:rPr>
                <w:rFonts w:ascii="Arial" w:cs="Arial" w:eastAsia="Arial" w:hAnsi="Arial"/>
                <w:sz w:val="16"/>
                <w:szCs w:val="16"/>
                <w:color w:val="auto"/>
              </w:rPr>
              <w:t>Selling and marketing</w:t>
            </w:r>
          </w:p>
        </w:tc>
        <w:tc>
          <w:tcPr>
            <w:tcW w:w="1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6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General and administrative</w:t>
            </w:r>
          </w:p>
        </w:tc>
        <w:tc>
          <w:tcPr>
            <w:tcW w:w="19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left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7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p>
    <w:p>
      <w:pPr>
        <w:sectPr>
          <w:pgSz w:w="11900" w:h="16891" w:orient="portrait"/>
          <w:cols w:equalWidth="0" w:num="1">
            <w:col w:w="11260"/>
          </w:cols>
          <w:pgMar w:left="320" w:top="816" w:right="319" w:bottom="0" w:gutter="0" w:footer="0" w:header="0"/>
        </w:sectPr>
      </w:pPr>
    </w:p>
    <w:bookmarkStart w:id="11" w:name="page12"/>
    <w:bookmarkEnd w:id="11"/>
    <w:p>
      <w:pPr>
        <w:spacing w:after="0"/>
        <w:rPr>
          <w:sz w:val="20"/>
          <w:szCs w:val="20"/>
          <w:color w:val="auto"/>
        </w:rPr>
      </w:pPr>
      <w:r>
        <w:rPr>
          <w:rFonts w:ascii="Arial" w:cs="Arial" w:eastAsia="Arial" w:hAnsi="Arial"/>
          <w:sz w:val="14"/>
          <w:szCs w:val="14"/>
          <w:color w:val="auto"/>
        </w:rPr>
        <w:drawing>
          <wp:anchor simplePos="0" relativeHeight="251657728" behindDoc="1" locked="0" layoutInCell="0" allowOverlap="1">
            <wp:simplePos x="0" y="0"/>
            <wp:positionH relativeFrom="page">
              <wp:posOffset>5709285</wp:posOffset>
            </wp:positionH>
            <wp:positionV relativeFrom="page">
              <wp:posOffset>88900</wp:posOffset>
            </wp:positionV>
            <wp:extent cx="157099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8">
                      <a:extLst>
                        <a:ext uri="{28A0092B-C50C-407E-A947-70E740481C1C}"/>
                      </a:extLst>
                    </a:blip>
                    <a:srcRect/>
                    <a:stretch>
                      <a:fillRect/>
                    </a:stretch>
                  </pic:blipFill>
                  <pic:spPr bwMode="auto">
                    <a:xfrm>
                      <a:off x="0" y="0"/>
                      <a:ext cx="1570990" cy="7620"/>
                    </a:xfrm>
                    <a:prstGeom prst="rect">
                      <a:avLst/>
                    </a:prstGeom>
                    <a:noFill/>
                  </pic:spPr>
                </pic:pic>
              </a:graphicData>
            </a:graphic>
          </wp:anchor>
        </w:drawing>
        <w:t>(a)  Non cash impact related to the recognition of deferred taxes with respect to carryforward</w:t>
      </w:r>
    </w:p>
    <w:p>
      <w:pPr>
        <w:sectPr>
          <w:pgSz w:w="11900" w:h="16838" w:orient="portrait"/>
          <w:cols w:equalWidth="0" w:num="1">
            <w:col w:w="10139"/>
          </w:cols>
          <w:pgMar w:left="320" w:top="330" w:right="1440" w:bottom="1440" w:gutter="0" w:footer="0" w:header="0"/>
        </w:sectPr>
      </w:pPr>
    </w:p>
    <w:p>
      <w:pPr>
        <w:spacing w:after="0" w:line="200" w:lineRule="exact"/>
        <w:rPr>
          <w:sz w:val="20"/>
          <w:szCs w:val="20"/>
          <w:color w:val="auto"/>
        </w:rPr>
      </w:pPr>
    </w:p>
    <w:p>
      <w:pPr>
        <w:spacing w:after="0" w:line="213" w:lineRule="exact"/>
        <w:rPr>
          <w:sz w:val="20"/>
          <w:szCs w:val="20"/>
          <w:color w:val="auto"/>
        </w:rPr>
      </w:pPr>
    </w:p>
    <w:p>
      <w:pPr>
        <w:ind w:left="5580"/>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27305</wp:posOffset>
            </wp:positionV>
            <wp:extent cx="7148195" cy="152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9">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0" w:num="1">
            <w:col w:w="10139"/>
          </w:cols>
          <w:pgMar w:left="320" w:top="330" w:right="1440" w:bottom="1440" w:gutter="0" w:footer="0" w:header="0"/>
          <w:type w:val="continuous"/>
        </w:sectPr>
      </w:pPr>
    </w:p>
    <w:bookmarkStart w:id="12" w:name="page13"/>
    <w:bookmarkEnd w:id="12"/>
    <w:p>
      <w:pPr>
        <w:jc w:val="center"/>
        <w:ind w:right="20"/>
        <w:spacing w:after="0"/>
        <w:rPr>
          <w:sz w:val="20"/>
          <w:szCs w:val="20"/>
          <w:color w:val="auto"/>
        </w:rPr>
      </w:pPr>
      <w:r>
        <w:rPr>
          <w:rFonts w:ascii="Arial" w:cs="Arial" w:eastAsia="Arial" w:hAnsi="Arial"/>
          <w:sz w:val="16"/>
          <w:szCs w:val="16"/>
          <w:b w:val="1"/>
          <w:bCs w:val="1"/>
          <w:color w:val="auto"/>
        </w:rPr>
        <w:t>KORNIT DIGITAL LTD.</w:t>
      </w:r>
    </w:p>
    <w:p>
      <w:pPr>
        <w:spacing w:after="0" w:line="2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AND ITS SUBSIDIARIES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7"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(U.S. dollars in thousands)</w:t>
      </w:r>
    </w:p>
    <w:p>
      <w:pPr>
        <w:spacing w:after="0" w:line="182"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Three Months Ended</w:t>
      </w:r>
    </w:p>
    <w:p>
      <w:pPr>
        <w:spacing w:after="0" w:line="24" w:lineRule="exact"/>
        <w:rPr>
          <w:sz w:val="20"/>
          <w:szCs w:val="20"/>
          <w:color w:val="auto"/>
        </w:rPr>
      </w:pPr>
    </w:p>
    <w:p>
      <w:pPr>
        <w:jc w:val="center"/>
        <w:ind w:left="8560"/>
        <w:spacing w:after="0"/>
        <w:rPr>
          <w:sz w:val="20"/>
          <w:szCs w:val="20"/>
          <w:color w:val="auto"/>
        </w:rPr>
      </w:pPr>
      <w:r>
        <w:rPr>
          <w:rFonts w:ascii="Arial" w:cs="Arial" w:eastAsia="Arial" w:hAnsi="Arial"/>
          <w:sz w:val="16"/>
          <w:szCs w:val="16"/>
          <w:b w:val="1"/>
          <w:bCs w:val="1"/>
          <w:color w:val="auto"/>
        </w:rPr>
        <w:t>March 31,</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2021</w:t>
            </w:r>
          </w:p>
        </w:tc>
        <w:tc>
          <w:tcPr>
            <w:tcW w:w="240" w:type="dxa"/>
            <w:vAlign w:val="bottom"/>
            <w:tcBorders>
              <w:top w:val="single" w:sz="8" w:color="auto"/>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ind w:right="320"/>
              <w:spacing w:after="0"/>
              <w:rPr>
                <w:sz w:val="20"/>
                <w:szCs w:val="20"/>
                <w:color w:val="auto"/>
              </w:rPr>
            </w:pPr>
            <w:r>
              <w:rPr>
                <w:rFonts w:ascii="Arial" w:cs="Arial" w:eastAsia="Arial" w:hAnsi="Arial"/>
                <w:sz w:val="16"/>
                <w:szCs w:val="16"/>
                <w:b w:val="1"/>
                <w:bCs w:val="1"/>
                <w:color w:val="auto"/>
                <w:w w:val="95"/>
              </w:rPr>
              <w:t>2020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5"/>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(Unaudited)</w:t>
            </w:r>
          </w:p>
        </w:tc>
        <w:tc>
          <w:tcPr>
            <w:tcW w:w="7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7360" w:type="dxa"/>
            <w:vAlign w:val="bottom"/>
            <w:gridSpan w:val="3"/>
          </w:tcPr>
          <w:p>
            <w:pPr>
              <w:spacing w:after="0" w:line="155" w:lineRule="exact"/>
              <w:rPr>
                <w:sz w:val="20"/>
                <w:szCs w:val="20"/>
                <w:color w:val="auto"/>
              </w:rPr>
            </w:pPr>
            <w:r>
              <w:rPr>
                <w:rFonts w:ascii="Arial" w:cs="Arial" w:eastAsia="Arial" w:hAnsi="Arial"/>
                <w:sz w:val="16"/>
                <w:szCs w:val="16"/>
                <w:color w:val="auto"/>
              </w:rPr>
              <w:t>Cash flows from operating activities:</w:t>
            </w:r>
          </w:p>
        </w:tc>
        <w:tc>
          <w:tcPr>
            <w:tcW w:w="13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1"/>
        </w:trPr>
        <w:tc>
          <w:tcPr>
            <w:tcW w:w="234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50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5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5,099</w:t>
            </w:r>
          </w:p>
        </w:tc>
        <w:tc>
          <w:tcPr>
            <w:tcW w:w="340" w:type="dxa"/>
            <w:vAlign w:val="bottom"/>
            <w:shd w:val="clear" w:color="auto" w:fill="CCEEFF"/>
          </w:tcPr>
          <w:p>
            <w:pPr>
              <w:jc w:val="right"/>
              <w:ind w:right="186"/>
              <w:spacing w:after="0"/>
              <w:rPr>
                <w:sz w:val="20"/>
                <w:szCs w:val="20"/>
                <w:color w:val="auto"/>
              </w:rPr>
            </w:pPr>
            <w:r>
              <w:rPr>
                <w:rFonts w:ascii="Arial" w:cs="Arial" w:eastAsia="Arial" w:hAnsi="Arial"/>
                <w:sz w:val="15"/>
                <w:szCs w:val="15"/>
                <w:color w:val="auto"/>
                <w:w w:val="71"/>
              </w:rPr>
              <w:t>$</w:t>
            </w: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(10,054)</w:t>
            </w:r>
          </w:p>
        </w:tc>
        <w:tc>
          <w:tcPr>
            <w:tcW w:w="0" w:type="dxa"/>
            <w:vAlign w:val="bottom"/>
          </w:tcPr>
          <w:p>
            <w:pPr>
              <w:spacing w:after="0"/>
              <w:rPr>
                <w:sz w:val="1"/>
                <w:szCs w:val="1"/>
                <w:color w:val="auto"/>
              </w:rPr>
            </w:pPr>
          </w:p>
        </w:tc>
      </w:tr>
      <w:tr>
        <w:trPr>
          <w:trHeight w:val="191"/>
        </w:trPr>
        <w:tc>
          <w:tcPr>
            <w:tcW w:w="7360" w:type="dxa"/>
            <w:vAlign w:val="bottom"/>
            <w:gridSpan w:val="3"/>
          </w:tcPr>
          <w:p>
            <w:pPr>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Depreciation and amortization</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1,492</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1,101</w:t>
            </w:r>
          </w:p>
        </w:tc>
        <w:tc>
          <w:tcPr>
            <w:tcW w:w="0" w:type="dxa"/>
            <w:vAlign w:val="bottom"/>
          </w:tcPr>
          <w:p>
            <w:pPr>
              <w:spacing w:after="0"/>
              <w:rPr>
                <w:sz w:val="1"/>
                <w:szCs w:val="1"/>
                <w:color w:val="auto"/>
              </w:rPr>
            </w:pPr>
          </w:p>
        </w:tc>
      </w:tr>
      <w:tr>
        <w:trPr>
          <w:trHeight w:val="191"/>
        </w:trPr>
        <w:tc>
          <w:tcPr>
            <w:tcW w:w="7360" w:type="dxa"/>
            <w:vAlign w:val="bottom"/>
            <w:gridSpan w:val="3"/>
          </w:tcPr>
          <w:p>
            <w:pPr>
              <w:ind w:left="140"/>
              <w:spacing w:after="0"/>
              <w:rPr>
                <w:sz w:val="20"/>
                <w:szCs w:val="20"/>
                <w:color w:val="auto"/>
              </w:rPr>
            </w:pPr>
            <w:r>
              <w:rPr>
                <w:rFonts w:ascii="Arial" w:cs="Arial" w:eastAsia="Arial" w:hAnsi="Arial"/>
                <w:sz w:val="16"/>
                <w:szCs w:val="16"/>
                <w:color w:val="auto"/>
              </w:rPr>
              <w:t>Fair value of warrants deducted from revenues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3,139</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565</w:t>
            </w: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Share-based compensation</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3,072</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2,108</w:t>
            </w:r>
          </w:p>
        </w:tc>
        <w:tc>
          <w:tcPr>
            <w:tcW w:w="0" w:type="dxa"/>
            <w:vAlign w:val="bottom"/>
          </w:tcPr>
          <w:p>
            <w:pPr>
              <w:spacing w:after="0"/>
              <w:rPr>
                <w:sz w:val="1"/>
                <w:szCs w:val="1"/>
                <w:color w:val="auto"/>
              </w:rPr>
            </w:pPr>
          </w:p>
        </w:tc>
      </w:tr>
      <w:tr>
        <w:trPr>
          <w:trHeight w:val="191"/>
        </w:trPr>
        <w:tc>
          <w:tcPr>
            <w:tcW w:w="7360" w:type="dxa"/>
            <w:vAlign w:val="bottom"/>
            <w:gridSpan w:val="3"/>
          </w:tcPr>
          <w:p>
            <w:pPr>
              <w:ind w:left="140"/>
              <w:spacing w:after="0"/>
              <w:rPr>
                <w:sz w:val="20"/>
                <w:szCs w:val="20"/>
                <w:color w:val="auto"/>
              </w:rPr>
            </w:pPr>
            <w:r>
              <w:rPr>
                <w:rFonts w:ascii="Arial" w:cs="Arial" w:eastAsia="Arial" w:hAnsi="Arial"/>
                <w:sz w:val="16"/>
                <w:szCs w:val="16"/>
                <w:color w:val="auto"/>
              </w:rPr>
              <w:t>Amortization of discount on marketable securities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(817)</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89</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Realized gain on sale of marketable securities</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(102)</w:t>
            </w:r>
          </w:p>
        </w:tc>
        <w:tc>
          <w:tcPr>
            <w:tcW w:w="0" w:type="dxa"/>
            <w:vAlign w:val="bottom"/>
          </w:tcPr>
          <w:p>
            <w:pPr>
              <w:spacing w:after="0"/>
              <w:rPr>
                <w:sz w:val="1"/>
                <w:szCs w:val="1"/>
                <w:color w:val="auto"/>
              </w:rPr>
            </w:pPr>
          </w:p>
        </w:tc>
      </w:tr>
      <w:tr>
        <w:trPr>
          <w:trHeight w:val="191"/>
        </w:trPr>
        <w:tc>
          <w:tcPr>
            <w:tcW w:w="7360" w:type="dxa"/>
            <w:vAlign w:val="bottom"/>
            <w:gridSpan w:val="3"/>
          </w:tcPr>
          <w:p>
            <w:pPr>
              <w:spacing w:after="0"/>
              <w:rPr>
                <w:sz w:val="20"/>
                <w:szCs w:val="20"/>
                <w:color w:val="auto"/>
              </w:rPr>
            </w:pPr>
            <w:r>
              <w:rPr>
                <w:rFonts w:ascii="Arial" w:cs="Arial" w:eastAsia="Arial" w:hAnsi="Arial"/>
                <w:sz w:val="16"/>
                <w:szCs w:val="16"/>
                <w:color w:val="auto"/>
              </w:rPr>
              <w:t>Change in operating assets and liabilities: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Trade receivables, net</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(1,488)</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7,385</w:t>
            </w:r>
          </w:p>
        </w:tc>
        <w:tc>
          <w:tcPr>
            <w:tcW w:w="0" w:type="dxa"/>
            <w:vAlign w:val="bottom"/>
          </w:tcPr>
          <w:p>
            <w:pPr>
              <w:spacing w:after="0"/>
              <w:rPr>
                <w:sz w:val="1"/>
                <w:szCs w:val="1"/>
                <w:color w:val="auto"/>
              </w:rPr>
            </w:pPr>
          </w:p>
        </w:tc>
      </w:tr>
      <w:tr>
        <w:trPr>
          <w:trHeight w:val="191"/>
        </w:trPr>
        <w:tc>
          <w:tcPr>
            <w:tcW w:w="7360" w:type="dxa"/>
            <w:vAlign w:val="bottom"/>
            <w:gridSpan w:val="3"/>
          </w:tcPr>
          <w:p>
            <w:pPr>
              <w:ind w:left="140"/>
              <w:spacing w:after="0"/>
              <w:rPr>
                <w:sz w:val="20"/>
                <w:szCs w:val="20"/>
                <w:color w:val="auto"/>
              </w:rPr>
            </w:pPr>
            <w:r>
              <w:rPr>
                <w:rFonts w:ascii="Arial" w:cs="Arial" w:eastAsia="Arial" w:hAnsi="Arial"/>
                <w:sz w:val="16"/>
                <w:szCs w:val="16"/>
                <w:color w:val="auto"/>
              </w:rPr>
              <w:t>Other accounts receivables and prepaid expenses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1,550</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(979)</w:t>
            </w: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Inventories</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(672)</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(9,503)</w:t>
            </w:r>
          </w:p>
        </w:tc>
        <w:tc>
          <w:tcPr>
            <w:tcW w:w="0" w:type="dxa"/>
            <w:vAlign w:val="bottom"/>
          </w:tcPr>
          <w:p>
            <w:pPr>
              <w:spacing w:after="0"/>
              <w:rPr>
                <w:sz w:val="1"/>
                <w:szCs w:val="1"/>
                <w:color w:val="auto"/>
              </w:rPr>
            </w:pPr>
          </w:p>
        </w:tc>
      </w:tr>
      <w:tr>
        <w:trPr>
          <w:trHeight w:val="191"/>
        </w:trPr>
        <w:tc>
          <w:tcPr>
            <w:tcW w:w="7360" w:type="dxa"/>
            <w:vAlign w:val="bottom"/>
            <w:gridSpan w:val="3"/>
          </w:tcPr>
          <w:p>
            <w:pPr>
              <w:ind w:left="140"/>
              <w:spacing w:after="0"/>
              <w:rPr>
                <w:sz w:val="20"/>
                <w:szCs w:val="20"/>
                <w:color w:val="auto"/>
              </w:rPr>
            </w:pPr>
            <w:r>
              <w:rPr>
                <w:rFonts w:ascii="Arial" w:cs="Arial" w:eastAsia="Arial" w:hAnsi="Arial"/>
                <w:sz w:val="16"/>
                <w:szCs w:val="16"/>
                <w:color w:val="auto"/>
              </w:rPr>
              <w:t>Operating leases right-of-use assets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(56)</w:t>
            </w: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63</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Deferred taxes</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(320)</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(1,106)</w:t>
            </w:r>
          </w:p>
        </w:tc>
        <w:tc>
          <w:tcPr>
            <w:tcW w:w="0" w:type="dxa"/>
            <w:vAlign w:val="bottom"/>
          </w:tcPr>
          <w:p>
            <w:pPr>
              <w:spacing w:after="0"/>
              <w:rPr>
                <w:sz w:val="1"/>
                <w:szCs w:val="1"/>
                <w:color w:val="auto"/>
              </w:rPr>
            </w:pPr>
          </w:p>
        </w:tc>
      </w:tr>
      <w:tr>
        <w:trPr>
          <w:trHeight w:val="191"/>
        </w:trPr>
        <w:tc>
          <w:tcPr>
            <w:tcW w:w="7360" w:type="dxa"/>
            <w:vAlign w:val="bottom"/>
            <w:gridSpan w:val="3"/>
          </w:tcPr>
          <w:p>
            <w:pPr>
              <w:ind w:left="140"/>
              <w:spacing w:after="0"/>
              <w:rPr>
                <w:sz w:val="20"/>
                <w:szCs w:val="20"/>
                <w:color w:val="auto"/>
              </w:rPr>
            </w:pPr>
            <w:r>
              <w:rPr>
                <w:rFonts w:ascii="Arial" w:cs="Arial" w:eastAsia="Arial" w:hAnsi="Arial"/>
                <w:sz w:val="16"/>
                <w:szCs w:val="16"/>
                <w:color w:val="auto"/>
              </w:rPr>
              <w:t>Deposits and long-term assets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(10)</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Trade payables</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(6,056)</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(1,504)</w:t>
            </w:r>
          </w:p>
        </w:tc>
        <w:tc>
          <w:tcPr>
            <w:tcW w:w="0" w:type="dxa"/>
            <w:vAlign w:val="bottom"/>
          </w:tcPr>
          <w:p>
            <w:pPr>
              <w:spacing w:after="0"/>
              <w:rPr>
                <w:sz w:val="1"/>
                <w:szCs w:val="1"/>
                <w:color w:val="auto"/>
              </w:rPr>
            </w:pPr>
          </w:p>
        </w:tc>
      </w:tr>
      <w:tr>
        <w:trPr>
          <w:trHeight w:val="191"/>
        </w:trPr>
        <w:tc>
          <w:tcPr>
            <w:tcW w:w="7360" w:type="dxa"/>
            <w:vAlign w:val="bottom"/>
            <w:gridSpan w:val="3"/>
          </w:tcPr>
          <w:p>
            <w:pPr>
              <w:ind w:left="140"/>
              <w:spacing w:after="0"/>
              <w:rPr>
                <w:sz w:val="20"/>
                <w:szCs w:val="20"/>
                <w:color w:val="auto"/>
              </w:rPr>
            </w:pPr>
            <w:r>
              <w:rPr>
                <w:rFonts w:ascii="Arial" w:cs="Arial" w:eastAsia="Arial" w:hAnsi="Arial"/>
                <w:sz w:val="16"/>
                <w:szCs w:val="16"/>
                <w:color w:val="auto"/>
              </w:rPr>
              <w:t>Operating lease liabilities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(800)</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(609)</w:t>
            </w: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Employees and payroll accruals</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2,235</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(353)</w:t>
            </w:r>
          </w:p>
        </w:tc>
        <w:tc>
          <w:tcPr>
            <w:tcW w:w="0" w:type="dxa"/>
            <w:vAlign w:val="bottom"/>
          </w:tcPr>
          <w:p>
            <w:pPr>
              <w:spacing w:after="0"/>
              <w:rPr>
                <w:sz w:val="1"/>
                <w:szCs w:val="1"/>
                <w:color w:val="auto"/>
              </w:rPr>
            </w:pPr>
          </w:p>
        </w:tc>
      </w:tr>
      <w:tr>
        <w:trPr>
          <w:trHeight w:val="191"/>
        </w:trPr>
        <w:tc>
          <w:tcPr>
            <w:tcW w:w="7360" w:type="dxa"/>
            <w:vAlign w:val="bottom"/>
            <w:gridSpan w:val="3"/>
          </w:tcPr>
          <w:p>
            <w:pPr>
              <w:ind w:left="140"/>
              <w:spacing w:after="0"/>
              <w:rPr>
                <w:sz w:val="20"/>
                <w:szCs w:val="20"/>
                <w:color w:val="auto"/>
              </w:rPr>
            </w:pPr>
            <w:r>
              <w:rPr>
                <w:rFonts w:ascii="Arial" w:cs="Arial" w:eastAsia="Arial" w:hAnsi="Arial"/>
                <w:sz w:val="16"/>
                <w:szCs w:val="16"/>
                <w:color w:val="auto"/>
              </w:rPr>
              <w:t>Deferred revenues and advances from customers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(3,372)</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Other payables and accrued expenses</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1,854</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191"/>
        </w:trPr>
        <w:tc>
          <w:tcPr>
            <w:tcW w:w="7360" w:type="dxa"/>
            <w:vAlign w:val="bottom"/>
            <w:gridSpan w:val="3"/>
          </w:tcPr>
          <w:p>
            <w:pPr>
              <w:ind w:left="140"/>
              <w:spacing w:after="0"/>
              <w:rPr>
                <w:sz w:val="20"/>
                <w:szCs w:val="20"/>
                <w:color w:val="auto"/>
              </w:rPr>
            </w:pPr>
            <w:r>
              <w:rPr>
                <w:rFonts w:ascii="Arial" w:cs="Arial" w:eastAsia="Arial" w:hAnsi="Arial"/>
                <w:sz w:val="16"/>
                <w:szCs w:val="16"/>
                <w:color w:val="auto"/>
              </w:rPr>
              <w:t>Accrued severance pay, net</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(30)</w:t>
            </w: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(29)</w:t>
            </w: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ind w:left="140"/>
              <w:spacing w:after="0"/>
              <w:rPr>
                <w:sz w:val="20"/>
                <w:szCs w:val="20"/>
                <w:color w:val="auto"/>
              </w:rPr>
            </w:pPr>
            <w:r>
              <w:rPr>
                <w:rFonts w:ascii="Arial" w:cs="Arial" w:eastAsia="Arial" w:hAnsi="Arial"/>
                <w:sz w:val="16"/>
                <w:szCs w:val="16"/>
                <w:color w:val="auto"/>
              </w:rPr>
              <w:t>Other long-term liabilities</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299</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(130)</w:t>
            </w:r>
          </w:p>
        </w:tc>
        <w:tc>
          <w:tcPr>
            <w:tcW w:w="0" w:type="dxa"/>
            <w:vAlign w:val="bottom"/>
          </w:tcPr>
          <w:p>
            <w:pPr>
              <w:spacing w:after="0"/>
              <w:rPr>
                <w:sz w:val="1"/>
                <w:szCs w:val="1"/>
                <w:color w:val="auto"/>
              </w:rPr>
            </w:pPr>
          </w:p>
        </w:tc>
      </w:tr>
      <w:tr>
        <w:trPr>
          <w:trHeight w:val="191"/>
        </w:trPr>
        <w:tc>
          <w:tcPr>
            <w:tcW w:w="7360" w:type="dxa"/>
            <w:vAlign w:val="bottom"/>
            <w:gridSpan w:val="3"/>
          </w:tcPr>
          <w:p>
            <w:pPr>
              <w:spacing w:after="0"/>
              <w:rPr>
                <w:sz w:val="20"/>
                <w:szCs w:val="20"/>
                <w:color w:val="auto"/>
              </w:rPr>
            </w:pPr>
            <w:r>
              <w:rPr>
                <w:rFonts w:ascii="Arial" w:cs="Arial" w:eastAsia="Arial" w:hAnsi="Arial"/>
                <w:sz w:val="16"/>
                <w:szCs w:val="16"/>
                <w:color w:val="auto"/>
              </w:rPr>
              <w:t>Loss from sale and disposal of property and Equipment</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Foreign currency translation income (loss) on inter company balances with foreign subsidiaries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310</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500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cash provided by (used in) operating activities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5,119</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(13,123)</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500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7360" w:type="dxa"/>
            <w:vAlign w:val="bottom"/>
            <w:gridSpan w:val="3"/>
            <w:shd w:val="clear" w:color="auto" w:fill="CCEEFF"/>
          </w:tcPr>
          <w:p>
            <w:pPr>
              <w:spacing w:after="0" w:line="155" w:lineRule="exact"/>
              <w:rPr>
                <w:sz w:val="20"/>
                <w:szCs w:val="20"/>
                <w:color w:val="auto"/>
              </w:rPr>
            </w:pPr>
            <w:r>
              <w:rPr>
                <w:rFonts w:ascii="Arial" w:cs="Arial" w:eastAsia="Arial" w:hAnsi="Arial"/>
                <w:sz w:val="16"/>
                <w:szCs w:val="16"/>
                <w:color w:val="auto"/>
              </w:rPr>
              <w:t>Cash flows from investing activities:</w:t>
            </w:r>
          </w:p>
        </w:tc>
        <w:tc>
          <w:tcPr>
            <w:tcW w:w="1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340" w:type="dxa"/>
            <w:vAlign w:val="bottom"/>
            <w:tcBorders>
              <w:top w:val="single" w:sz="8" w:color="auto"/>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500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Purchase of property, plant and equipment</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(2,567)</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(3,575)</w:t>
            </w:r>
          </w:p>
        </w:tc>
        <w:tc>
          <w:tcPr>
            <w:tcW w:w="0" w:type="dxa"/>
            <w:vAlign w:val="bottom"/>
          </w:tcPr>
          <w:p>
            <w:pPr>
              <w:spacing w:after="0"/>
              <w:rPr>
                <w:sz w:val="1"/>
                <w:szCs w:val="1"/>
                <w:color w:val="auto"/>
              </w:rPr>
            </w:pPr>
          </w:p>
        </w:tc>
      </w:tr>
      <w:tr>
        <w:trPr>
          <w:trHeight w:val="191"/>
        </w:trPr>
        <w:tc>
          <w:tcPr>
            <w:tcW w:w="7360" w:type="dxa"/>
            <w:vAlign w:val="bottom"/>
            <w:gridSpan w:val="3"/>
          </w:tcPr>
          <w:p>
            <w:pPr>
              <w:spacing w:after="0"/>
              <w:rPr>
                <w:sz w:val="20"/>
                <w:szCs w:val="20"/>
                <w:color w:val="auto"/>
              </w:rPr>
            </w:pPr>
            <w:r>
              <w:rPr>
                <w:rFonts w:ascii="Arial" w:cs="Arial" w:eastAsia="Arial" w:hAnsi="Arial"/>
                <w:sz w:val="16"/>
                <w:szCs w:val="16"/>
                <w:color w:val="auto"/>
              </w:rPr>
              <w:t>Acquisition of intangible assets and capitalization of software development costs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(81)</w:t>
            </w: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from sale of property, plant and equipment</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1"/>
        </w:trPr>
        <w:tc>
          <w:tcPr>
            <w:tcW w:w="7360" w:type="dxa"/>
            <w:vAlign w:val="bottom"/>
            <w:gridSpan w:val="3"/>
          </w:tcPr>
          <w:p>
            <w:pPr>
              <w:spacing w:after="0"/>
              <w:rPr>
                <w:sz w:val="20"/>
                <w:szCs w:val="20"/>
                <w:color w:val="auto"/>
              </w:rPr>
            </w:pPr>
            <w:r>
              <w:rPr>
                <w:rFonts w:ascii="Arial" w:cs="Arial" w:eastAsia="Arial" w:hAnsi="Arial"/>
                <w:sz w:val="16"/>
                <w:szCs w:val="16"/>
                <w:color w:val="auto"/>
              </w:rPr>
              <w:t>Investment in short-term bank deposits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(18,855)</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13,850</w:t>
            </w: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Proceeds from sale of marketable securities</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20,802</w:t>
            </w:r>
          </w:p>
        </w:tc>
        <w:tc>
          <w:tcPr>
            <w:tcW w:w="0" w:type="dxa"/>
            <w:vAlign w:val="bottom"/>
          </w:tcPr>
          <w:p>
            <w:pPr>
              <w:spacing w:after="0"/>
              <w:rPr>
                <w:sz w:val="1"/>
                <w:szCs w:val="1"/>
                <w:color w:val="auto"/>
              </w:rPr>
            </w:pPr>
          </w:p>
        </w:tc>
      </w:tr>
      <w:tr>
        <w:trPr>
          <w:trHeight w:val="191"/>
        </w:trPr>
        <w:tc>
          <w:tcPr>
            <w:tcW w:w="7360" w:type="dxa"/>
            <w:vAlign w:val="bottom"/>
            <w:gridSpan w:val="3"/>
          </w:tcPr>
          <w:p>
            <w:pPr>
              <w:spacing w:after="0"/>
              <w:rPr>
                <w:sz w:val="20"/>
                <w:szCs w:val="20"/>
                <w:color w:val="auto"/>
              </w:rPr>
            </w:pPr>
            <w:r>
              <w:rPr>
                <w:rFonts w:ascii="Arial" w:cs="Arial" w:eastAsia="Arial" w:hAnsi="Arial"/>
                <w:sz w:val="16"/>
                <w:szCs w:val="16"/>
                <w:color w:val="auto"/>
              </w:rPr>
              <w:t>Proceeds from maturity of marketable securities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12,102</w:t>
            </w:r>
          </w:p>
        </w:tc>
        <w:tc>
          <w:tcPr>
            <w:tcW w:w="0" w:type="dxa"/>
            <w:vAlign w:val="bottom"/>
          </w:tcPr>
          <w:p>
            <w:pPr>
              <w:spacing w:after="0"/>
              <w:rPr>
                <w:sz w:val="1"/>
                <w:szCs w:val="1"/>
                <w:color w:val="auto"/>
              </w:rPr>
            </w:pPr>
          </w:p>
        </w:tc>
      </w:tr>
      <w:tr>
        <w:trPr>
          <w:trHeight w:val="207"/>
        </w:trPr>
        <w:tc>
          <w:tcPr>
            <w:tcW w:w="7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Investment in marketable securities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(15,290)</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(8,741)</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500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Net cash provided by (used in) investing activities</w:t>
            </w:r>
          </w:p>
        </w:tc>
        <w:tc>
          <w:tcPr>
            <w:tcW w:w="13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(36,712)</w:t>
            </w:r>
          </w:p>
        </w:tc>
        <w:tc>
          <w:tcPr>
            <w:tcW w:w="34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34,361</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500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7360" w:type="dxa"/>
            <w:vAlign w:val="bottom"/>
            <w:gridSpan w:val="3"/>
            <w:shd w:val="clear" w:color="auto" w:fill="CCEEFF"/>
          </w:tcPr>
          <w:p>
            <w:pPr>
              <w:spacing w:after="0" w:line="155" w:lineRule="exact"/>
              <w:rPr>
                <w:sz w:val="20"/>
                <w:szCs w:val="20"/>
                <w:color w:val="auto"/>
              </w:rPr>
            </w:pPr>
            <w:r>
              <w:rPr>
                <w:rFonts w:ascii="Arial" w:cs="Arial" w:eastAsia="Arial" w:hAnsi="Arial"/>
                <w:sz w:val="16"/>
                <w:szCs w:val="16"/>
                <w:color w:val="auto"/>
              </w:rPr>
              <w:t>Cash flows from financing activities:</w:t>
            </w:r>
          </w:p>
        </w:tc>
        <w:tc>
          <w:tcPr>
            <w:tcW w:w="132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1"/>
        </w:trPr>
        <w:tc>
          <w:tcPr>
            <w:tcW w:w="234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5000" w:type="dxa"/>
            <w:vAlign w:val="bottom"/>
            <w:tcBorders>
              <w:top w:val="single" w:sz="8" w:color="CCEEFF"/>
            </w:tcBorders>
          </w:tcPr>
          <w:p>
            <w:pPr>
              <w:spacing w:after="0"/>
              <w:rPr>
                <w:sz w:val="16"/>
                <w:szCs w:val="16"/>
                <w:color w:val="auto"/>
              </w:rPr>
            </w:pPr>
          </w:p>
        </w:tc>
        <w:tc>
          <w:tcPr>
            <w:tcW w:w="132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88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340" w:type="dxa"/>
            <w:vAlign w:val="bottom"/>
            <w:tcBorders>
              <w:top w:val="single" w:sz="8" w:color="CCEEFF"/>
            </w:tcBorders>
          </w:tcPr>
          <w:p>
            <w:pPr>
              <w:spacing w:after="0"/>
              <w:rPr>
                <w:sz w:val="16"/>
                <w:szCs w:val="16"/>
                <w:color w:val="auto"/>
              </w:rPr>
            </w:pPr>
          </w:p>
        </w:tc>
        <w:tc>
          <w:tcPr>
            <w:tcW w:w="760" w:type="dxa"/>
            <w:vAlign w:val="bottom"/>
            <w:tcBorders>
              <w:top w:val="single" w:sz="8" w:color="CCEEFF"/>
            </w:tcBorders>
          </w:tcPr>
          <w:p>
            <w:pPr>
              <w:spacing w:after="0"/>
              <w:rPr>
                <w:sz w:val="16"/>
                <w:szCs w:val="16"/>
                <w:color w:val="auto"/>
              </w:rPr>
            </w:pPr>
          </w:p>
        </w:tc>
        <w:tc>
          <w:tcPr>
            <w:tcW w:w="120" w:type="dxa"/>
            <w:vAlign w:val="bottom"/>
            <w:tcBorders>
              <w:top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Exercise of employee stock options</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675</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1,568</w:t>
            </w:r>
          </w:p>
        </w:tc>
        <w:tc>
          <w:tcPr>
            <w:tcW w:w="0" w:type="dxa"/>
            <w:vAlign w:val="bottom"/>
          </w:tcPr>
          <w:p>
            <w:pPr>
              <w:spacing w:after="0"/>
              <w:rPr>
                <w:sz w:val="1"/>
                <w:szCs w:val="1"/>
                <w:color w:val="auto"/>
              </w:rPr>
            </w:pPr>
          </w:p>
        </w:tc>
      </w:tr>
      <w:tr>
        <w:trPr>
          <w:trHeight w:val="207"/>
        </w:trPr>
        <w:tc>
          <w:tcPr>
            <w:tcW w:w="7360" w:type="dxa"/>
            <w:vAlign w:val="bottom"/>
            <w:gridSpan w:val="3"/>
          </w:tcPr>
          <w:p>
            <w:pPr>
              <w:spacing w:after="0"/>
              <w:rPr>
                <w:sz w:val="20"/>
                <w:szCs w:val="20"/>
                <w:color w:val="auto"/>
              </w:rPr>
            </w:pPr>
            <w:r>
              <w:rPr>
                <w:rFonts w:ascii="Arial" w:cs="Arial" w:eastAsia="Arial" w:hAnsi="Arial"/>
                <w:sz w:val="16"/>
                <w:szCs w:val="16"/>
                <w:color w:val="auto"/>
              </w:rPr>
              <w:t>Payments related to shares withheld for taxes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(688)</w:t>
            </w: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(53)</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360" w:type="dxa"/>
            <w:vAlign w:val="bottom"/>
            <w:gridSpan w:val="3"/>
          </w:tcPr>
          <w:p>
            <w:pPr>
              <w:spacing w:after="0"/>
              <w:rPr>
                <w:sz w:val="20"/>
                <w:szCs w:val="20"/>
                <w:color w:val="auto"/>
              </w:rPr>
            </w:pPr>
            <w:r>
              <w:rPr>
                <w:rFonts w:ascii="Arial" w:cs="Arial" w:eastAsia="Arial" w:hAnsi="Arial"/>
                <w:sz w:val="16"/>
                <w:szCs w:val="16"/>
                <w:color w:val="auto"/>
              </w:rPr>
              <w:t>Net cash provided by (used in) financing activities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6"/>
                <w:szCs w:val="16"/>
                <w:color w:val="auto"/>
              </w:rPr>
              <w:t>(13)</w:t>
            </w:r>
          </w:p>
        </w:tc>
        <w:tc>
          <w:tcPr>
            <w:tcW w:w="340" w:type="dxa"/>
            <w:vAlign w:val="bottom"/>
          </w:tcPr>
          <w:p>
            <w:pPr>
              <w:spacing w:after="0"/>
              <w:rPr>
                <w:sz w:val="18"/>
                <w:szCs w:val="18"/>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1,515</w:t>
            </w:r>
          </w:p>
        </w:tc>
        <w:tc>
          <w:tcPr>
            <w:tcW w:w="0" w:type="dxa"/>
            <w:vAlign w:val="bottom"/>
          </w:tcPr>
          <w:p>
            <w:pPr>
              <w:spacing w:after="0"/>
              <w:rPr>
                <w:sz w:val="1"/>
                <w:szCs w:val="1"/>
                <w:color w:val="auto"/>
              </w:rPr>
            </w:pPr>
          </w:p>
        </w:tc>
      </w:tr>
      <w:tr>
        <w:trPr>
          <w:trHeight w:val="191"/>
        </w:trPr>
        <w:tc>
          <w:tcPr>
            <w:tcW w:w="234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5000" w:type="dxa"/>
            <w:vAlign w:val="bottom"/>
            <w:tcBorders>
              <w:top w:val="single" w:sz="8" w:color="CCEEFF"/>
            </w:tcBorders>
            <w:shd w:val="clear" w:color="auto" w:fill="CCEEFF"/>
          </w:tcPr>
          <w:p>
            <w:pPr>
              <w:spacing w:after="0"/>
              <w:rPr>
                <w:sz w:val="16"/>
                <w:szCs w:val="16"/>
                <w:color w:val="auto"/>
              </w:rPr>
            </w:pPr>
          </w:p>
        </w:tc>
        <w:tc>
          <w:tcPr>
            <w:tcW w:w="1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spacing w:after="0"/>
              <w:rPr>
                <w:sz w:val="16"/>
                <w:szCs w:val="16"/>
                <w:color w:val="auto"/>
              </w:rPr>
            </w:pP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7360" w:type="dxa"/>
            <w:vAlign w:val="bottom"/>
            <w:gridSpan w:val="3"/>
          </w:tcPr>
          <w:p>
            <w:pPr>
              <w:spacing w:after="0"/>
              <w:rPr>
                <w:sz w:val="20"/>
                <w:szCs w:val="20"/>
                <w:color w:val="auto"/>
              </w:rPr>
            </w:pPr>
            <w:r>
              <w:rPr>
                <w:rFonts w:ascii="Arial" w:cs="Arial" w:eastAsia="Arial" w:hAnsi="Arial"/>
                <w:sz w:val="16"/>
                <w:szCs w:val="16"/>
                <w:color w:val="auto"/>
              </w:rPr>
              <w:t>Foreign currency translation adjustments on cash and cash equivalents</w:t>
            </w:r>
          </w:p>
        </w:tc>
        <w:tc>
          <w:tcPr>
            <w:tcW w:w="1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1"/>
        </w:trPr>
        <w:tc>
          <w:tcPr>
            <w:tcW w:w="7360" w:type="dxa"/>
            <w:vAlign w:val="bottom"/>
            <w:tcBorders>
              <w:top w:val="single" w:sz="8" w:color="CCEEFF"/>
            </w:tcBorders>
            <w:gridSpan w:val="3"/>
            <w:shd w:val="clear" w:color="auto" w:fill="CCEEFF"/>
          </w:tcPr>
          <w:p>
            <w:pPr>
              <w:spacing w:after="0"/>
              <w:rPr>
                <w:sz w:val="20"/>
                <w:szCs w:val="20"/>
                <w:color w:val="auto"/>
              </w:rPr>
            </w:pPr>
            <w:r>
              <w:rPr>
                <w:rFonts w:ascii="Arial" w:cs="Arial" w:eastAsia="Arial" w:hAnsi="Arial"/>
                <w:sz w:val="16"/>
                <w:szCs w:val="16"/>
                <w:color w:val="auto"/>
              </w:rPr>
              <w:t>Increase (decrease) in cash and cash equivalents</w:t>
            </w:r>
          </w:p>
        </w:tc>
        <w:tc>
          <w:tcPr>
            <w:tcW w:w="1320" w:type="dxa"/>
            <w:vAlign w:val="bottom"/>
            <w:tcBorders>
              <w:top w:val="single" w:sz="8" w:color="CCEEFF"/>
            </w:tcBorders>
            <w:shd w:val="clear" w:color="auto" w:fill="CCEEFF"/>
          </w:tcPr>
          <w:p>
            <w:pPr>
              <w:spacing w:after="0"/>
              <w:rPr>
                <w:sz w:val="16"/>
                <w:szCs w:val="16"/>
                <w:color w:val="auto"/>
              </w:rPr>
            </w:pPr>
          </w:p>
        </w:tc>
        <w:tc>
          <w:tcPr>
            <w:tcW w:w="240" w:type="dxa"/>
            <w:vAlign w:val="bottom"/>
            <w:tcBorders>
              <w:top w:val="single" w:sz="8" w:color="auto"/>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(31,606)</w:t>
            </w:r>
          </w:p>
        </w:tc>
        <w:tc>
          <w:tcPr>
            <w:tcW w:w="24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22,734</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360" w:type="dxa"/>
            <w:vAlign w:val="bottom"/>
            <w:gridSpan w:val="3"/>
          </w:tcPr>
          <w:p>
            <w:pPr>
              <w:spacing w:after="0"/>
              <w:rPr>
                <w:sz w:val="20"/>
                <w:szCs w:val="20"/>
                <w:color w:val="auto"/>
              </w:rPr>
            </w:pPr>
            <w:r>
              <w:rPr>
                <w:rFonts w:ascii="Arial" w:cs="Arial" w:eastAsia="Arial" w:hAnsi="Arial"/>
                <w:sz w:val="16"/>
                <w:szCs w:val="16"/>
                <w:color w:val="auto"/>
              </w:rPr>
              <w:t>Cash and cash equivalents at the beginning of the period</w:t>
            </w:r>
          </w:p>
        </w:tc>
        <w:tc>
          <w:tcPr>
            <w:tcW w:w="1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125,777</w:t>
            </w:r>
          </w:p>
        </w:tc>
        <w:tc>
          <w:tcPr>
            <w:tcW w:w="34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40,743</w:t>
            </w:r>
          </w:p>
        </w:tc>
        <w:tc>
          <w:tcPr>
            <w:tcW w:w="0" w:type="dxa"/>
            <w:vAlign w:val="bottom"/>
          </w:tcPr>
          <w:p>
            <w:pPr>
              <w:spacing w:after="0"/>
              <w:rPr>
                <w:sz w:val="1"/>
                <w:szCs w:val="1"/>
                <w:color w:val="auto"/>
              </w:rPr>
            </w:pPr>
          </w:p>
        </w:tc>
      </w:tr>
      <w:tr>
        <w:trPr>
          <w:trHeight w:val="24"/>
        </w:trPr>
        <w:tc>
          <w:tcPr>
            <w:tcW w:w="7360" w:type="dxa"/>
            <w:vAlign w:val="bottom"/>
            <w:gridSpan w:val="3"/>
            <w:vMerge w:val="restart"/>
            <w:shd w:val="clear" w:color="auto" w:fill="CCEEFF"/>
          </w:tcPr>
          <w:p>
            <w:pPr>
              <w:spacing w:after="0"/>
              <w:rPr>
                <w:sz w:val="20"/>
                <w:szCs w:val="20"/>
                <w:color w:val="auto"/>
              </w:rPr>
            </w:pPr>
            <w:r>
              <w:rPr>
                <w:rFonts w:ascii="Arial" w:cs="Arial" w:eastAsia="Arial" w:hAnsi="Arial"/>
                <w:sz w:val="16"/>
                <w:szCs w:val="16"/>
                <w:color w:val="auto"/>
              </w:rPr>
              <w:t>Cash and cash equivalents at the end of the period</w:t>
            </w:r>
          </w:p>
        </w:tc>
        <w:tc>
          <w:tcPr>
            <w:tcW w:w="132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9"/>
        </w:trPr>
        <w:tc>
          <w:tcPr>
            <w:tcW w:w="7360" w:type="dxa"/>
            <w:vAlign w:val="bottom"/>
            <w:gridSpan w:val="3"/>
            <w:vMerge w:val="continue"/>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94,171</w:t>
            </w:r>
          </w:p>
        </w:tc>
        <w:tc>
          <w:tcPr>
            <w:tcW w:w="34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63,477</w:t>
            </w:r>
          </w:p>
        </w:tc>
        <w:tc>
          <w:tcPr>
            <w:tcW w:w="0" w:type="dxa"/>
            <w:vAlign w:val="bottom"/>
          </w:tcPr>
          <w:p>
            <w:pPr>
              <w:spacing w:after="0"/>
              <w:rPr>
                <w:sz w:val="1"/>
                <w:szCs w:val="1"/>
                <w:color w:val="auto"/>
              </w:rPr>
            </w:pPr>
          </w:p>
        </w:tc>
      </w:tr>
      <w:tr>
        <w:trPr>
          <w:trHeight w:val="20"/>
        </w:trPr>
        <w:tc>
          <w:tcPr>
            <w:tcW w:w="23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0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Non-cash investing and financing activities:</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Purchase of property and equipment on credit</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1,477</w:t>
            </w:r>
          </w:p>
        </w:tc>
        <w:tc>
          <w:tcPr>
            <w:tcW w:w="340" w:type="dxa"/>
            <w:vAlign w:val="bottom"/>
            <w:shd w:val="clear" w:color="auto" w:fill="CCEEFF"/>
          </w:tcPr>
          <w:p>
            <w:pPr>
              <w:spacing w:after="0"/>
              <w:rPr>
                <w:sz w:val="16"/>
                <w:szCs w:val="16"/>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1,909</w:t>
            </w:r>
          </w:p>
        </w:tc>
        <w:tc>
          <w:tcPr>
            <w:tcW w:w="0" w:type="dxa"/>
            <w:vAlign w:val="bottom"/>
          </w:tcPr>
          <w:p>
            <w:pPr>
              <w:spacing w:after="0"/>
              <w:rPr>
                <w:sz w:val="1"/>
                <w:szCs w:val="1"/>
                <w:color w:val="auto"/>
              </w:rPr>
            </w:pPr>
          </w:p>
        </w:tc>
      </w:tr>
      <w:tr>
        <w:trPr>
          <w:trHeight w:val="191"/>
        </w:trPr>
        <w:tc>
          <w:tcPr>
            <w:tcW w:w="7360" w:type="dxa"/>
            <w:vAlign w:val="bottom"/>
            <w:gridSpan w:val="3"/>
          </w:tcPr>
          <w:p>
            <w:pPr>
              <w:spacing w:after="0"/>
              <w:rPr>
                <w:sz w:val="20"/>
                <w:szCs w:val="20"/>
                <w:color w:val="auto"/>
              </w:rPr>
            </w:pPr>
            <w:r>
              <w:rPr>
                <w:rFonts w:ascii="Arial" w:cs="Arial" w:eastAsia="Arial" w:hAnsi="Arial"/>
                <w:sz w:val="16"/>
                <w:szCs w:val="16"/>
                <w:color w:val="auto"/>
              </w:rPr>
              <w:t>Inventory transferred to be used as property and equipment</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412</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298</w:t>
            </w: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Property and equipment transferred to be used as inventory</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3</w:t>
            </w: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7360" w:type="dxa"/>
            <w:vAlign w:val="bottom"/>
            <w:gridSpan w:val="3"/>
          </w:tcPr>
          <w:p>
            <w:pPr>
              <w:spacing w:after="0"/>
              <w:rPr>
                <w:sz w:val="20"/>
                <w:szCs w:val="20"/>
                <w:color w:val="auto"/>
              </w:rPr>
            </w:pPr>
            <w:r>
              <w:rPr>
                <w:rFonts w:ascii="Arial" w:cs="Arial" w:eastAsia="Arial" w:hAnsi="Arial"/>
                <w:sz w:val="16"/>
                <w:szCs w:val="16"/>
                <w:color w:val="auto"/>
              </w:rPr>
              <w:t>Lease liabilities arising from obtaining right-of-use assets</w:t>
            </w:r>
          </w:p>
        </w:tc>
        <w:tc>
          <w:tcPr>
            <w:tcW w:w="1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6"/>
                <w:szCs w:val="16"/>
                <w:color w:val="auto"/>
              </w:rPr>
              <w:t>263</w:t>
            </w:r>
          </w:p>
        </w:tc>
        <w:tc>
          <w:tcPr>
            <w:tcW w:w="34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1,653</w:t>
            </w:r>
          </w:p>
        </w:tc>
        <w:tc>
          <w:tcPr>
            <w:tcW w:w="0" w:type="dxa"/>
            <w:vAlign w:val="bottom"/>
          </w:tcPr>
          <w:p>
            <w:pPr>
              <w:spacing w:after="0"/>
              <w:rPr>
                <w:sz w:val="1"/>
                <w:szCs w:val="1"/>
                <w:color w:val="auto"/>
              </w:rPr>
            </w:pPr>
          </w:p>
        </w:tc>
      </w:tr>
      <w:tr>
        <w:trPr>
          <w:trHeight w:val="191"/>
        </w:trPr>
        <w:tc>
          <w:tcPr>
            <w:tcW w:w="7360" w:type="dxa"/>
            <w:vAlign w:val="bottom"/>
            <w:gridSpan w:val="3"/>
            <w:shd w:val="clear" w:color="auto" w:fill="CCEEFF"/>
          </w:tcPr>
          <w:p>
            <w:pPr>
              <w:spacing w:after="0"/>
              <w:rPr>
                <w:sz w:val="20"/>
                <w:szCs w:val="20"/>
                <w:color w:val="auto"/>
              </w:rPr>
            </w:pPr>
            <w:r>
              <w:rPr>
                <w:rFonts w:ascii="Arial" w:cs="Arial" w:eastAsia="Arial" w:hAnsi="Arial"/>
                <w:sz w:val="16"/>
                <w:szCs w:val="16"/>
                <w:color w:val="auto"/>
              </w:rPr>
              <w:t>Capitalization of software development costs</w:t>
            </w:r>
          </w:p>
        </w:tc>
        <w:tc>
          <w:tcPr>
            <w:tcW w:w="132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w:t>
            </w: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577"/>
        </w:trPr>
        <w:tc>
          <w:tcPr>
            <w:tcW w:w="7360" w:type="dxa"/>
            <w:vAlign w:val="bottom"/>
            <w:tcBorders>
              <w:bottom w:val="single" w:sz="8" w:color="auto"/>
            </w:tcBorders>
            <w:gridSpan w:val="3"/>
          </w:tcPr>
          <w:p>
            <w:pPr>
              <w:ind w:left="5580"/>
              <w:spacing w:after="0"/>
              <w:rPr>
                <w:sz w:val="20"/>
                <w:szCs w:val="20"/>
                <w:color w:val="auto"/>
              </w:rPr>
            </w:pPr>
            <w:r>
              <w:rPr>
                <w:rFonts w:ascii="Arial" w:cs="Arial" w:eastAsia="Arial" w:hAnsi="Arial"/>
                <w:sz w:val="16"/>
                <w:szCs w:val="16"/>
                <w:color w:val="auto"/>
              </w:rPr>
              <w:t>8</w:t>
            </w:r>
          </w:p>
        </w:tc>
        <w:tc>
          <w:tcPr>
            <w:tcW w:w="13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60"/>
          </w:cols>
          <w:pgMar w:left="320" w:top="816" w:right="319" w:bottom="1440" w:gutter="0" w:footer="0" w:header="0"/>
        </w:sectPr>
      </w:pPr>
    </w:p>
    <w:bookmarkStart w:id="13" w:name="page14"/>
    <w:bookmarkEnd w:id="13"/>
    <w:p>
      <w:pPr>
        <w:ind w:left="9300"/>
        <w:spacing w:after="0"/>
        <w:rPr>
          <w:sz w:val="20"/>
          <w:szCs w:val="20"/>
          <w:color w:val="auto"/>
        </w:rPr>
      </w:pPr>
      <w:r>
        <w:rPr>
          <w:rFonts w:ascii="Arial" w:cs="Arial" w:eastAsia="Arial" w:hAnsi="Arial"/>
          <w:sz w:val="15"/>
          <w:szCs w:val="15"/>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-713105</wp:posOffset>
            </wp:positionH>
            <wp:positionV relativeFrom="paragraph">
              <wp:posOffset>158750</wp:posOffset>
            </wp:positionV>
            <wp:extent cx="7203440" cy="58350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0">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0" w:num="1">
            <w:col w:w="10140"/>
          </w:cols>
          <w:pgMar w:left="1440" w:top="123" w:right="319" w:bottom="1440"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426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1">
                      <a:extLst>
                        <a:ext uri="{28A0092B-C50C-407E-A947-70E740481C1C}"/>
                      </a:extLst>
                    </a:blip>
                    <a:srcRect/>
                    <a:stretch>
                      <a:fillRect/>
                    </a:stretch>
                  </pic:blipFill>
                  <pic:spPr bwMode="auto">
                    <a:xfrm>
                      <a:off x="0" y="0"/>
                      <a:ext cx="7203440" cy="58426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6227445</wp:posOffset>
            </wp:positionV>
            <wp:extent cx="7148195" cy="152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6227445</wp:posOffset>
            </wp:positionV>
            <wp:extent cx="7148195" cy="152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3">
                      <a:extLst>
                        <a:ext uri="{28A0092B-C50C-407E-A947-70E740481C1C}"/>
                      </a:extLst>
                    </a:blip>
                    <a:srcRect/>
                    <a:stretch>
                      <a:fillRect/>
                    </a:stretch>
                  </pic:blipFill>
                  <pic:spPr bwMode="auto">
                    <a:xfrm>
                      <a:off x="0" y="0"/>
                      <a:ext cx="7148195" cy="152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4">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5">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6">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7">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8">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9">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0">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1">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2">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3">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4">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5">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6">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200660</wp:posOffset>
            </wp:positionH>
            <wp:positionV relativeFrom="page">
              <wp:posOffset>407670</wp:posOffset>
            </wp:positionV>
            <wp:extent cx="7203440" cy="58350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7">
                      <a:extLst>
                        <a:ext uri="{28A0092B-C50C-407E-A947-70E740481C1C}"/>
                      </a:extLst>
                    </a:blip>
                    <a:srcRect/>
                    <a:stretch>
                      <a:fillRect/>
                    </a:stretch>
                  </pic:blipFill>
                  <pic:spPr bwMode="auto">
                    <a:xfrm>
                      <a:off x="0" y="0"/>
                      <a:ext cx="7203440" cy="583501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212"/>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21" Type="http://schemas.openxmlformats.org/officeDocument/2006/relationships/image" Target="media/image6.png"/><Relationship Id="rId22" Type="http://schemas.openxmlformats.org/officeDocument/2006/relationships/image" Target="media/image7.png"/><Relationship Id="rId23" Type="http://schemas.openxmlformats.org/officeDocument/2006/relationships/image" Target="media/image8.jpeg"/><Relationship Id="rId24" Type="http://schemas.openxmlformats.org/officeDocument/2006/relationships/image" Target="media/image9.png"/><Relationship Id="rId25" Type="http://schemas.openxmlformats.org/officeDocument/2006/relationships/image" Target="media/image10.png"/><Relationship Id="rId26" Type="http://schemas.openxmlformats.org/officeDocument/2006/relationships/image" Target="media/image11.png"/><Relationship Id="rId27" Type="http://schemas.openxmlformats.org/officeDocument/2006/relationships/image" Target="media/image12.png"/><Relationship Id="rId28" Type="http://schemas.openxmlformats.org/officeDocument/2006/relationships/image" Target="media/image13.png"/><Relationship Id="rId29" Type="http://schemas.openxmlformats.org/officeDocument/2006/relationships/image" Target="media/image14.png"/><Relationship Id="rId30" Type="http://schemas.openxmlformats.org/officeDocument/2006/relationships/image" Target="media/image15.png"/><Relationship Id="rId31" Type="http://schemas.openxmlformats.org/officeDocument/2006/relationships/image" Target="media/image16.png"/><Relationship Id="rId32"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37" Type="http://schemas.openxmlformats.org/officeDocument/2006/relationships/image" Target="media/image22.png"/><Relationship Id="rId38" Type="http://schemas.openxmlformats.org/officeDocument/2006/relationships/image" Target="media/image23.png"/><Relationship Id="rId39" Type="http://schemas.openxmlformats.org/officeDocument/2006/relationships/image" Target="media/image24.png"/><Relationship Id="rId40" Type="http://schemas.openxmlformats.org/officeDocument/2006/relationships/image" Target="media/image25.png"/><Relationship Id="rId41" Type="http://schemas.openxmlformats.org/officeDocument/2006/relationships/image" Target="media/image26.png"/><Relationship Id="rId42" Type="http://schemas.openxmlformats.org/officeDocument/2006/relationships/image" Target="media/image27.png"/><Relationship Id="rId43" Type="http://schemas.openxmlformats.org/officeDocument/2006/relationships/image" Target="media/image28.png"/><Relationship Id="rId44" Type="http://schemas.openxmlformats.org/officeDocument/2006/relationships/image" Target="media/image29.png"/><Relationship Id="rId45" Type="http://schemas.openxmlformats.org/officeDocument/2006/relationships/image" Target="media/image30.png"/><Relationship Id="rId46" Type="http://schemas.openxmlformats.org/officeDocument/2006/relationships/image" Target="media/image31.png"/><Relationship Id="rId47" Type="http://schemas.openxmlformats.org/officeDocument/2006/relationships/image" Target="media/image32.png"/><Relationship Id="rId48" Type="http://schemas.openxmlformats.org/officeDocument/2006/relationships/image" Target="media/image33.png"/><Relationship Id="rId49" Type="http://schemas.openxmlformats.org/officeDocument/2006/relationships/image" Target="media/image34.png"/><Relationship Id="rId50" Type="http://schemas.openxmlformats.org/officeDocument/2006/relationships/image" Target="media/image35.png"/><Relationship Id="rId51" Type="http://schemas.openxmlformats.org/officeDocument/2006/relationships/image" Target="media/image36.png"/><Relationship Id="rId52" Type="http://schemas.openxmlformats.org/officeDocument/2006/relationships/image" Target="media/image37.png"/><Relationship Id="rId53" Type="http://schemas.openxmlformats.org/officeDocument/2006/relationships/image" Target="media/image38.png"/><Relationship Id="rId54" Type="http://schemas.openxmlformats.org/officeDocument/2006/relationships/image" Target="media/image39.png"/><Relationship Id="rId55" Type="http://schemas.openxmlformats.org/officeDocument/2006/relationships/image" Target="media/image40.png"/><Relationship Id="rId56" Type="http://schemas.openxmlformats.org/officeDocument/2006/relationships/image" Target="media/image41.png"/><Relationship Id="rId57" Type="http://schemas.openxmlformats.org/officeDocument/2006/relationships/image" Target="media/image42.png"/><Relationship Id="rId13" Type="http://schemas.openxmlformats.org/officeDocument/2006/relationships/hyperlink" Target="http://www.sec.gov/Archives/edgar/data/1625791/000121390020026445/ff3asr2020_kornitdigital.htm" TargetMode="External"/><Relationship Id="rId14" Type="http://schemas.openxmlformats.org/officeDocument/2006/relationships/hyperlink" Target="http://www.sec.gov/Archives/edgar/data/1625791/000161577415000908/s101052_forms8.htm" TargetMode="External"/><Relationship Id="rId15" Type="http://schemas.openxmlformats.org/officeDocument/2006/relationships/hyperlink" Target="http://www.sec.gov/Archives/edgar/data/1625791/000121390016017339/fs82016_kornitdigital.htm" TargetMode="External"/><Relationship Id="rId16" Type="http://schemas.openxmlformats.org/officeDocument/2006/relationships/hyperlink" Target="http://www.sec.gov/Archives/edgar/data/1625791/000121390017003012/fs82017_kornitdigital.htm" TargetMode="External"/><Relationship Id="rId17" Type="http://schemas.openxmlformats.org/officeDocument/2006/relationships/hyperlink" Target="http://www.sec.gov/Archives/edgar/data/1625791/000121390018003205/fs82018_kornitdigital.htm" TargetMode="External"/><Relationship Id="rId18" Type="http://schemas.openxmlformats.org/officeDocument/2006/relationships/hyperlink" Target="http://www.sec.gov/Archives/edgar/data/1625791/000121390019005079/fs82019_kornitdigitalltd.htm" TargetMode="External"/><Relationship Id="rId19" Type="http://schemas.openxmlformats.org/officeDocument/2006/relationships/hyperlink" Target="http://www.sec.gov/Archives/edgar/data/1625791/000121390020007116/ea119827-s8_kornitdigital.htm" TargetMode="External"/><Relationship Id="rId20" Type="http://schemas.openxmlformats.org/officeDocument/2006/relationships/hyperlink" Target="http://www.sec.gov/Archives/edgar/data/1625791/000121390021017777/ea138332-s8_kornitdigital.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2021-05-11T06:02:38Z</dcterms:created>
  <dcterms:modified xsi:type="dcterms:W3CDTF">2021-05-11T06:02:38Z</dcterms:modified>
</cp:coreProperties>
</file>