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73"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FORM 6-K</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May 2020</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KORNIT DIGITAL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660"/>
        <w:spacing w:after="0" w:line="184" w:lineRule="exact"/>
        <w:tabs>
          <w:tab w:leader="none" w:pos="570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ind w:right="420" w:firstLine="565"/>
        <w:spacing w:after="0" w:line="275" w:lineRule="auto"/>
        <w:rPr>
          <w:sz w:val="20"/>
          <w:szCs w:val="20"/>
          <w:color w:val="auto"/>
        </w:rPr>
      </w:pPr>
      <w:r>
        <w:rPr>
          <w:rFonts w:ascii="Arial" w:cs="Arial" w:eastAsia="Arial" w:hAnsi="Arial"/>
          <w:sz w:val="16"/>
          <w:szCs w:val="16"/>
          <w:color w:val="auto"/>
        </w:rPr>
        <w:t>On May 19, 2020 Kornit Digital Ltd. (“Kornit”) issued a press release entitled “Kornit Digital Reports First Quarter 2020 Results,” in which Kornit reported its financial results for the quarter ended March 31, 2020. A copy of that press release is furnished as Exhibit 99.1 hereto.</w:t>
      </w:r>
    </w:p>
    <w:p>
      <w:pPr>
        <w:spacing w:after="0" w:line="152" w:lineRule="exact"/>
        <w:rPr>
          <w:sz w:val="20"/>
          <w:szCs w:val="20"/>
          <w:color w:val="auto"/>
        </w:rPr>
      </w:pPr>
    </w:p>
    <w:p>
      <w:pPr>
        <w:ind w:firstLine="565"/>
        <w:spacing w:after="0" w:line="262" w:lineRule="auto"/>
        <w:rPr>
          <w:sz w:val="20"/>
          <w:szCs w:val="20"/>
          <w:color w:val="auto"/>
        </w:rPr>
      </w:pPr>
      <w:r>
        <w:rPr>
          <w:rFonts w:ascii="Arial" w:cs="Arial" w:eastAsia="Arial" w:hAnsi="Arial"/>
          <w:sz w:val="16"/>
          <w:szCs w:val="16"/>
          <w:color w:val="auto"/>
        </w:rPr>
        <w:t xml:space="preserve">In conjunction with the conference call being held on May 19, 2020 to discuss Kornit’s quarterly results for the quarter ended March 31, 2020, Kornit also made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“Form 6-K”) and is incorporated herein by reference.</w:t>
      </w:r>
    </w:p>
    <w:p>
      <w:pPr>
        <w:spacing w:after="0" w:line="162" w:lineRule="exact"/>
        <w:rPr>
          <w:sz w:val="20"/>
          <w:szCs w:val="20"/>
          <w:color w:val="auto"/>
        </w:rPr>
      </w:pPr>
    </w:p>
    <w:p>
      <w:pPr>
        <w:jc w:val="both"/>
        <w:ind w:right="60" w:firstLine="565"/>
        <w:spacing w:after="0" w:line="287" w:lineRule="auto"/>
        <w:rPr>
          <w:sz w:val="20"/>
          <w:szCs w:val="20"/>
          <w:color w:val="auto"/>
        </w:rPr>
      </w:pPr>
      <w:r>
        <w:rPr>
          <w:rFonts w:ascii="Arial" w:cs="Arial" w:eastAsia="Arial" w:hAnsi="Arial"/>
          <w:sz w:val="15"/>
          <w:szCs w:val="15"/>
          <w:color w:val="auto"/>
        </w:rPr>
        <w:t>The U.S. GAAP financial information contained in the (i) consolidated balance sheets, (ii) consolidated statements of operations and (iii) consolidated statements of cash flows included in the press release attached as Exhibit 99.1 to this Form 6-K is hereby incorporated by reference into Kornit’s Registration Statements on Form F-3 (File No. 333-232070) and Form S-8 (File No.’s 333-203970, 333-214015, 333-217039, 333-223794, 333-230567 and 333-237346).</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816"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10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7240" w:type="dxa"/>
            <w:vAlign w:val="bottom"/>
            <w:gridSpan w:val="2"/>
          </w:tcPr>
          <w:p>
            <w:pPr>
              <w:ind w:left="2740"/>
              <w:spacing w:after="0"/>
              <w:rPr>
                <w:sz w:val="20"/>
                <w:szCs w:val="20"/>
                <w:color w:val="auto"/>
              </w:rPr>
            </w:pPr>
            <w:r>
              <w:rPr>
                <w:rFonts w:ascii="Arial" w:cs="Arial" w:eastAsia="Arial" w:hAnsi="Arial"/>
                <w:sz w:val="16"/>
                <w:szCs w:val="16"/>
                <w:color w:val="auto"/>
              </w:rPr>
              <w:t>KORNIT DIGITAL LTD.</w:t>
            </w:r>
          </w:p>
        </w:tc>
      </w:tr>
      <w:tr>
        <w:trPr>
          <w:trHeight w:val="386"/>
        </w:trPr>
        <w:tc>
          <w:tcPr>
            <w:tcW w:w="4020" w:type="dxa"/>
            <w:vAlign w:val="bottom"/>
          </w:tcPr>
          <w:p>
            <w:pPr>
              <w:spacing w:after="0"/>
              <w:rPr>
                <w:sz w:val="20"/>
                <w:szCs w:val="20"/>
                <w:color w:val="auto"/>
              </w:rPr>
            </w:pPr>
            <w:r>
              <w:rPr>
                <w:rFonts w:ascii="Arial" w:cs="Arial" w:eastAsia="Arial" w:hAnsi="Arial"/>
                <w:sz w:val="16"/>
                <w:szCs w:val="16"/>
                <w:color w:val="auto"/>
              </w:rPr>
              <w:t>Date: May 19, 2020</w:t>
            </w:r>
          </w:p>
        </w:tc>
        <w:tc>
          <w:tcPr>
            <w:tcW w:w="3300" w:type="dxa"/>
            <w:vAlign w:val="bottom"/>
          </w:tcPr>
          <w:p>
            <w:pPr>
              <w:ind w:left="274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Guy Avidan</w:t>
            </w:r>
          </w:p>
        </w:tc>
      </w:tr>
      <w:tr>
        <w:trPr>
          <w:trHeight w:val="179"/>
        </w:trPr>
        <w:tc>
          <w:tcPr>
            <w:tcW w:w="4020" w:type="dxa"/>
            <w:vAlign w:val="bottom"/>
          </w:tcPr>
          <w:p>
            <w:pPr>
              <w:spacing w:after="0"/>
              <w:rPr>
                <w:sz w:val="15"/>
                <w:szCs w:val="15"/>
                <w:color w:val="auto"/>
              </w:rPr>
            </w:pPr>
          </w:p>
        </w:tc>
        <w:tc>
          <w:tcPr>
            <w:tcW w:w="3300" w:type="dxa"/>
            <w:vAlign w:val="bottom"/>
          </w:tcPr>
          <w:p>
            <w:pPr>
              <w:ind w:left="274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Guy Avidan</w:t>
            </w:r>
          </w:p>
        </w:tc>
      </w:tr>
      <w:tr>
        <w:trPr>
          <w:trHeight w:val="204"/>
        </w:trPr>
        <w:tc>
          <w:tcPr>
            <w:tcW w:w="4020" w:type="dxa"/>
            <w:vAlign w:val="bottom"/>
          </w:tcPr>
          <w:p>
            <w:pPr>
              <w:spacing w:after="0"/>
              <w:rPr>
                <w:sz w:val="17"/>
                <w:szCs w:val="17"/>
                <w:color w:val="auto"/>
              </w:rPr>
            </w:pPr>
          </w:p>
        </w:tc>
        <w:tc>
          <w:tcPr>
            <w:tcW w:w="3300" w:type="dxa"/>
            <w:vAlign w:val="bottom"/>
          </w:tcPr>
          <w:p>
            <w:pPr>
              <w:ind w:left="274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tcPr>
          <w:p>
            <w:pPr>
              <w:jc w:val="center"/>
              <w:ind w:right="1060"/>
              <w:spacing w:after="0"/>
              <w:rPr>
                <w:sz w:val="20"/>
                <w:szCs w:val="20"/>
                <w:color w:val="auto"/>
              </w:rPr>
            </w:pPr>
            <w:r>
              <w:rPr>
                <w:rFonts w:ascii="Arial" w:cs="Arial" w:eastAsia="Arial" w:hAnsi="Arial"/>
                <w:sz w:val="16"/>
                <w:szCs w:val="16"/>
                <w:b w:val="1"/>
                <w:bCs w:val="1"/>
                <w:color w:val="auto"/>
                <w:w w:val="94"/>
              </w:rPr>
              <w:t>Exhibit Index</w:t>
            </w:r>
          </w:p>
        </w:tc>
      </w:tr>
      <w:tr>
        <w:trPr>
          <w:trHeight w:val="366"/>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212"/>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No.</w:t>
            </w:r>
          </w:p>
        </w:tc>
        <w:tc>
          <w:tcPr>
            <w:tcW w:w="120" w:type="dxa"/>
            <w:vAlign w:val="bottom"/>
            <w:tcBorders>
              <w:bottom w:val="single" w:sz="8" w:color="CCEEFF"/>
            </w:tcBorders>
          </w:tcPr>
          <w:p>
            <w:pPr>
              <w:spacing w:after="0"/>
              <w:rPr>
                <w:sz w:val="18"/>
                <w:szCs w:val="18"/>
                <w:color w:val="auto"/>
              </w:rPr>
            </w:pPr>
          </w:p>
        </w:tc>
        <w:tc>
          <w:tcPr>
            <w:tcW w:w="10120" w:type="dxa"/>
            <w:vAlign w:val="bottom"/>
            <w:tcBorders>
              <w:bottom w:val="single" w:sz="8" w:color="auto"/>
            </w:tcBorders>
          </w:tcPr>
          <w:p>
            <w:pPr>
              <w:ind w:left="466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Press release dated May 19, 2020 “Kornit Digital Reports First Quarter 2020 Results”</w:t>
              </w:r>
            </w:hyperlink>
          </w:p>
        </w:tc>
      </w:t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99.2</w:t>
            </w:r>
          </w:p>
        </w:tc>
        <w:tc>
          <w:tcPr>
            <w:tcW w:w="10240" w:type="dxa"/>
            <w:vAlign w:val="bottom"/>
            <w:gridSpan w:val="2"/>
          </w:tcPr>
          <w:p>
            <w:pPr>
              <w:ind w:left="12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Slide presentation for conference call of Kornit held on May 19, 2020 discussing quarterly financial results for the first quarter of 2020</w:t>
              </w:r>
            </w:hyperlink>
          </w:p>
        </w:tc>
      </w:tr>
      <w:tr>
        <w:trPr>
          <w:trHeight w:val="565"/>
        </w:trPr>
        <w:tc>
          <w:tcPr>
            <w:tcW w:w="10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2"/>
          </w:tcPr>
          <w:p>
            <w:pPr>
              <w:jc w:val="right"/>
              <w:ind w:right="552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Kelsey Turcotte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Blueshirt Group</w:t>
      </w:r>
    </w:p>
    <w:p>
      <w:pPr>
        <w:spacing w:after="0" w:line="7" w:lineRule="exact"/>
        <w:rPr>
          <w:sz w:val="20"/>
          <w:szCs w:val="20"/>
          <w:color w:val="auto"/>
        </w:rPr>
      </w:pPr>
    </w:p>
    <w:p>
      <w:pPr>
        <w:ind w:left="4" w:right="9440" w:hanging="4"/>
        <w:spacing w:after="0" w:line="330" w:lineRule="auto"/>
        <w:tabs>
          <w:tab w:leader="none" w:pos="389" w:val="left"/>
        </w:tabs>
        <w:numPr>
          <w:ilvl w:val="0"/>
          <w:numId w:val="1"/>
        </w:numPr>
        <w:rPr>
          <w:rFonts w:ascii="Arial" w:cs="Arial" w:eastAsia="Arial" w:hAnsi="Arial"/>
          <w:sz w:val="14"/>
          <w:szCs w:val="14"/>
          <w:color w:val="auto"/>
        </w:rPr>
      </w:pPr>
      <w:r>
        <w:rPr>
          <w:rFonts w:ascii="Arial" w:cs="Arial" w:eastAsia="Arial" w:hAnsi="Arial"/>
          <w:sz w:val="14"/>
          <w:szCs w:val="14"/>
          <w:color w:val="auto"/>
        </w:rPr>
        <w:t>842-0334 Kelsey@blueshirtgroup.com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69975" cy="64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Kornit Digital Reports First Quarter 2020 Results</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Textile Industry at Inflection Point</w:t>
      </w:r>
    </w:p>
    <w:p>
      <w:pPr>
        <w:spacing w:after="0" w:line="202" w:lineRule="exact"/>
        <w:rPr>
          <w:sz w:val="20"/>
          <w:szCs w:val="20"/>
          <w:color w:val="auto"/>
        </w:rPr>
      </w:pPr>
    </w:p>
    <w:p>
      <w:pPr>
        <w:ind w:left="564" w:hanging="278"/>
        <w:spacing w:after="0"/>
        <w:tabs>
          <w:tab w:leader="none" w:pos="564"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quarter revenue of $26.2 million, net of non-cash warrants impact of $0.6 million</w:t>
      </w:r>
    </w:p>
    <w:p>
      <w:pPr>
        <w:spacing w:after="0" w:line="19" w:lineRule="exact"/>
        <w:rPr>
          <w:rFonts w:ascii="Arial" w:cs="Arial" w:eastAsia="Arial" w:hAnsi="Arial"/>
          <w:sz w:val="16"/>
          <w:szCs w:val="16"/>
          <w:color w:val="auto"/>
        </w:rPr>
      </w:pPr>
    </w:p>
    <w:p>
      <w:pPr>
        <w:ind w:left="564" w:right="420" w:hanging="278"/>
        <w:spacing w:after="0" w:line="249" w:lineRule="auto"/>
        <w:tabs>
          <w:tab w:leader="none" w:pos="564"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quarter 2020 GAAP operating loss of $13.0 million; Non-GAAP operating loss of $10.5 million, including $0.6 million attributed to the non-cash impact of warrants</w:t>
      </w:r>
    </w:p>
    <w:p>
      <w:pPr>
        <w:ind w:left="564" w:hanging="278"/>
        <w:spacing w:after="0"/>
        <w:tabs>
          <w:tab w:leader="none" w:pos="564"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quarter 2020 performance reflects immediate short-term impact of COVID-19</w:t>
      </w:r>
    </w:p>
    <w:p>
      <w:pPr>
        <w:spacing w:after="0" w:line="7" w:lineRule="exact"/>
        <w:rPr>
          <w:rFonts w:ascii="Arial" w:cs="Arial" w:eastAsia="Arial" w:hAnsi="Arial"/>
          <w:sz w:val="16"/>
          <w:szCs w:val="16"/>
          <w:color w:val="auto"/>
        </w:rPr>
      </w:pPr>
    </w:p>
    <w:p>
      <w:pPr>
        <w:ind w:left="564" w:hanging="278"/>
        <w:spacing w:after="0"/>
        <w:tabs>
          <w:tab w:leader="none" w:pos="564" w:val="left"/>
        </w:tabs>
        <w:numPr>
          <w:ilvl w:val="0"/>
          <w:numId w:val="2"/>
        </w:numPr>
        <w:rPr>
          <w:rFonts w:ascii="Arial" w:cs="Arial" w:eastAsia="Arial" w:hAnsi="Arial"/>
          <w:sz w:val="16"/>
          <w:szCs w:val="16"/>
          <w:color w:val="auto"/>
        </w:rPr>
      </w:pPr>
      <w:r>
        <w:rPr>
          <w:rFonts w:ascii="Arial" w:cs="Arial" w:eastAsia="Arial" w:hAnsi="Arial"/>
          <w:sz w:val="16"/>
          <w:szCs w:val="16"/>
          <w:color w:val="auto"/>
        </w:rPr>
        <w:t>High confidence in delivering year-over-year growth for the second half of 2020</w:t>
      </w:r>
    </w:p>
    <w:p>
      <w:pPr>
        <w:spacing w:after="0" w:line="182" w:lineRule="exact"/>
        <w:rPr>
          <w:sz w:val="20"/>
          <w:szCs w:val="20"/>
          <w:color w:val="auto"/>
        </w:rPr>
      </w:pPr>
    </w:p>
    <w:p>
      <w:pPr>
        <w:ind w:left="4" w:right="160"/>
        <w:spacing w:after="0" w:line="280" w:lineRule="auto"/>
        <w:rPr>
          <w:sz w:val="20"/>
          <w:szCs w:val="20"/>
          <w:color w:val="auto"/>
        </w:rPr>
      </w:pPr>
      <w:r>
        <w:rPr>
          <w:rFonts w:ascii="Arial" w:cs="Arial" w:eastAsia="Arial" w:hAnsi="Arial"/>
          <w:sz w:val="16"/>
          <w:szCs w:val="16"/>
          <w:b w:val="1"/>
          <w:bCs w:val="1"/>
          <w:color w:val="auto"/>
        </w:rPr>
        <w:t xml:space="preserve">Rosh-Ha’Ayin, Israel – May 19, 2020 – </w:t>
      </w:r>
      <w:r>
        <w:rPr>
          <w:rFonts w:ascii="Arial" w:cs="Arial" w:eastAsia="Arial" w:hAnsi="Arial"/>
          <w:sz w:val="16"/>
          <w:szCs w:val="16"/>
          <w:color w:val="auto"/>
        </w:rPr>
        <w:t>Kornit Digital Ltd. (NASDAQ: KRNT), a leading provider of digital printing solutions for the global textile industry, today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for the first quarter ended March 31, 2020.</w:t>
      </w:r>
    </w:p>
    <w:p>
      <w:pPr>
        <w:spacing w:after="0" w:line="148" w:lineRule="exact"/>
        <w:rPr>
          <w:sz w:val="20"/>
          <w:szCs w:val="20"/>
          <w:color w:val="auto"/>
        </w:rPr>
      </w:pPr>
    </w:p>
    <w:p>
      <w:pPr>
        <w:ind w:left="4" w:right="20"/>
        <w:spacing w:after="0" w:line="255" w:lineRule="auto"/>
        <w:rPr>
          <w:sz w:val="20"/>
          <w:szCs w:val="20"/>
          <w:color w:val="auto"/>
        </w:rPr>
      </w:pPr>
      <w:r>
        <w:rPr>
          <w:rFonts w:ascii="Arial" w:cs="Arial" w:eastAsia="Arial" w:hAnsi="Arial"/>
          <w:sz w:val="16"/>
          <w:szCs w:val="16"/>
          <w:color w:val="auto"/>
        </w:rPr>
        <w:t>“While our first quarter 2020 results were significantly impacted by efforts to contain COVID-19, we are very encouraged by the global reopening of the economy and see a clear path to reaccelerating top line growth,” said Ronen Samuel, Kornit Digital’s Chief Executive Officer. “The broader market disruption of the last few months has created an inflection point in the textile industry, further accelerating the shift to e-commerce and exposing the inherent supply chain challenges faced by traditional retail. There is a need across all segments for flexible inventory management, all of which is driving an increased need for on-demand digital production and decoration of textiles in a sustainable way.”</w:t>
      </w:r>
    </w:p>
    <w:p>
      <w:pPr>
        <w:spacing w:after="0" w:line="170" w:lineRule="exact"/>
        <w:rPr>
          <w:sz w:val="20"/>
          <w:szCs w:val="20"/>
          <w:color w:val="auto"/>
        </w:rPr>
      </w:pPr>
    </w:p>
    <w:p>
      <w:pPr>
        <w:jc w:val="both"/>
        <w:ind w:left="4" w:right="40"/>
        <w:spacing w:after="0" w:line="317" w:lineRule="auto"/>
        <w:rPr>
          <w:sz w:val="20"/>
          <w:szCs w:val="20"/>
          <w:color w:val="auto"/>
        </w:rPr>
      </w:pPr>
      <w:r>
        <w:rPr>
          <w:rFonts w:ascii="Arial" w:cs="Arial" w:eastAsia="Arial" w:hAnsi="Arial"/>
          <w:sz w:val="14"/>
          <w:szCs w:val="14"/>
          <w:color w:val="auto"/>
        </w:rPr>
        <w:t>Samuel continued, “We believe this short-term dislocation moves the market more quickly in our direction and is reflected in our strengthening pipeline. Looking at the balance of fiscal 2020, we expect that customers will accelerate their investments in Kornit as they prepare for peak activity. I am more confident than ever in our value proposition and our leadership position. Kornit is very well positioned to seize the market opportunity ahead of us, and we expect to deliver year-over-year growth for the second half of 2020.”</w:t>
      </w:r>
    </w:p>
    <w:p>
      <w:pPr>
        <w:spacing w:after="0" w:line="127" w:lineRule="exact"/>
        <w:rPr>
          <w:sz w:val="20"/>
          <w:szCs w:val="20"/>
          <w:color w:val="auto"/>
        </w:rPr>
      </w:pPr>
    </w:p>
    <w:p>
      <w:pPr>
        <w:jc w:val="both"/>
        <w:ind w:left="4" w:right="40"/>
        <w:spacing w:after="0" w:line="275" w:lineRule="auto"/>
        <w:rPr>
          <w:sz w:val="20"/>
          <w:szCs w:val="20"/>
          <w:color w:val="auto"/>
        </w:rPr>
      </w:pPr>
      <w:r>
        <w:rPr>
          <w:rFonts w:ascii="Arial" w:cs="Arial" w:eastAsia="Arial" w:hAnsi="Arial"/>
          <w:sz w:val="16"/>
          <w:szCs w:val="16"/>
          <w:i w:val="1"/>
          <w:iCs w:val="1"/>
          <w:color w:val="auto"/>
        </w:rPr>
        <w:t>2019 GAAP and Non-GAAP figures in today’s press release are presented using a different valuation basis for the warrants impact compared to previous years as a result of the recently issued accounting standards update (ASU 2019-08).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5" w:name="page6"/>
    <w:bookmarkEnd w:id="5"/>
    <w:p>
      <w:pPr>
        <w:ind w:right="840"/>
        <w:spacing w:after="0" w:line="275" w:lineRule="auto"/>
        <w:rPr>
          <w:sz w:val="20"/>
          <w:szCs w:val="20"/>
          <w:color w:val="auto"/>
        </w:rPr>
      </w:pPr>
      <w:r>
        <w:rPr>
          <w:rFonts w:ascii="Arial" w:cs="Arial" w:eastAsia="Arial" w:hAnsi="Arial"/>
          <w:sz w:val="16"/>
          <w:szCs w:val="16"/>
          <w:color w:val="auto"/>
        </w:rPr>
        <w:t>The following table compares the adverse, non-cash impact that our outstanding warrants had on our results of operations during the first quarter of 2020 and 2019,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60" w:type="dxa"/>
            <w:vAlign w:val="bottom"/>
          </w:tcPr>
          <w:p>
            <w:pPr>
              <w:spacing w:after="0"/>
              <w:rPr>
                <w:sz w:val="18"/>
                <w:szCs w:val="18"/>
                <w:color w:val="auto"/>
              </w:rPr>
            </w:pPr>
          </w:p>
        </w:tc>
        <w:tc>
          <w:tcPr>
            <w:tcW w:w="4360" w:type="dxa"/>
            <w:vAlign w:val="bottom"/>
            <w:gridSpan w:val="7"/>
          </w:tcPr>
          <w:p>
            <w:pPr>
              <w:ind w:left="1160"/>
              <w:spacing w:after="0"/>
              <w:rPr>
                <w:sz w:val="20"/>
                <w:szCs w:val="20"/>
                <w:color w:val="auto"/>
              </w:rPr>
            </w:pPr>
            <w:r>
              <w:rPr>
                <w:rFonts w:ascii="Arial" w:cs="Arial" w:eastAsia="Arial" w:hAnsi="Arial"/>
                <w:sz w:val="16"/>
                <w:szCs w:val="16"/>
                <w:b w:val="1"/>
                <w:bCs w:val="1"/>
                <w:color w:val="auto"/>
              </w:rPr>
              <w:t>First Quarter Warrants Impact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66"/>
        </w:trPr>
        <w:tc>
          <w:tcPr>
            <w:tcW w:w="4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2"/>
        </w:trPr>
        <w:tc>
          <w:tcPr>
            <w:tcW w:w="4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w w:val="97"/>
              </w:rPr>
              <w:t>March 31,</w:t>
            </w: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95"/>
        </w:trPr>
        <w:tc>
          <w:tcPr>
            <w:tcW w:w="4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2019</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75"/>
        </w:trPr>
        <w:tc>
          <w:tcPr>
            <w:tcW w:w="4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2"/>
              </w:rPr>
              <w:t>Net of</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1"/>
        </w:trPr>
        <w:tc>
          <w:tcPr>
            <w:tcW w:w="4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2"/>
              </w:rPr>
              <w:t>Net of Warrants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Warrants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Warrants</w:t>
            </w:r>
          </w:p>
        </w:tc>
        <w:tc>
          <w:tcPr>
            <w:tcW w:w="16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Warrants</w:t>
            </w:r>
          </w:p>
        </w:tc>
      </w:tr>
      <w:tr>
        <w:trPr>
          <w:trHeight w:val="212"/>
        </w:trPr>
        <w:tc>
          <w:tcPr>
            <w:tcW w:w="4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Impact</w:t>
            </w: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Impact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Impact</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Impact</w:t>
            </w:r>
          </w:p>
        </w:tc>
      </w:tr>
      <w:tr>
        <w:trPr>
          <w:trHeight w:val="191"/>
        </w:trPr>
        <w:tc>
          <w:tcPr>
            <w:tcW w:w="4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1"/>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78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26.2M</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0.6M</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38.6M</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0.6M</w:t>
            </w:r>
          </w:p>
        </w:tc>
      </w:tr>
      <w:tr>
        <w:trPr>
          <w:trHeight w:val="191"/>
        </w:trPr>
        <w:tc>
          <w:tcPr>
            <w:tcW w:w="4160" w:type="dxa"/>
            <w:vAlign w:val="bottom"/>
          </w:tcPr>
          <w:p>
            <w:pPr>
              <w:spacing w:after="0"/>
              <w:rPr>
                <w:sz w:val="20"/>
                <w:szCs w:val="20"/>
                <w:color w:val="auto"/>
              </w:rPr>
            </w:pPr>
            <w:r>
              <w:rPr>
                <w:rFonts w:ascii="Arial" w:cs="Arial" w:eastAsia="Arial" w:hAnsi="Arial"/>
                <w:sz w:val="16"/>
                <w:szCs w:val="16"/>
                <w:color w:val="auto"/>
              </w:rPr>
              <w:t>Non-GAAP Gross Margin</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33.0%</w:t>
            </w:r>
          </w:p>
        </w:tc>
        <w:tc>
          <w:tcPr>
            <w:tcW w:w="160" w:type="dxa"/>
            <w:vAlign w:val="bottom"/>
          </w:tcPr>
          <w:p>
            <w:pPr>
              <w:spacing w:after="0"/>
              <w:rPr>
                <w:sz w:val="16"/>
                <w:szCs w:val="16"/>
                <w:color w:val="auto"/>
              </w:rPr>
            </w:pP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w w:val="95"/>
              </w:rPr>
              <w:t>141bps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78bps</w:t>
            </w:r>
          </w:p>
        </w:tc>
      </w:tr>
      <w:tr>
        <w:trPr>
          <w:trHeight w:val="191"/>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1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w:t>
            </w: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w w:val="95"/>
              </w:rPr>
              <w:t>295bps</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135bps</w:t>
            </w:r>
          </w:p>
        </w:tc>
      </w:tr>
      <w:tr>
        <w:trPr>
          <w:trHeight w:val="191"/>
        </w:trPr>
        <w:tc>
          <w:tcPr>
            <w:tcW w:w="4160" w:type="dxa"/>
            <w:vAlign w:val="bottom"/>
          </w:tcPr>
          <w:p>
            <w:pPr>
              <w:spacing w:after="0"/>
              <w:rPr>
                <w:sz w:val="20"/>
                <w:szCs w:val="20"/>
                <w:color w:val="auto"/>
              </w:rPr>
            </w:pPr>
            <w:r>
              <w:rPr>
                <w:rFonts w:ascii="Arial" w:cs="Arial" w:eastAsia="Arial" w:hAnsi="Arial"/>
                <w:sz w:val="16"/>
                <w:szCs w:val="16"/>
                <w:color w:val="auto"/>
              </w:rPr>
              <w:t>Non-GAAP Net Margin</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(34.0%)</w:t>
            </w:r>
          </w:p>
        </w:tc>
        <w:tc>
          <w:tcPr>
            <w:tcW w:w="160" w:type="dxa"/>
            <w:vAlign w:val="bottom"/>
          </w:tcPr>
          <w:p>
            <w:pPr>
              <w:spacing w:after="0"/>
              <w:rPr>
                <w:sz w:val="16"/>
                <w:szCs w:val="16"/>
                <w:color w:val="auto"/>
              </w:rPr>
            </w:pPr>
          </w:p>
        </w:tc>
        <w:tc>
          <w:tcPr>
            <w:tcW w:w="1220" w:type="dxa"/>
            <w:vAlign w:val="bottom"/>
            <w:gridSpan w:val="2"/>
          </w:tcPr>
          <w:p>
            <w:pPr>
              <w:ind w:left="700"/>
              <w:spacing w:after="0"/>
              <w:rPr>
                <w:sz w:val="20"/>
                <w:szCs w:val="20"/>
                <w:color w:val="auto"/>
              </w:rPr>
            </w:pPr>
            <w:r>
              <w:rPr>
                <w:rFonts w:ascii="Arial" w:cs="Arial" w:eastAsia="Arial" w:hAnsi="Arial"/>
                <w:sz w:val="16"/>
                <w:szCs w:val="16"/>
                <w:color w:val="auto"/>
                <w:w w:val="95"/>
              </w:rPr>
              <w:t>282bps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137bps</w:t>
            </w:r>
          </w:p>
        </w:tc>
      </w:tr>
      <w:tr>
        <w:trPr>
          <w:trHeight w:val="191"/>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 Per Share</w:t>
            </w:r>
          </w:p>
        </w:tc>
        <w:tc>
          <w:tcPr>
            <w:tcW w:w="178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0.02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r>
    </w:tbl>
    <w:p>
      <w:pPr>
        <w:spacing w:after="0" w:line="17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“Early on we made the decision to maintain investment in the infrastructure to support the significant growth we expect in the near future and are as ready as ever to support our customers and partners as they reopen their businesses,” said Guy Avidan, Kornit Digital’s Chief Financial Officer. “The market is moving quickly in our direction and this focus on efficient execution has allowed us to continue investing in innovation and long-term opportunities that will further enhance our market leadership. We believe this was the right approach and are very optimistic as we look at the remainder of the year and beyond.”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2020 Results of Operations</w:t>
      </w:r>
    </w:p>
    <w:p>
      <w:pPr>
        <w:spacing w:after="0" w:line="202" w:lineRule="exact"/>
        <w:rPr>
          <w:sz w:val="20"/>
          <w:szCs w:val="20"/>
          <w:color w:val="auto"/>
        </w:rPr>
      </w:pPr>
    </w:p>
    <w:p>
      <w:pPr>
        <w:ind w:left="560" w:right="60" w:hanging="278"/>
        <w:spacing w:after="0" w:line="257"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for the first quarter of 2020 decreased to $26.2 million, net of $0.6 million attributed to the non-cash impact of warrants, compared to $ 38.6 million, net of $0.6 million attributed to the non-cash impact of warrants in the prior year period.</w:t>
      </w:r>
    </w:p>
    <w:p>
      <w:pPr>
        <w:spacing w:after="0" w:line="1" w:lineRule="exact"/>
        <w:rPr>
          <w:rFonts w:ascii="Arial" w:cs="Arial" w:eastAsia="Arial" w:hAnsi="Arial"/>
          <w:sz w:val="16"/>
          <w:szCs w:val="16"/>
          <w:color w:val="auto"/>
        </w:rPr>
      </w:pPr>
    </w:p>
    <w:p>
      <w:pPr>
        <w:ind w:left="560" w:right="160" w:hanging="278"/>
        <w:spacing w:after="0" w:line="249"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net loss for the first quarter of 2020 was $10.1 million, or $0.25 per diluted share, compared to net loss of $1.2 million, or $0.03 per diluted share, for the first quarter of 2019.</w:t>
      </w:r>
    </w:p>
    <w:p>
      <w:pPr>
        <w:ind w:left="560" w:right="180" w:hanging="278"/>
        <w:spacing w:after="0" w:line="254"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loss for the first quarter 2020 was $8.9 million, or $0.22 per diluted share, including $0.02 per diluted share attributed to the non-cash impact of warrants, compared to non-GAAP net income of $1.6 million, or $0.04 per diluted share, net of $0.02 per diluted share attributed to the non-cash impact of warrants, for the first quarter of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2020 Guidance</w:t>
      </w:r>
    </w:p>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Company will discuss its expectations for the second quarter and the balance of 2020 live during its earnings conference call, which will be available for replay via webcast at ir.kornit.com, as referenced below.</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Conference Call Information</w:t>
      </w:r>
    </w:p>
    <w:p>
      <w:pPr>
        <w:spacing w:after="0" w:line="202" w:lineRule="exact"/>
        <w:rPr>
          <w:sz w:val="20"/>
          <w:szCs w:val="20"/>
          <w:color w:val="auto"/>
        </w:rPr>
      </w:pPr>
    </w:p>
    <w:p>
      <w:pPr>
        <w:jc w:val="both"/>
        <w:ind w:right="180"/>
        <w:spacing w:after="0" w:line="262" w:lineRule="auto"/>
        <w:rPr>
          <w:sz w:val="20"/>
          <w:szCs w:val="20"/>
          <w:color w:val="auto"/>
        </w:rPr>
      </w:pPr>
      <w:r>
        <w:rPr>
          <w:rFonts w:ascii="Arial" w:cs="Arial" w:eastAsia="Arial" w:hAnsi="Arial"/>
          <w:sz w:val="16"/>
          <w:szCs w:val="16"/>
          <w:color w:val="auto"/>
        </w:rPr>
        <w:t>The Company will host a conference call today at 5:00 p.m. ET, or 12:00 a.m.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13702439.</w:t>
      </w:r>
    </w:p>
    <w:p>
      <w:pPr>
        <w:spacing w:after="0" w:line="162"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13702439. The telephonic replay will be available beginning at 8:00 p.m. ET on Tuesday, May 19, 2020, until 11:59 p.m. ET on Tuesday, June 2, 2020. The call will also be available for replay via the webcast link on Kornit’s Investor Relations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of the global COVID-19 pandemic, which, if extensive, may continue to impact, in a material adverse manner, our operations, financial position and cash flows, and those of our customers and suppliers;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Item 3.D of the Company’s Annual Report on Form 20-F for the year ended December 31, 2019, filed with the U.S. Securities and Exchange Commission on March 23, 2020.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Short-term bank deposit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Inventory</w:t>
      </w:r>
    </w:p>
    <w:p>
      <w:pPr>
        <w:spacing w:after="0" w:line="7"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auto"/>
        </w:rPr>
        <w:t>Other accounts receivable and prepaid expenses Total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LONG-TERM ASSETS: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Deposits and prepaid expenses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Severance pay fund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Deferred taxes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Property,plant and equipment,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assets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March 31,</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8"/>
              </w:rPr>
              <w:t>December 31,</w:t>
            </w:r>
          </w:p>
        </w:tc>
      </w:tr>
      <w:tr>
        <w:trPr>
          <w:trHeight w:val="212"/>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r>
      <w:tr>
        <w:trPr>
          <w:trHeight w:val="195"/>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6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63,477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40,743</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81,150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95,000</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21,088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32,567</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32,846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40,510</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46,599</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37,477</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7,872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6,985</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253,032</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253,282</w:t>
            </w:r>
          </w:p>
        </w:tc>
      </w:tr>
      <w:tr>
        <w:trPr>
          <w:trHeight w:val="561"/>
        </w:trPr>
        <w:tc>
          <w:tcPr>
            <w:tcW w:w="10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81,828</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95,393</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8,946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7,781</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21,449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17,489</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23,512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22,806</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2,380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2,494</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5,564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5,564</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144,308</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152,184</w:t>
            </w:r>
          </w:p>
        </w:tc>
      </w:tr>
      <w:tr>
        <w:trPr>
          <w:trHeight w:val="422"/>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397,340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405,466</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6"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60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Trade payables</w:t>
            </w:r>
          </w:p>
        </w:tc>
        <w:tc>
          <w:tcPr>
            <w:tcW w:w="2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22,969</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23,449</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Employees and payroll accruals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8,747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9,165</w:t>
            </w: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Deferred revenues and advances from customers</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2,576</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2,688</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3,728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3,902</w:t>
            </w: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Other payables and accrued expenses</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5,985</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6,373</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44,005</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color w:val="auto"/>
              </w:rPr>
              <w:t>Accrued severance pay</w:t>
            </w: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985</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1,035</w:t>
            </w: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19,565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19,231</w:t>
            </w:r>
          </w:p>
        </w:tc>
      </w:tr>
      <w:tr>
        <w:trPr>
          <w:trHeight w:val="207"/>
        </w:trPr>
        <w:tc>
          <w:tcPr>
            <w:tcW w:w="60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1,190</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1,320</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331,595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338,303</w:t>
            </w:r>
          </w:p>
        </w:tc>
      </w:tr>
      <w:tr>
        <w:trPr>
          <w:trHeight w:val="191"/>
        </w:trPr>
        <w:tc>
          <w:tcPr>
            <w:tcW w:w="606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2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397,340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405,466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type w:val="continuous"/>
        </w:sectPr>
      </w:pPr>
    </w:p>
    <w:bookmarkStart w:id="9" w:name="page10"/>
    <w:bookmarkEnd w:id="9"/>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(U.S. dollars 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r>
      <w:tr>
        <w:trPr>
          <w:trHeight w:val="212"/>
        </w:trPr>
        <w:tc>
          <w:tcPr>
            <w:tcW w:w="7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7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7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82"/>
        </w:trPr>
        <w:tc>
          <w:tcPr>
            <w:tcW w:w="7000" w:type="dxa"/>
            <w:vAlign w:val="bottom"/>
          </w:tcPr>
          <w:p>
            <w:pPr>
              <w:spacing w:after="0"/>
              <w:rPr>
                <w:sz w:val="20"/>
                <w:szCs w:val="20"/>
                <w:color w:val="auto"/>
              </w:rPr>
            </w:pPr>
            <w:r>
              <w:rPr>
                <w:rFonts w:ascii="Arial" w:cs="Arial" w:eastAsia="Arial" w:hAnsi="Arial"/>
                <w:sz w:val="16"/>
                <w:szCs w:val="16"/>
                <w:color w:val="auto"/>
              </w:rPr>
              <w:t>Revenues</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22,387</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32,244</w:t>
            </w:r>
          </w:p>
        </w:tc>
        <w:tc>
          <w:tcPr>
            <w:tcW w:w="100" w:type="dxa"/>
            <w:vAlign w:val="bottom"/>
            <w:shd w:val="clear" w:color="auto" w:fill="CCEEFF"/>
          </w:tcPr>
          <w:p>
            <w:pPr>
              <w:spacing w:after="0"/>
              <w:rPr>
                <w:sz w:val="16"/>
                <w:szCs w:val="16"/>
                <w:color w:val="auto"/>
              </w:rPr>
            </w:pPr>
          </w:p>
        </w:tc>
      </w:tr>
      <w:tr>
        <w:trPr>
          <w:trHeight w:val="195"/>
        </w:trPr>
        <w:tc>
          <w:tcPr>
            <w:tcW w:w="7000" w:type="dxa"/>
            <w:vAlign w:val="bottom"/>
          </w:tcPr>
          <w:p>
            <w:pPr>
              <w:ind w:left="140"/>
              <w:spacing w:after="0"/>
              <w:rPr>
                <w:sz w:val="20"/>
                <w:szCs w:val="20"/>
                <w:color w:val="auto"/>
              </w:rPr>
            </w:pPr>
            <w:r>
              <w:rPr>
                <w:rFonts w:ascii="Arial" w:cs="Arial" w:eastAsia="Arial" w:hAnsi="Arial"/>
                <w:sz w:val="16"/>
                <w:szCs w:val="16"/>
                <w:color w:val="auto"/>
              </w:rPr>
              <w:t>Services</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3,825</w:t>
            </w:r>
          </w:p>
        </w:tc>
        <w:tc>
          <w:tcPr>
            <w:tcW w:w="3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6,346</w:t>
            </w:r>
          </w:p>
        </w:tc>
        <w:tc>
          <w:tcPr>
            <w:tcW w:w="100" w:type="dxa"/>
            <w:vAlign w:val="bottom"/>
          </w:tcPr>
          <w:p>
            <w:pPr>
              <w:spacing w:after="0"/>
              <w:rPr>
                <w:sz w:val="16"/>
                <w:szCs w:val="16"/>
                <w:color w:val="auto"/>
              </w:rPr>
            </w:pPr>
          </w:p>
        </w:tc>
      </w:tr>
      <w:tr>
        <w:trPr>
          <w:trHeight w:val="191"/>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26,212</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1"/>
        </w:trPr>
        <w:tc>
          <w:tcPr>
            <w:tcW w:w="7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000" w:type="dxa"/>
            <w:vAlign w:val="bottom"/>
          </w:tcPr>
          <w:p>
            <w:pPr>
              <w:ind w:left="140"/>
              <w:spacing w:after="0"/>
              <w:rPr>
                <w:sz w:val="20"/>
                <w:szCs w:val="20"/>
                <w:color w:val="auto"/>
              </w:rPr>
            </w:pPr>
            <w:r>
              <w:rPr>
                <w:rFonts w:ascii="Arial" w:cs="Arial" w:eastAsia="Arial" w:hAnsi="Arial"/>
                <w:sz w:val="16"/>
                <w:szCs w:val="16"/>
                <w:color w:val="auto"/>
              </w:rPr>
              <w:t>Products</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12,156</w:t>
            </w:r>
          </w:p>
        </w:tc>
        <w:tc>
          <w:tcPr>
            <w:tcW w:w="3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16,422</w:t>
            </w:r>
          </w:p>
        </w:tc>
        <w:tc>
          <w:tcPr>
            <w:tcW w:w="100" w:type="dxa"/>
            <w:vAlign w:val="bottom"/>
          </w:tcPr>
          <w:p>
            <w:pPr>
              <w:spacing w:after="0"/>
              <w:rPr>
                <w:sz w:val="16"/>
                <w:szCs w:val="16"/>
                <w:color w:val="auto"/>
              </w:rPr>
            </w:pPr>
          </w:p>
        </w:tc>
      </w:tr>
      <w:tr>
        <w:trPr>
          <w:trHeight w:val="211"/>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6,028</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6,441</w:t>
            </w:r>
          </w:p>
        </w:tc>
        <w:tc>
          <w:tcPr>
            <w:tcW w:w="100" w:type="dxa"/>
            <w:vAlign w:val="bottom"/>
            <w:shd w:val="clear" w:color="auto" w:fill="CCEEFF"/>
          </w:tcPr>
          <w:p>
            <w:pPr>
              <w:spacing w:after="0"/>
              <w:rPr>
                <w:sz w:val="18"/>
                <w:szCs w:val="18"/>
                <w:color w:val="auto"/>
              </w:rPr>
            </w:pPr>
          </w:p>
        </w:tc>
      </w:tr>
      <w:tr>
        <w:trPr>
          <w:trHeight w:val="175"/>
        </w:trPr>
        <w:tc>
          <w:tcPr>
            <w:tcW w:w="700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Total cost of revenues</w:t>
            </w:r>
          </w:p>
        </w:tc>
        <w:tc>
          <w:tcPr>
            <w:tcW w:w="16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18,184</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22,863</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1"/>
        </w:trPr>
        <w:tc>
          <w:tcPr>
            <w:tcW w:w="70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79"/>
        </w:trPr>
        <w:tc>
          <w:tcPr>
            <w:tcW w:w="700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Gross profit</w:t>
            </w:r>
          </w:p>
        </w:tc>
        <w:tc>
          <w:tcPr>
            <w:tcW w:w="16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8,028</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15,727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1"/>
        </w:trPr>
        <w:tc>
          <w:tcPr>
            <w:tcW w:w="70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7000" w:type="dxa"/>
            <w:vAlign w:val="bottom"/>
          </w:tcPr>
          <w:p>
            <w:pPr>
              <w:spacing w:after="0"/>
              <w:rPr>
                <w:sz w:val="20"/>
                <w:szCs w:val="20"/>
                <w:color w:val="auto"/>
              </w:rPr>
            </w:pPr>
            <w:r>
              <w:rPr>
                <w:rFonts w:ascii="Arial" w:cs="Arial" w:eastAsia="Arial" w:hAnsi="Arial"/>
                <w:sz w:val="16"/>
                <w:szCs w:val="16"/>
                <w:color w:val="auto"/>
              </w:rPr>
              <w:t>Operating expenses:</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6,483</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5,467</w:t>
            </w:r>
          </w:p>
        </w:tc>
        <w:tc>
          <w:tcPr>
            <w:tcW w:w="100" w:type="dxa"/>
            <w:vAlign w:val="bottom"/>
            <w:shd w:val="clear" w:color="auto" w:fill="CCEEFF"/>
          </w:tcPr>
          <w:p>
            <w:pPr>
              <w:spacing w:after="0"/>
              <w:rPr>
                <w:sz w:val="16"/>
                <w:szCs w:val="16"/>
                <w:color w:val="auto"/>
              </w:rPr>
            </w:pPr>
          </w:p>
        </w:tc>
      </w:tr>
      <w:tr>
        <w:trPr>
          <w:trHeight w:val="191"/>
        </w:trPr>
        <w:tc>
          <w:tcPr>
            <w:tcW w:w="700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8,497</w:t>
            </w:r>
          </w:p>
        </w:tc>
        <w:tc>
          <w:tcPr>
            <w:tcW w:w="3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7,268</w:t>
            </w:r>
          </w:p>
        </w:tc>
        <w:tc>
          <w:tcPr>
            <w:tcW w:w="100" w:type="dxa"/>
            <w:vAlign w:val="bottom"/>
          </w:tcPr>
          <w:p>
            <w:pPr>
              <w:spacing w:after="0"/>
              <w:rPr>
                <w:sz w:val="16"/>
                <w:szCs w:val="16"/>
                <w:color w:val="auto"/>
              </w:rPr>
            </w:pPr>
          </w:p>
        </w:tc>
      </w:tr>
      <w:tr>
        <w:trPr>
          <w:trHeight w:val="211"/>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6,070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4,043</w:t>
            </w:r>
          </w:p>
        </w:tc>
        <w:tc>
          <w:tcPr>
            <w:tcW w:w="100" w:type="dxa"/>
            <w:vAlign w:val="bottom"/>
            <w:shd w:val="clear" w:color="auto" w:fill="CCEEFF"/>
          </w:tcPr>
          <w:p>
            <w:pPr>
              <w:spacing w:after="0"/>
              <w:rPr>
                <w:sz w:val="18"/>
                <w:szCs w:val="18"/>
                <w:color w:val="auto"/>
              </w:rPr>
            </w:pPr>
          </w:p>
        </w:tc>
      </w:tr>
      <w:tr>
        <w:trPr>
          <w:trHeight w:val="175"/>
        </w:trPr>
        <w:tc>
          <w:tcPr>
            <w:tcW w:w="700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Total operating</w:t>
            </w:r>
          </w:p>
        </w:tc>
        <w:tc>
          <w:tcPr>
            <w:tcW w:w="16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21,050</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16,778</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(13,022)</w:t>
            </w:r>
          </w:p>
        </w:tc>
        <w:tc>
          <w:tcPr>
            <w:tcW w:w="3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(1,051)</w:t>
            </w:r>
          </w:p>
        </w:tc>
      </w:tr>
      <w:tr>
        <w:trPr>
          <w:trHeight w:val="195"/>
        </w:trPr>
        <w:tc>
          <w:tcPr>
            <w:tcW w:w="7000" w:type="dxa"/>
            <w:vAlign w:val="bottom"/>
          </w:tcPr>
          <w:p>
            <w:pPr>
              <w:spacing w:after="0"/>
              <w:rPr>
                <w:sz w:val="20"/>
                <w:szCs w:val="20"/>
                <w:color w:val="auto"/>
              </w:rPr>
            </w:pPr>
            <w:r>
              <w:rPr>
                <w:rFonts w:ascii="Arial" w:cs="Arial" w:eastAsia="Arial" w:hAnsi="Arial"/>
                <w:sz w:val="16"/>
                <w:szCs w:val="16"/>
                <w:color w:val="auto"/>
              </w:rPr>
              <w:t>Financial income, net</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2,205</w:t>
            </w:r>
          </w:p>
        </w:tc>
        <w:tc>
          <w:tcPr>
            <w:tcW w:w="34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(4)</w:t>
            </w:r>
          </w:p>
        </w:tc>
      </w:tr>
      <w:tr>
        <w:trPr>
          <w:trHeight w:val="191"/>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before taxes on income</w:t>
            </w:r>
          </w:p>
        </w:tc>
        <w:tc>
          <w:tcPr>
            <w:tcW w:w="1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(10,817)</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91"/>
        </w:trPr>
        <w:tc>
          <w:tcPr>
            <w:tcW w:w="7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(benefit)</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r>
      <w:tr>
        <w:trPr>
          <w:trHeight w:val="219"/>
        </w:trPr>
        <w:tc>
          <w:tcPr>
            <w:tcW w:w="700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Net income</w:t>
            </w:r>
          </w:p>
        </w:tc>
        <w:tc>
          <w:tcPr>
            <w:tcW w:w="16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(10,054</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(1,160</w:t>
            </w:r>
          </w:p>
        </w:tc>
        <w:tc>
          <w:tcPr>
            <w:tcW w:w="120" w:type="dxa"/>
            <w:vAlign w:val="bottom"/>
            <w:tcBorders>
              <w:top w:val="single" w:sz="8" w:color="CCEEFF"/>
              <w:bottom w:val="single" w:sz="8" w:color="CCEEFF"/>
            </w:tcBorders>
            <w:gridSpan w:val="2"/>
          </w:tcPr>
          <w:p>
            <w:pPr>
              <w:jc w:val="right"/>
              <w:ind w:right="60"/>
              <w:spacing w:after="0" w:line="175" w:lineRule="exact"/>
              <w:rPr>
                <w:sz w:val="20"/>
                <w:szCs w:val="20"/>
                <w:color w:val="auto"/>
              </w:rPr>
            </w:pPr>
            <w:r>
              <w:rPr>
                <w:rFonts w:ascii="Arial" w:cs="Arial" w:eastAsia="Arial" w:hAnsi="Arial"/>
                <w:sz w:val="16"/>
                <w:szCs w:val="16"/>
                <w:color w:val="auto"/>
                <w:w w:val="74"/>
              </w:rPr>
              <w:t>)</w:t>
            </w:r>
          </w:p>
        </w:tc>
      </w:tr>
      <w:tr>
        <w:trPr>
          <w:trHeight w:val="187"/>
        </w:trPr>
        <w:tc>
          <w:tcPr>
            <w:tcW w:w="70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5"/>
        </w:trPr>
        <w:tc>
          <w:tcPr>
            <w:tcW w:w="7000" w:type="dxa"/>
            <w:vAlign w:val="bottom"/>
          </w:tcPr>
          <w:p>
            <w:pPr>
              <w:spacing w:after="0"/>
              <w:rPr>
                <w:sz w:val="20"/>
                <w:szCs w:val="20"/>
                <w:color w:val="auto"/>
              </w:rPr>
            </w:pPr>
            <w:r>
              <w:rPr>
                <w:rFonts w:ascii="Arial" w:cs="Arial" w:eastAsia="Arial" w:hAnsi="Arial"/>
                <w:sz w:val="16"/>
                <w:szCs w:val="16"/>
                <w:b w:val="1"/>
                <w:bCs w:val="1"/>
                <w:color w:val="auto"/>
              </w:rPr>
              <w:t>Basic net income per share</w:t>
            </w: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(0.25)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(0.03)</w:t>
            </w:r>
          </w:p>
        </w:tc>
      </w:tr>
      <w:tr>
        <w:trPr>
          <w:trHeight w:val="187"/>
        </w:trPr>
        <w:tc>
          <w:tcPr>
            <w:tcW w:w="70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5"/>
        </w:trPr>
        <w:tc>
          <w:tcPr>
            <w:tcW w:w="7000" w:type="dxa"/>
            <w:vAlign w:val="bottom"/>
          </w:tcPr>
          <w:p>
            <w:pPr>
              <w:spacing w:after="0"/>
              <w:rPr>
                <w:sz w:val="20"/>
                <w:szCs w:val="20"/>
                <w:color w:val="auto"/>
              </w:rPr>
            </w:pPr>
            <w:r>
              <w:rPr>
                <w:rFonts w:ascii="Arial" w:cs="Arial" w:eastAsia="Arial" w:hAnsi="Arial"/>
                <w:sz w:val="16"/>
                <w:szCs w:val="16"/>
                <w:color w:val="auto"/>
              </w:rPr>
              <w:t>Weighted average number of shares used in computing basic net income per share</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40,762,688</w:t>
            </w: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2"/>
              </w:rPr>
              <w:t>35,127,377</w:t>
            </w:r>
          </w:p>
        </w:tc>
        <w:tc>
          <w:tcPr>
            <w:tcW w:w="100" w:type="dxa"/>
            <w:vAlign w:val="bottom"/>
          </w:tcPr>
          <w:p>
            <w:pPr>
              <w:spacing w:after="0"/>
              <w:rPr>
                <w:sz w:val="20"/>
                <w:szCs w:val="20"/>
                <w:color w:val="auto"/>
              </w:rPr>
            </w:pPr>
          </w:p>
        </w:tc>
      </w:tr>
      <w:tr>
        <w:trPr>
          <w:trHeight w:val="187"/>
        </w:trPr>
        <w:tc>
          <w:tcPr>
            <w:tcW w:w="70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5"/>
        </w:trPr>
        <w:tc>
          <w:tcPr>
            <w:tcW w:w="7000" w:type="dxa"/>
            <w:vAlign w:val="bottom"/>
          </w:tcPr>
          <w:p>
            <w:pPr>
              <w:spacing w:after="0"/>
              <w:rPr>
                <w:sz w:val="20"/>
                <w:szCs w:val="20"/>
                <w:color w:val="auto"/>
              </w:rPr>
            </w:pPr>
            <w:r>
              <w:rPr>
                <w:rFonts w:ascii="Arial" w:cs="Arial" w:eastAsia="Arial" w:hAnsi="Arial"/>
                <w:sz w:val="16"/>
                <w:szCs w:val="16"/>
                <w:b w:val="1"/>
                <w:bCs w:val="1"/>
                <w:color w:val="auto"/>
              </w:rPr>
              <w:t>Diluted net income per share</w:t>
            </w:r>
          </w:p>
        </w:tc>
        <w:tc>
          <w:tcPr>
            <w:tcW w:w="1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(0.25)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(0.03)</w:t>
            </w:r>
          </w:p>
        </w:tc>
      </w:tr>
      <w:tr>
        <w:trPr>
          <w:trHeight w:val="187"/>
        </w:trPr>
        <w:tc>
          <w:tcPr>
            <w:tcW w:w="70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6"/>
                <w:szCs w:val="16"/>
                <w:color w:val="auto"/>
              </w:rPr>
              <w:t>Weighted average number of shares used in computing diluted net income per share</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40,762,688</w:t>
            </w:r>
          </w:p>
        </w:tc>
        <w:tc>
          <w:tcPr>
            <w:tcW w:w="3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2"/>
              </w:rPr>
              <w:t>35,127,377</w:t>
            </w:r>
          </w:p>
        </w:tc>
        <w:tc>
          <w:tcPr>
            <w:tcW w:w="100" w:type="dxa"/>
            <w:vAlign w:val="bottom"/>
          </w:tcPr>
          <w:p>
            <w:pPr>
              <w:spacing w:after="0"/>
              <w:rPr>
                <w:sz w:val="16"/>
                <w:szCs w:val="16"/>
                <w:color w:val="auto"/>
              </w:rPr>
            </w:pPr>
          </w:p>
        </w:tc>
      </w:tr>
      <w:tr>
        <w:trPr>
          <w:trHeight w:val="20"/>
        </w:trPr>
        <w:tc>
          <w:tcPr>
            <w:tcW w:w="7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 w:name="page11"/>
    <w:bookmarkEnd w:id="10"/>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RECONCILATION OF GAAP TO NON-GAAP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6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18,184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22,863</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Intangible assets amortization on cost of product (3)</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Excess cost of product on acquired inventory (a)</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COVID-19 one time impact (4)</w:t>
            </w:r>
          </w:p>
        </w:tc>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(244)</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cost of revenues</w:t>
            </w: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vMerge w:val="continue"/>
          </w:tcPr>
          <w:p>
            <w:pPr>
              <w:spacing w:after="0"/>
              <w:rPr>
                <w:sz w:val="21"/>
                <w:szCs w:val="21"/>
                <w:color w:val="auto"/>
              </w:rPr>
            </w:pPr>
          </w:p>
        </w:tc>
        <w:tc>
          <w:tcPr>
            <w:tcW w:w="2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17,551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21,034</w:t>
            </w:r>
          </w:p>
        </w:tc>
        <w:tc>
          <w:tcPr>
            <w:tcW w:w="0" w:type="dxa"/>
            <w:vAlign w:val="bottom"/>
          </w:tcPr>
          <w:p>
            <w:pPr>
              <w:spacing w:after="0"/>
              <w:rPr>
                <w:sz w:val="1"/>
                <w:szCs w:val="1"/>
                <w:color w:val="auto"/>
              </w:rPr>
            </w:pPr>
          </w:p>
        </w:tc>
      </w:tr>
      <w:tr>
        <w:trPr>
          <w:trHeight w:val="187"/>
        </w:trPr>
        <w:tc>
          <w:tcPr>
            <w:tcW w:w="648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GAAP gross profit</w:t>
            </w:r>
          </w:p>
        </w:tc>
        <w:tc>
          <w:tcPr>
            <w:tcW w:w="2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8,028</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15,727</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Gross profit adjustments</w:t>
            </w:r>
          </w:p>
        </w:tc>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gross profit</w:t>
            </w: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vMerge w:val="continue"/>
          </w:tcPr>
          <w:p>
            <w:pPr>
              <w:spacing w:after="0"/>
              <w:rPr>
                <w:sz w:val="21"/>
                <w:szCs w:val="21"/>
                <w:color w:val="auto"/>
              </w:rPr>
            </w:pPr>
          </w:p>
        </w:tc>
        <w:tc>
          <w:tcPr>
            <w:tcW w:w="2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8,661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17,556</w:t>
            </w:r>
          </w:p>
        </w:tc>
        <w:tc>
          <w:tcPr>
            <w:tcW w:w="0" w:type="dxa"/>
            <w:vAlign w:val="bottom"/>
          </w:tcPr>
          <w:p>
            <w:pPr>
              <w:spacing w:after="0"/>
              <w:rPr>
                <w:sz w:val="1"/>
                <w:szCs w:val="1"/>
                <w:color w:val="auto"/>
              </w:rPr>
            </w:pPr>
          </w:p>
        </w:tc>
      </w:tr>
      <w:tr>
        <w:trPr>
          <w:trHeight w:val="187"/>
        </w:trPr>
        <w:tc>
          <w:tcPr>
            <w:tcW w:w="648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GAAP operating expenses</w:t>
            </w:r>
          </w:p>
        </w:tc>
        <w:tc>
          <w:tcPr>
            <w:tcW w:w="2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21,050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(3)</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COVID-19 one time impact (4)</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480" w:type="dxa"/>
            <w:vAlign w:val="bottom"/>
            <w:vMerge w:val="continue"/>
            <w:shd w:val="clear" w:color="auto" w:fill="CCEEFF"/>
          </w:tcPr>
          <w:p>
            <w:pPr>
              <w:spacing w:after="0"/>
              <w:rPr>
                <w:sz w:val="19"/>
                <w:szCs w:val="19"/>
                <w:color w:val="auto"/>
              </w:rPr>
            </w:pP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19,160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15,514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GAAP Financial income</w:t>
            </w: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2,205</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(610)</w:t>
            </w:r>
          </w:p>
        </w:tc>
        <w:tc>
          <w:tcPr>
            <w:tcW w:w="3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4"/>
        </w:trPr>
        <w:tc>
          <w:tcPr>
            <w:tcW w:w="6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Financial income</w:t>
            </w:r>
          </w:p>
        </w:tc>
        <w:tc>
          <w:tcPr>
            <w:tcW w:w="2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480" w:type="dxa"/>
            <w:vAlign w:val="bottom"/>
            <w:vMerge w:val="continue"/>
            <w:shd w:val="clear" w:color="auto" w:fill="CCEEFF"/>
          </w:tcPr>
          <w:p>
            <w:pPr>
              <w:spacing w:after="0"/>
              <w:rPr>
                <w:sz w:val="19"/>
                <w:szCs w:val="19"/>
                <w:color w:val="auto"/>
              </w:rPr>
            </w:pP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1,595</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GAAP Taxes on income (benefit)</w:t>
            </w: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Tax effect on to the above non-GAAP adjustments</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Tax benefit (b)</w:t>
            </w:r>
          </w:p>
        </w:tc>
        <w:tc>
          <w:tcPr>
            <w:tcW w:w="2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846</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Taxes on income</w:t>
            </w: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vMerge w:val="continue"/>
          </w:tcPr>
          <w:p>
            <w:pPr>
              <w:spacing w:after="0"/>
              <w:rPr>
                <w:sz w:val="21"/>
                <w:szCs w:val="21"/>
                <w:color w:val="auto"/>
              </w:rPr>
            </w:pPr>
          </w:p>
        </w:tc>
        <w:tc>
          <w:tcPr>
            <w:tcW w:w="2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187"/>
        </w:trPr>
        <w:tc>
          <w:tcPr>
            <w:tcW w:w="648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GAAP net income</w:t>
            </w:r>
          </w:p>
        </w:tc>
        <w:tc>
          <w:tcPr>
            <w:tcW w:w="2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(10,054)</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(3)</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COVID-19 one time impact (4)</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255</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Excess cost of product on acquired inventory (a)</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Foreign exchange losses associated with ASC 842</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(610)</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Arial" w:cs="Arial" w:eastAsia="Arial" w:hAnsi="Arial"/>
                <w:sz w:val="16"/>
                <w:szCs w:val="16"/>
                <w:color w:val="auto"/>
              </w:rPr>
              <w:t>Deferred taxes on income (benefit) (b)</w:t>
            </w:r>
          </w:p>
        </w:tc>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(846)</w:t>
            </w:r>
          </w:p>
        </w:tc>
        <w:tc>
          <w:tcPr>
            <w:tcW w:w="3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4"/>
        </w:trPr>
        <w:tc>
          <w:tcPr>
            <w:tcW w:w="64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w:t>
            </w:r>
          </w:p>
        </w:tc>
        <w:tc>
          <w:tcPr>
            <w:tcW w:w="2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480" w:type="dxa"/>
            <w:vAlign w:val="bottom"/>
            <w:vMerge w:val="continue"/>
            <w:shd w:val="clear" w:color="auto" w:fill="CCEEFF"/>
          </w:tcPr>
          <w:p>
            <w:pPr>
              <w:spacing w:after="0"/>
              <w:rPr>
                <w:sz w:val="19"/>
                <w:szCs w:val="19"/>
                <w:color w:val="auto"/>
              </w:rPr>
            </w:pP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2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 per share</w:t>
            </w: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line="227" w:lineRule="exact"/>
              <w:rPr>
                <w:sz w:val="20"/>
                <w:szCs w:val="20"/>
                <w:color w:val="auto"/>
              </w:rPr>
            </w:pPr>
            <w:r>
              <w:rPr>
                <w:rFonts w:ascii="Arial" w:cs="Arial" w:eastAsia="Arial" w:hAnsi="Arial"/>
                <w:sz w:val="14"/>
                <w:szCs w:val="14"/>
                <w:color w:val="auto"/>
              </w:rPr>
              <w:t>(0.03</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 per share</w:t>
            </w:r>
          </w:p>
        </w:tc>
        <w:tc>
          <w:tcPr>
            <w:tcW w:w="2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Arial" w:cs="Arial" w:eastAsia="Arial" w:hAnsi="Arial"/>
                <w:sz w:val="14"/>
                <w:szCs w:val="14"/>
                <w:color w:val="auto"/>
              </w:rPr>
              <w:t>(0.22</w:t>
            </w:r>
            <w:r>
              <w:rPr>
                <w:rFonts w:ascii="Arial" w:cs="Arial" w:eastAsia="Arial" w:hAnsi="Arial"/>
                <w:sz w:val="26"/>
                <w:szCs w:val="26"/>
                <w:color w:val="auto"/>
                <w:vertAlign w:val="superscript"/>
              </w:rPr>
              <w:t>)</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 per share</w:t>
            </w:r>
          </w:p>
        </w:tc>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40,762,688</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35,127,377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 per share</w:t>
            </w:r>
          </w:p>
        </w:tc>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40,762,688</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36,431,015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1"/>
        </w:trPr>
        <w:tc>
          <w:tcPr>
            <w:tcW w:w="64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344</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7"/>
        </w:trPr>
        <w:tc>
          <w:tcPr>
            <w:tcW w:w="64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759</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1"/>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(2) Acquisition related expenses</w:t>
            </w:r>
          </w:p>
        </w:tc>
        <w:tc>
          <w:tcPr>
            <w:tcW w:w="2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80" w:type="dxa"/>
            <w:vAlign w:val="bottom"/>
            <w:tcBorders>
              <w:bottom w:val="single" w:sz="8" w:color="CCEEFF"/>
            </w:tcBorders>
          </w:tcPr>
          <w:p>
            <w:pPr>
              <w:spacing w:after="0"/>
              <w:rPr>
                <w:sz w:val="16"/>
                <w:szCs w:val="16"/>
                <w:color w:val="auto"/>
              </w:rPr>
            </w:pPr>
          </w:p>
        </w:tc>
        <w:tc>
          <w:tcPr>
            <w:tcW w:w="2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(3) Intangible assets amortization</w:t>
            </w:r>
          </w:p>
        </w:tc>
        <w:tc>
          <w:tcPr>
            <w:tcW w:w="2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2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8"/>
        </w:trPr>
        <w:tc>
          <w:tcPr>
            <w:tcW w:w="6480" w:type="dxa"/>
            <w:vAlign w:val="bottom"/>
            <w:tcBorders>
              <w:top w:val="single" w:sz="8" w:color="CCEEFF"/>
            </w:tcBorders>
          </w:tcPr>
          <w:p>
            <w:pPr>
              <w:spacing w:after="0"/>
              <w:rPr>
                <w:sz w:val="16"/>
                <w:szCs w:val="16"/>
                <w:color w:val="auto"/>
              </w:rPr>
            </w:pPr>
          </w:p>
        </w:tc>
        <w:tc>
          <w:tcPr>
            <w:tcW w:w="2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27" w:orient="portrait"/>
          <w:cols w:equalWidth="0" w:num="1">
            <w:col w:w="11260"/>
          </w:cols>
          <w:pgMar w:left="320" w:top="816" w:right="319" w:bottom="0" w:gutter="0" w:footer="0" w:header="0"/>
        </w:sectPr>
      </w:pPr>
    </w:p>
    <w:bookmarkStart w:id="11" w:name="page12"/>
    <w:bookmarkEnd w:id="1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(4) COVID-19 one time impact</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6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244</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223"/>
        </w:trPr>
        <w:tc>
          <w:tcPr>
            <w:tcW w:w="8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86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255</w:t>
            </w:r>
          </w:p>
        </w:tc>
        <w:tc>
          <w:tcPr>
            <w:tcW w:w="24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r>
    </w:tbl>
    <w:p>
      <w:pPr>
        <w:spacing w:after="0" w:line="107" w:lineRule="exact"/>
        <w:rPr>
          <w:sz w:val="20"/>
          <w:szCs w:val="20"/>
          <w:color w:val="auto"/>
        </w:rPr>
      </w:pPr>
    </w:p>
    <w:p>
      <w:pPr>
        <w:ind w:left="284" w:right="20" w:hanging="284"/>
        <w:spacing w:after="0" w:line="257"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 cash impact related to the recognition of deferred taxes with respect to carryforward losses in Israel.</w:t>
      </w:r>
    </w:p>
    <w:p>
      <w:pPr>
        <w:spacing w:after="0" w:line="29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40"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716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loss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(10,054)</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Fair value of warrants deducted from revenues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565</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Amortization of premium (discount) on marketable securities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Realized gain on sale of marketable securities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Decrease (increase) in trade receivables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7,385</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(increase) in other receivables and prepaid expenses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Increase in inventory</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(9,503)</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 operating leases right-of-use assets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Increase in deferred taxes, net</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(1,106)</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 other long term assets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Increase (decrease) in trade payables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(1,504)</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2,668</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(decrease) in operating lease liabilities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Increase (decrease) in employees and payroll accruals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(353)</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Decrease in deferred revenues and advances from customers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Increase (decrease) in other payables and accrued expenses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Increase (decrease) in accrued severance pay, net</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Decrease in other long term liabilities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from sale and disposal of property and Equipment</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Foreign currency translation income on inter company balances with foreign subsidiaries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310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160" w:type="dxa"/>
            <w:vAlign w:val="bottom"/>
            <w:tcBorders>
              <w:bottom w:val="single" w:sz="8" w:color="CCEEFF"/>
            </w:tcBorders>
            <w:gridSpan w:val="3"/>
          </w:tcPr>
          <w:p>
            <w:pPr>
              <w:spacing w:after="0" w:line="175" w:lineRule="exact"/>
              <w:rPr>
                <w:sz w:val="20"/>
                <w:szCs w:val="20"/>
                <w:color w:val="auto"/>
              </w:rPr>
            </w:pPr>
            <w:r>
              <w:rPr>
                <w:rFonts w:ascii="Arial" w:cs="Arial" w:eastAsia="Arial" w:hAnsi="Arial"/>
                <w:sz w:val="16"/>
                <w:szCs w:val="16"/>
                <w:color w:val="auto"/>
              </w:rPr>
              <w:t>Net cash provided by (used in) operating activities</w:t>
            </w:r>
          </w:p>
        </w:tc>
        <w:tc>
          <w:tcPr>
            <w:tcW w:w="15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(13,123</w:t>
            </w:r>
          </w:p>
        </w:tc>
        <w:tc>
          <w:tcPr>
            <w:tcW w:w="240" w:type="dxa"/>
            <w:vAlign w:val="bottom"/>
            <w:tcBorders>
              <w:bottom w:val="single" w:sz="8" w:color="CCEEFF"/>
            </w:tcBorders>
          </w:tcPr>
          <w:p>
            <w:pPr>
              <w:jc w:val="right"/>
              <w:ind w:right="100"/>
              <w:spacing w:after="0" w:line="175" w:lineRule="exact"/>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7160" w:type="dxa"/>
            <w:vAlign w:val="bottom"/>
            <w:gridSpan w:val="3"/>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Purchase of property and equipment</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(3,575)</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Acquisition of intangible assets and capitalization of software development costs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Proceeds from sale of property and equipment</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paid in connection with acquisition</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Decrease (increase) in bank deposits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13,850</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marketable securities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20,802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Proceeds from maturity of marketable securities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12,102</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marketable securities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(8,741)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(44,599)</w:t>
            </w:r>
          </w:p>
        </w:tc>
        <w:tc>
          <w:tcPr>
            <w:tcW w:w="0" w:type="dxa"/>
            <w:vAlign w:val="bottom"/>
          </w:tcPr>
          <w:p>
            <w:pPr>
              <w:spacing w:after="0"/>
              <w:rPr>
                <w:sz w:val="1"/>
                <w:szCs w:val="1"/>
                <w:color w:val="auto"/>
              </w:rPr>
            </w:pPr>
          </w:p>
        </w:tc>
      </w:tr>
      <w:tr>
        <w:trPr>
          <w:trHeight w:val="207"/>
        </w:trPr>
        <w:tc>
          <w:tcPr>
            <w:tcW w:w="2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5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34,361</w:t>
            </w:r>
          </w:p>
        </w:tc>
        <w:tc>
          <w:tcPr>
            <w:tcW w:w="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16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80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1,568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Payments related to shares withheld for taxes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Payment of contingent consideration</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7"/>
        </w:trPr>
        <w:tc>
          <w:tcPr>
            <w:tcW w:w="2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5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5"/>
        </w:trPr>
        <w:tc>
          <w:tcPr>
            <w:tcW w:w="7160" w:type="dxa"/>
            <w:vAlign w:val="bottom"/>
            <w:tcBorders>
              <w:top w:val="single" w:sz="8" w:color="CCEEFF"/>
            </w:tcBorders>
            <w:gridSpan w:val="3"/>
          </w:tcPr>
          <w:p>
            <w:pPr>
              <w:spacing w:after="0" w:line="175" w:lineRule="exact"/>
              <w:rPr>
                <w:sz w:val="20"/>
                <w:szCs w:val="20"/>
                <w:color w:val="auto"/>
              </w:rPr>
            </w:pPr>
            <w:r>
              <w:rPr>
                <w:rFonts w:ascii="Arial" w:cs="Arial" w:eastAsia="Arial" w:hAnsi="Arial"/>
                <w:sz w:val="16"/>
                <w:szCs w:val="16"/>
                <w:color w:val="auto"/>
              </w:rPr>
              <w:t>Increase (decrease) in cash and cash equivalents</w:t>
            </w:r>
          </w:p>
        </w:tc>
        <w:tc>
          <w:tcPr>
            <w:tcW w:w="15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22,734</w:t>
            </w: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(56,573)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1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40,743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74,132</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6"/>
                <w:szCs w:val="16"/>
                <w:color w:val="auto"/>
              </w:rPr>
              <w:t>Cash and cash equivalents at the end of the period</w:t>
            </w: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gridSpan w:val="3"/>
            <w:vMerge w:val="continue"/>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63,477</w:t>
            </w:r>
          </w:p>
        </w:tc>
        <w:tc>
          <w:tcPr>
            <w:tcW w:w="3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17,559</w:t>
            </w:r>
          </w:p>
        </w:tc>
        <w:tc>
          <w:tcPr>
            <w:tcW w:w="0" w:type="dxa"/>
            <w:vAlign w:val="bottom"/>
          </w:tcPr>
          <w:p>
            <w:pPr>
              <w:spacing w:after="0"/>
              <w:rPr>
                <w:sz w:val="1"/>
                <w:szCs w:val="1"/>
                <w:color w:val="auto"/>
              </w:rPr>
            </w:pPr>
          </w:p>
        </w:tc>
      </w:tr>
      <w:tr>
        <w:trPr>
          <w:trHeight w:val="187"/>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8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Non-cash investing and financing activities: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Purchase of property and equipment on credit</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1,909</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298</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1,653</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Capitalization of software development costs</w:t>
            </w:r>
          </w:p>
        </w:tc>
        <w:tc>
          <w:tcPr>
            <w:tcW w:w="1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7160" w:type="dxa"/>
            <w:vAlign w:val="bottom"/>
            <w:tcBorders>
              <w:bottom w:val="single" w:sz="8" w:color="auto"/>
            </w:tcBorders>
            <w:gridSpan w:val="3"/>
          </w:tcPr>
          <w:p>
            <w:pPr>
              <w:ind w:left="5580"/>
              <w:spacing w:after="0"/>
              <w:rPr>
                <w:sz w:val="20"/>
                <w:szCs w:val="20"/>
                <w:color w:val="auto"/>
              </w:rPr>
            </w:pPr>
            <w:r>
              <w:rPr>
                <w:rFonts w:ascii="Arial" w:cs="Arial" w:eastAsia="Arial" w:hAnsi="Arial"/>
                <w:sz w:val="16"/>
                <w:szCs w:val="16"/>
                <w:color w:val="auto"/>
              </w:rPr>
              <w:t>8</w:t>
            </w:r>
          </w:p>
        </w:tc>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3" w:name="page14"/>
    <w:bookmarkEnd w:id="13"/>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234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203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20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4626610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234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817245</wp:posOffset>
            </wp:positionV>
            <wp:extent cx="7203440" cy="4203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20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19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234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917"/>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2020-05-19T15:05:47Z</dcterms:created>
  <dcterms:modified xsi:type="dcterms:W3CDTF">2020-05-19T15:05:47Z</dcterms:modified>
</cp:coreProperties>
</file>