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14, 2020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Kornit Digital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220" w:type="dxa"/>
            <w:vAlign w:val="bottom"/>
          </w:tcPr>
          <w:p>
            <w:pPr>
              <w:spacing w:after="0"/>
              <w:rPr>
                <w:sz w:val="20"/>
                <w:szCs w:val="20"/>
                <w:color w:val="auto"/>
              </w:rPr>
            </w:pPr>
          </w:p>
        </w:tc>
      </w:tr>
      <w:tr>
        <w:trPr>
          <w:trHeight w:val="234"/>
        </w:trPr>
        <w:tc>
          <w:tcPr>
            <w:tcW w:w="3940" w:type="dxa"/>
            <w:vAlign w:val="bottom"/>
          </w:tcPr>
          <w:p>
            <w:pPr>
              <w:spacing w:after="0"/>
              <w:rPr>
                <w:sz w:val="20"/>
                <w:szCs w:val="20"/>
                <w:color w:val="auto"/>
              </w:rPr>
            </w:pPr>
          </w:p>
        </w:tc>
        <w:tc>
          <w:tcPr>
            <w:tcW w:w="7300" w:type="dxa"/>
            <w:vAlign w:val="bottom"/>
            <w:gridSpan w:val="5"/>
          </w:tcPr>
          <w:p>
            <w:pPr>
              <w:jc w:val="center"/>
              <w:ind w:right="367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r>
      <w:tr>
        <w:trPr>
          <w:trHeight w:val="358"/>
        </w:trPr>
        <w:tc>
          <w:tcPr>
            <w:tcW w:w="39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None</w:t>
            </w:r>
          </w:p>
        </w:tc>
      </w:tr>
      <w:tr>
        <w:trPr>
          <w:trHeight w:val="198"/>
        </w:trPr>
        <w:tc>
          <w:tcPr>
            <w:tcW w:w="3940" w:type="dxa"/>
            <w:vAlign w:val="bottom"/>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20" w:type="dxa"/>
            <w:vAlign w:val="bottom"/>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 Ha’Ayin 4802946,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+972-3-908-5800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North America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South Dean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Englewood, NJ 07631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(888) 456-7648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10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Copies of all communications, including communications sent to agent for service, should be sent to:</w:t>
      </w:r>
    </w:p>
    <w:p>
      <w:pPr>
        <w:spacing w:after="0" w:line="131"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400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Colin J. Diamond, Esq.</w:t>
            </w:r>
          </w:p>
        </w:tc>
        <w:tc>
          <w:tcPr>
            <w:tcW w:w="38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Aviv Avidan-Shalit, Adv.</w:t>
            </w:r>
          </w:p>
        </w:tc>
      </w:tr>
      <w:tr>
        <w:trPr>
          <w:trHeight w:val="216"/>
        </w:trPr>
        <w:tc>
          <w:tcPr>
            <w:tcW w:w="40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Elliott Smith, Esq.</w:t>
            </w:r>
          </w:p>
        </w:tc>
        <w:tc>
          <w:tcPr>
            <w:tcW w:w="38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Jonathan M. Nathan, Adv.</w:t>
            </w:r>
          </w:p>
        </w:tc>
      </w:tr>
      <w:tr>
        <w:trPr>
          <w:trHeight w:val="216"/>
        </w:trPr>
        <w:tc>
          <w:tcPr>
            <w:tcW w:w="40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8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Meitar Law Offices</w:t>
            </w:r>
          </w:p>
        </w:tc>
      </w:tr>
      <w:tr>
        <w:trPr>
          <w:trHeight w:val="216"/>
        </w:trPr>
        <w:tc>
          <w:tcPr>
            <w:tcW w:w="40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1155 Avenue of the Americas</w:t>
            </w:r>
          </w:p>
        </w:tc>
        <w:tc>
          <w:tcPr>
            <w:tcW w:w="38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16 Abba Hillel Silver Rd.</w:t>
            </w:r>
          </w:p>
        </w:tc>
      </w:tr>
      <w:tr>
        <w:trPr>
          <w:trHeight w:val="216"/>
        </w:trPr>
        <w:tc>
          <w:tcPr>
            <w:tcW w:w="40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c>
          <w:tcPr>
            <w:tcW w:w="38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16"/>
        </w:trPr>
        <w:tc>
          <w:tcPr>
            <w:tcW w:w="400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Tel: (212) 819-8200</w:t>
            </w:r>
          </w:p>
        </w:tc>
        <w:tc>
          <w:tcPr>
            <w:tcW w:w="38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Tel: +972-3-610-3100</w:t>
            </w:r>
          </w:p>
        </w:tc>
      </w:tr>
      <w:tr>
        <w:trPr>
          <w:trHeight w:val="238"/>
        </w:trPr>
        <w:tc>
          <w:tcPr>
            <w:tcW w:w="400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Fax: (212) 354-8113</w:t>
            </w:r>
          </w:p>
        </w:tc>
        <w:tc>
          <w:tcPr>
            <w:tcW w:w="38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Fax: +972-3-610-3111</w:t>
            </w:r>
          </w:p>
        </w:tc>
      </w:tr>
    </w:tbl>
    <w:p>
      <w:pPr>
        <w:spacing w:after="0" w:line="144" w:lineRule="exact"/>
        <w:rPr>
          <w:sz w:val="24"/>
          <w:szCs w:val="24"/>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 Removal from registration of securities that were not sold pursuant to this registration statement.</w:t>
      </w:r>
    </w:p>
    <w:p>
      <w:pPr>
        <w:spacing w:after="0" w:line="67" w:lineRule="exact"/>
        <w:rPr>
          <w:sz w:val="24"/>
          <w:szCs w:val="24"/>
          <w:color w:val="auto"/>
        </w:rPr>
      </w:pPr>
    </w:p>
    <w:p>
      <w:pPr>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84" w:lineRule="exact"/>
        <w:rPr>
          <w:sz w:val="24"/>
          <w:szCs w:val="24"/>
          <w:color w:val="auto"/>
        </w:rPr>
      </w:pPr>
    </w:p>
    <w:p>
      <w:pPr>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4" w:lineRule="exact"/>
        <w:rPr>
          <w:sz w:val="24"/>
          <w:szCs w:val="24"/>
          <w:color w:val="auto"/>
        </w:rPr>
      </w:pPr>
    </w:p>
    <w:p>
      <w:pPr>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4" w:lineRule="exact"/>
        <w:rPr>
          <w:sz w:val="24"/>
          <w:szCs w:val="24"/>
          <w:color w:val="auto"/>
        </w:rPr>
      </w:pPr>
    </w:p>
    <w:p>
      <w:pPr>
        <w:ind w:right="2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4" w:lineRule="exact"/>
        <w:rPr>
          <w:sz w:val="24"/>
          <w:szCs w:val="24"/>
          <w:color w:val="auto"/>
        </w:rPr>
      </w:pPr>
    </w:p>
    <w:p>
      <w:pPr>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4" w:lineRule="exact"/>
        <w:rPr>
          <w:sz w:val="24"/>
          <w:szCs w:val="24"/>
          <w:color w:val="auto"/>
        </w:rPr>
      </w:pPr>
    </w:p>
    <w:p>
      <w:pPr>
        <w:ind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2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117" w:lineRule="exact"/>
        <w:rPr>
          <w:sz w:val="24"/>
          <w:szCs w:val="24"/>
          <w:color w:val="auto"/>
        </w:rPr>
      </w:pPr>
    </w:p>
    <w:p>
      <w:pPr>
        <w:ind w:firstLine="8"/>
        <w:spacing w:after="0" w:line="282" w:lineRule="auto"/>
        <w:tabs>
          <w:tab w:leader="none" w:pos="1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relates to the Registration Statement on Form F-3 (File No. 333-232070) of Kornit Digital Ltd., a company organized under the laws of the State of Israel (the “Company”), which was originally filed with the U.S. Securities and Exchange Commission on June 11, 2019 (the “Registration Statement”). The Registration Statement registered an indeterminate amount of ordinary shares of the Company, par value NIS 0.01 per share (“Ordinary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seeking to terminate the effectiveness of the Registration Statement and deregister all securities that remain unsold. In accordance with the Company’s undertaking in Part II, Item 10(1)(c) of the Registration Statement, the Company hereby terminates the effectiveness of the Registration Statement and deregisters by means of this post-effective amendment any Ordinary Shares remaining unsold under the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Post-Effective Amendment to the Registration Statement on Form F-3 to be signed on its behalf by the undersigned, thereunto duly authorized, in Rosh Ha’Ayin, Israel on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2020.</w:t>
      </w:r>
    </w:p>
    <w:p>
      <w:pPr>
        <w:spacing w:after="0" w:line="4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Guy Avidan</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-127635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upon Rule 478 under the Securities Act of 1933.</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Post-Effective Amendment to the Registration 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2020-09-14T15:12:20Z</dcterms:created>
  <dcterms:modified xsi:type="dcterms:W3CDTF">2020-09-14T15:12:20Z</dcterms:modified>
</cp:coreProperties>
</file>