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117" w:lineRule="exact"/>
        <w:rPr>
          <w:sz w:val="24"/>
          <w:szCs w:val="24"/>
          <w:color w:val="auto"/>
        </w:rPr>
      </w:pPr>
    </w:p>
    <w:p>
      <w:pPr>
        <w:jc w:val="right"/>
        <w:ind w:right="119"/>
        <w:spacing w:after="0"/>
        <w:rPr>
          <w:sz w:val="20"/>
          <w:szCs w:val="20"/>
          <w:color w:val="auto"/>
        </w:rPr>
      </w:pPr>
      <w:r>
        <w:rPr>
          <w:rFonts w:ascii="Arial" w:cs="Arial" w:eastAsia="Arial" w:hAnsi="Arial"/>
          <w:sz w:val="18"/>
          <w:szCs w:val="18"/>
          <w:b w:val="1"/>
          <w:bCs w:val="1"/>
          <w:color w:val="auto"/>
        </w:rPr>
        <w:t>Filed Pursuant to Rule 424(b)(4)</w:t>
      </w:r>
    </w:p>
    <w:p>
      <w:pPr>
        <w:spacing w:after="0" w:line="27" w:lineRule="exact"/>
        <w:rPr>
          <w:sz w:val="24"/>
          <w:szCs w:val="24"/>
          <w:color w:val="auto"/>
        </w:rPr>
      </w:pPr>
    </w:p>
    <w:p>
      <w:pPr>
        <w:jc w:val="right"/>
        <w:ind w:right="119"/>
        <w:spacing w:after="0"/>
        <w:rPr>
          <w:sz w:val="20"/>
          <w:szCs w:val="20"/>
          <w:color w:val="auto"/>
        </w:rPr>
      </w:pPr>
      <w:r>
        <w:rPr>
          <w:rFonts w:ascii="Arial" w:cs="Arial" w:eastAsia="Arial" w:hAnsi="Arial"/>
          <w:sz w:val="18"/>
          <w:szCs w:val="18"/>
          <w:b w:val="1"/>
          <w:bCs w:val="1"/>
          <w:color w:val="auto"/>
        </w:rPr>
        <w:t>Registration No. 333-202291</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7,100,000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1730375</wp:posOffset>
            </wp:positionH>
            <wp:positionV relativeFrom="paragraph">
              <wp:posOffset>134620</wp:posOffset>
            </wp:positionV>
            <wp:extent cx="2280920" cy="14147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0920" cy="1414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1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______________________</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This is Kornit Digital Ltd.’s initial public offering. We are selling 7,100,000 of our ordinary shares.</w:t>
      </w:r>
    </w:p>
    <w:p>
      <w:pPr>
        <w:spacing w:after="0" w:line="225" w:lineRule="exact"/>
        <w:rPr>
          <w:sz w:val="24"/>
          <w:szCs w:val="24"/>
          <w:color w:val="auto"/>
        </w:rPr>
      </w:pPr>
    </w:p>
    <w:p>
      <w:pPr>
        <w:jc w:val="both"/>
        <w:ind w:left="120" w:right="439" w:firstLine="216"/>
        <w:spacing w:after="0" w:line="264" w:lineRule="auto"/>
        <w:rPr>
          <w:sz w:val="20"/>
          <w:szCs w:val="20"/>
          <w:color w:val="auto"/>
        </w:rPr>
      </w:pPr>
      <w:r>
        <w:rPr>
          <w:rFonts w:ascii="Arial" w:cs="Arial" w:eastAsia="Arial" w:hAnsi="Arial"/>
          <w:sz w:val="18"/>
          <w:szCs w:val="18"/>
          <w:color w:val="auto"/>
        </w:rPr>
        <w:t>The initial public offering price is $10.00 per share. Prior to this offering, there has been no public market for our ordinary shares. Our ordinary shares have been approved for listing on the NASDAQ Global Select Market under the symbol “KRNT.”</w:t>
      </w:r>
    </w:p>
    <w:p>
      <w:pPr>
        <w:spacing w:after="0" w:line="182" w:lineRule="exact"/>
        <w:rPr>
          <w:sz w:val="24"/>
          <w:szCs w:val="24"/>
          <w:color w:val="auto"/>
        </w:rPr>
      </w:pPr>
    </w:p>
    <w:tbl>
      <w:tblPr>
        <w:tblLayout w:type="fixed"/>
        <w:tblInd w:w="120" w:type="dxa"/>
        <w:tblCellMar>
          <w:top w:w="0" w:type="dxa"/>
          <w:left w:w="0" w:type="dxa"/>
          <w:bottom w:w="0" w:type="dxa"/>
          <w:right w:w="0" w:type="dxa"/>
        </w:tblCellMar>
      </w:tblPr>
      <w:tr>
        <w:trPr>
          <w:trHeight w:val="210"/>
        </w:trPr>
        <w:tc>
          <w:tcPr>
            <w:tcW w:w="4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205"/>
        </w:trPr>
        <w:tc>
          <w:tcPr>
            <w:tcW w:w="4480" w:type="dxa"/>
            <w:vAlign w:val="bottom"/>
          </w:tcPr>
          <w:p>
            <w:pPr>
              <w:spacing w:after="0" w:line="205" w:lineRule="exact"/>
              <w:rPr>
                <w:sz w:val="20"/>
                <w:szCs w:val="20"/>
                <w:color w:val="auto"/>
              </w:rPr>
            </w:pPr>
            <w:r>
              <w:rPr>
                <w:rFonts w:ascii="Arial" w:cs="Arial" w:eastAsia="Arial" w:hAnsi="Arial"/>
                <w:sz w:val="18"/>
                <w:szCs w:val="18"/>
                <w:color w:val="auto"/>
              </w:rPr>
              <w:t>Public offering price</w:t>
            </w:r>
          </w:p>
        </w:tc>
        <w:tc>
          <w:tcPr>
            <w:tcW w:w="13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205" w:lineRule="exact"/>
              <w:rPr>
                <w:sz w:val="20"/>
                <w:szCs w:val="20"/>
                <w:color w:val="auto"/>
              </w:rPr>
            </w:pPr>
            <w:r>
              <w:rPr>
                <w:rFonts w:ascii="Arial" w:cs="Arial" w:eastAsia="Arial" w:hAnsi="Arial"/>
                <w:sz w:val="18"/>
                <w:szCs w:val="18"/>
                <w:color w:val="auto"/>
              </w:rPr>
              <w:t>10.00</w:t>
            </w:r>
          </w:p>
        </w:tc>
        <w:tc>
          <w:tcPr>
            <w:tcW w:w="34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71,000,000</w:t>
            </w:r>
          </w:p>
        </w:tc>
      </w:tr>
      <w:tr>
        <w:trPr>
          <w:trHeight w:val="253"/>
        </w:trPr>
        <w:tc>
          <w:tcPr>
            <w:tcW w:w="4480" w:type="dxa"/>
            <w:vAlign w:val="bottom"/>
          </w:tcPr>
          <w:p>
            <w:pPr>
              <w:spacing w:after="0" w:line="253"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0.70</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4,970,000</w:t>
            </w: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5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9.30</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66,030,000</w:t>
            </w:r>
          </w:p>
        </w:tc>
      </w:tr>
      <w:tr>
        <w:trPr>
          <w:trHeight w:val="266"/>
        </w:trPr>
        <w:tc>
          <w:tcPr>
            <w:tcW w:w="4480" w:type="dxa"/>
            <w:vAlign w:val="bottom"/>
          </w:tcPr>
          <w:p>
            <w:pPr>
              <w:jc w:val="right"/>
              <w:ind w:right="3186"/>
              <w:spacing w:after="0"/>
              <w:rPr>
                <w:sz w:val="20"/>
                <w:szCs w:val="20"/>
                <w:color w:val="auto"/>
              </w:rPr>
            </w:pPr>
            <w:r>
              <w:rPr>
                <w:rFonts w:ascii="Arial" w:cs="Arial" w:eastAsia="Arial" w:hAnsi="Arial"/>
                <w:sz w:val="22"/>
                <w:szCs w:val="22"/>
                <w:color w:val="auto"/>
              </w:rPr>
              <w:t>_________</w:t>
            </w:r>
          </w:p>
        </w:tc>
        <w:tc>
          <w:tcPr>
            <w:tcW w:w="1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ind w:left="620" w:hanging="243"/>
        <w:spacing w:after="0"/>
        <w:tabs>
          <w:tab w:leader="none" w:pos="620" w:val="left"/>
        </w:tabs>
        <w:numPr>
          <w:ilvl w:val="0"/>
          <w:numId w:val="1"/>
        </w:numPr>
        <w:rPr>
          <w:rFonts w:ascii="Arial" w:cs="Arial" w:eastAsia="Arial" w:hAnsi="Arial"/>
          <w:sz w:val="14"/>
          <w:szCs w:val="14"/>
          <w:color w:val="auto"/>
        </w:rPr>
      </w:pPr>
      <w:r>
        <w:rPr>
          <w:rFonts w:ascii="Arial" w:cs="Arial" w:eastAsia="Arial" w:hAnsi="Arial"/>
          <w:sz w:val="18"/>
          <w:szCs w:val="18"/>
          <w:color w:val="auto"/>
        </w:rPr>
        <w:t xml:space="preserve">See “Underwriting” for a description of the compensation </w:t>
      </w:r>
      <w:r>
        <w:rPr>
          <w:rFonts w:ascii="Arial" w:cs="Arial" w:eastAsia="Arial" w:hAnsi="Arial"/>
          <w:sz w:val="16"/>
          <w:szCs w:val="16"/>
          <w:color w:val="auto"/>
        </w:rPr>
        <w:t>payable to the underwriters.</w:t>
      </w:r>
    </w:p>
    <w:p>
      <w:pPr>
        <w:spacing w:after="0" w:line="223" w:lineRule="exact"/>
        <w:rPr>
          <w:sz w:val="24"/>
          <w:szCs w:val="24"/>
          <w:color w:val="auto"/>
        </w:rPr>
      </w:pPr>
    </w:p>
    <w:p>
      <w:pPr>
        <w:jc w:val="both"/>
        <w:ind w:left="120" w:right="239" w:firstLine="216"/>
        <w:spacing w:after="0" w:line="342" w:lineRule="auto"/>
        <w:rPr>
          <w:sz w:val="20"/>
          <w:szCs w:val="20"/>
          <w:color w:val="auto"/>
        </w:rPr>
      </w:pPr>
      <w:r>
        <w:rPr>
          <w:rFonts w:ascii="Arial" w:cs="Arial" w:eastAsia="Arial" w:hAnsi="Arial"/>
          <w:sz w:val="16"/>
          <w:szCs w:val="16"/>
          <w:color w:val="auto"/>
        </w:rPr>
        <w:t>The underwriters may also exercise their option to purchase up to an additional 1,065,000 ordinary shares from us, at the public offering price, less the underwriting discounts and commissions, for 30 days after the date of this prospectus.</w:t>
      </w:r>
    </w:p>
    <w:p>
      <w:pPr>
        <w:spacing w:after="0" w:line="124" w:lineRule="exact"/>
        <w:rPr>
          <w:sz w:val="24"/>
          <w:szCs w:val="24"/>
          <w:color w:val="auto"/>
        </w:rPr>
      </w:pPr>
    </w:p>
    <w:p>
      <w:pPr>
        <w:ind w:left="120" w:right="239" w:firstLine="21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70" w:lineRule="exact"/>
        <w:rPr>
          <w:sz w:val="24"/>
          <w:szCs w:val="24"/>
          <w:color w:val="auto"/>
        </w:rPr>
      </w:pPr>
    </w:p>
    <w:p>
      <w:pPr>
        <w:ind w:left="120" w:right="179" w:firstLine="216"/>
        <w:spacing w:after="0" w:line="277" w:lineRule="auto"/>
        <w:rPr>
          <w:sz w:val="20"/>
          <w:szCs w:val="20"/>
          <w:color w:val="auto"/>
        </w:rPr>
      </w:pPr>
      <w:r>
        <w:rPr>
          <w:rFonts w:ascii="Arial" w:cs="Arial" w:eastAsia="Arial" w:hAnsi="Arial"/>
          <w:sz w:val="18"/>
          <w:szCs w:val="18"/>
          <w:b w:val="1"/>
          <w:bCs w:val="1"/>
          <w:i w:val="1"/>
          <w:iCs w:val="1"/>
          <w:color w:val="auto"/>
        </w:rPr>
        <w:t>Investing in our ordinary shares involves risks that are described in the ‘‘Risk Factors’’ section beginning on page 9 of this prospectus.</w:t>
      </w:r>
    </w:p>
    <w:p>
      <w:pPr>
        <w:spacing w:after="0" w:line="170" w:lineRule="exact"/>
        <w:rPr>
          <w:sz w:val="24"/>
          <w:szCs w:val="24"/>
          <w:color w:val="auto"/>
        </w:rPr>
      </w:pPr>
    </w:p>
    <w:p>
      <w:pPr>
        <w:ind w:left="120" w:right="179" w:firstLine="216"/>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 representation to the contrary is a criminal offense.</w:t>
      </w:r>
    </w:p>
    <w:p>
      <w:pPr>
        <w:spacing w:after="0" w:line="18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underwriters expect to deliver the ordinary shares to purchasers on or about April 8, 2015.</w:t>
      </w: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460" w:type="dxa"/>
            <w:vAlign w:val="bottom"/>
          </w:tcPr>
          <w:p>
            <w:pPr>
              <w:jc w:val="right"/>
              <w:ind w:right="3088"/>
              <w:spacing w:after="0" w:line="234" w:lineRule="exact"/>
              <w:rPr>
                <w:sz w:val="20"/>
                <w:szCs w:val="20"/>
                <w:color w:val="auto"/>
              </w:rPr>
            </w:pPr>
            <w:r>
              <w:rPr>
                <w:rFonts w:ascii="Arial" w:cs="Arial" w:eastAsia="Arial" w:hAnsi="Arial"/>
                <w:sz w:val="22"/>
                <w:szCs w:val="22"/>
                <w:color w:val="auto"/>
              </w:rPr>
              <w:t>______________________</w:t>
            </w:r>
          </w:p>
        </w:tc>
      </w:tr>
      <w:tr>
        <w:trPr>
          <w:trHeight w:val="375"/>
        </w:trPr>
        <w:tc>
          <w:tcPr>
            <w:tcW w:w="2320" w:type="dxa"/>
            <w:vAlign w:val="bottom"/>
            <w:gridSpan w:val="2"/>
          </w:tcPr>
          <w:p>
            <w:pPr>
              <w:spacing w:after="0"/>
              <w:rPr>
                <w:sz w:val="20"/>
                <w:szCs w:val="20"/>
                <w:color w:val="auto"/>
              </w:rPr>
            </w:pPr>
            <w:r>
              <w:rPr>
                <w:rFonts w:ascii="Arial" w:cs="Arial" w:eastAsia="Arial" w:hAnsi="Arial"/>
                <w:sz w:val="29"/>
                <w:szCs w:val="29"/>
                <w:b w:val="1"/>
                <w:bCs w:val="1"/>
                <w:color w:val="auto"/>
              </w:rPr>
              <w:t>Barclays</w:t>
            </w:r>
          </w:p>
        </w:tc>
        <w:tc>
          <w:tcPr>
            <w:tcW w:w="6460" w:type="dxa"/>
            <w:vAlign w:val="bottom"/>
          </w:tcPr>
          <w:p>
            <w:pPr>
              <w:jc w:val="right"/>
              <w:spacing w:after="0"/>
              <w:rPr>
                <w:sz w:val="20"/>
                <w:szCs w:val="20"/>
                <w:color w:val="auto"/>
              </w:rPr>
            </w:pPr>
            <w:r>
              <w:rPr>
                <w:rFonts w:ascii="Arial" w:cs="Arial" w:eastAsia="Arial" w:hAnsi="Arial"/>
                <w:sz w:val="29"/>
                <w:szCs w:val="29"/>
                <w:b w:val="1"/>
                <w:bCs w:val="1"/>
                <w:color w:val="auto"/>
              </w:rPr>
              <w:t>Citigroup</w:t>
            </w:r>
          </w:p>
        </w:tc>
      </w:tr>
      <w:tr>
        <w:trPr>
          <w:trHeight w:val="464"/>
        </w:trPr>
        <w:tc>
          <w:tcPr>
            <w:tcW w:w="2320" w:type="dxa"/>
            <w:vAlign w:val="bottom"/>
            <w:gridSpan w:val="2"/>
          </w:tcPr>
          <w:p>
            <w:pPr>
              <w:spacing w:after="0"/>
              <w:rPr>
                <w:sz w:val="20"/>
                <w:szCs w:val="20"/>
                <w:color w:val="auto"/>
              </w:rPr>
            </w:pPr>
            <w:r>
              <w:rPr>
                <w:rFonts w:ascii="Arial" w:cs="Arial" w:eastAsia="Arial" w:hAnsi="Arial"/>
                <w:sz w:val="22"/>
                <w:szCs w:val="22"/>
                <w:b w:val="1"/>
                <w:bCs w:val="1"/>
                <w:color w:val="auto"/>
              </w:rPr>
              <w:t>William Blair</w:t>
            </w:r>
          </w:p>
        </w:tc>
        <w:tc>
          <w:tcPr>
            <w:tcW w:w="6460" w:type="dxa"/>
            <w:vAlign w:val="bottom"/>
          </w:tcPr>
          <w:p>
            <w:pPr>
              <w:jc w:val="right"/>
              <w:spacing w:after="0"/>
              <w:rPr>
                <w:sz w:val="20"/>
                <w:szCs w:val="20"/>
                <w:color w:val="auto"/>
              </w:rPr>
            </w:pPr>
            <w:r>
              <w:rPr>
                <w:rFonts w:ascii="Arial" w:cs="Arial" w:eastAsia="Arial" w:hAnsi="Arial"/>
                <w:sz w:val="22"/>
                <w:szCs w:val="22"/>
                <w:b w:val="1"/>
                <w:bCs w:val="1"/>
                <w:color w:val="auto"/>
              </w:rPr>
              <w:t>Stifel</w:t>
            </w:r>
          </w:p>
        </w:tc>
      </w:tr>
      <w:tr>
        <w:trPr>
          <w:trHeight w:val="459"/>
        </w:trPr>
        <w:tc>
          <w:tcPr>
            <w:tcW w:w="2320" w:type="dxa"/>
            <w:vAlign w:val="bottom"/>
            <w:gridSpan w:val="2"/>
          </w:tcPr>
          <w:p>
            <w:pPr>
              <w:spacing w:after="0"/>
              <w:rPr>
                <w:sz w:val="20"/>
                <w:szCs w:val="20"/>
                <w:color w:val="auto"/>
              </w:rPr>
            </w:pPr>
            <w:r>
              <w:rPr>
                <w:rFonts w:ascii="Arial" w:cs="Arial" w:eastAsia="Arial" w:hAnsi="Arial"/>
                <w:sz w:val="22"/>
                <w:szCs w:val="22"/>
                <w:b w:val="1"/>
                <w:bCs w:val="1"/>
                <w:color w:val="auto"/>
              </w:rPr>
              <w:t>Canaccord Genuity</w:t>
            </w:r>
          </w:p>
        </w:tc>
        <w:tc>
          <w:tcPr>
            <w:tcW w:w="6460" w:type="dxa"/>
            <w:vAlign w:val="bottom"/>
          </w:tcPr>
          <w:p>
            <w:pPr>
              <w:jc w:val="right"/>
              <w:spacing w:after="0"/>
              <w:rPr>
                <w:sz w:val="20"/>
                <w:szCs w:val="20"/>
                <w:color w:val="auto"/>
              </w:rPr>
            </w:pPr>
            <w:r>
              <w:rPr>
                <w:rFonts w:ascii="Arial" w:cs="Arial" w:eastAsia="Arial" w:hAnsi="Arial"/>
                <w:sz w:val="22"/>
                <w:szCs w:val="22"/>
                <w:b w:val="1"/>
                <w:bCs w:val="1"/>
                <w:color w:val="auto"/>
              </w:rPr>
              <w:t>Needham &amp; Company</w:t>
            </w:r>
          </w:p>
        </w:tc>
      </w:tr>
      <w:tr>
        <w:trPr>
          <w:trHeight w:val="44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460" w:type="dxa"/>
            <w:vAlign w:val="bottom"/>
          </w:tcPr>
          <w:p>
            <w:pPr>
              <w:jc w:val="right"/>
              <w:ind w:right="2708"/>
              <w:spacing w:after="0"/>
              <w:rPr>
                <w:sz w:val="20"/>
                <w:szCs w:val="20"/>
                <w:color w:val="auto"/>
              </w:rPr>
            </w:pPr>
            <w:r>
              <w:rPr>
                <w:rFonts w:ascii="Arial" w:cs="Arial" w:eastAsia="Arial" w:hAnsi="Arial"/>
                <w:sz w:val="18"/>
                <w:szCs w:val="18"/>
                <w:color w:val="auto"/>
              </w:rPr>
              <w:t>The date of this prospectus is April 1, 2015.</w:t>
            </w:r>
          </w:p>
        </w:tc>
      </w:tr>
      <w:tr>
        <w:trPr>
          <w:trHeight w:val="351"/>
        </w:trPr>
        <w:tc>
          <w:tcPr>
            <w:tcW w:w="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7" w:right="1440" w:bottom="144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746115" cy="75723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115" cy="75723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Page</w:t>
            </w:r>
          </w:p>
        </w:tc>
      </w:tr>
      <w:tr>
        <w:trPr>
          <w:trHeight w:val="175"/>
        </w:trPr>
        <w:tc>
          <w:tcPr>
            <w:tcW w:w="7380" w:type="dxa"/>
            <w:vAlign w:val="bottom"/>
            <w:gridSpan w:val="22"/>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1240" w:type="dxa"/>
            <w:vAlign w:val="bottom"/>
          </w:tcPr>
          <w:p>
            <w:pPr>
              <w:jc w:val="right"/>
              <w:spacing w:after="0" w:line="176" w:lineRule="exact"/>
              <w:rPr>
                <w:sz w:val="20"/>
                <w:szCs w:val="20"/>
                <w:color w:val="auto"/>
              </w:rPr>
            </w:pPr>
            <w:r>
              <w:rPr>
                <w:rFonts w:ascii="Arial" w:cs="Arial" w:eastAsia="Arial" w:hAnsi="Arial"/>
                <w:sz w:val="18"/>
                <w:szCs w:val="18"/>
                <w:color w:val="auto"/>
              </w:rPr>
              <w:t>1</w:t>
            </w:r>
          </w:p>
        </w:tc>
      </w:tr>
      <w:tr>
        <w:trPr>
          <w:trHeight w:val="196"/>
        </w:trPr>
        <w:tc>
          <w:tcPr>
            <w:tcW w:w="15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586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Special Note Regarding Forward-Looking Statements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Use of Proceeds</w:t>
              </w:r>
            </w:hyperlink>
          </w:p>
        </w:tc>
        <w:tc>
          <w:tcPr>
            <w:tcW w:w="2700" w:type="dxa"/>
            <w:vAlign w:val="bottom"/>
            <w:tcBorders>
              <w:top w:val="single" w:sz="8" w:color="0000EE"/>
            </w:tcBorders>
            <w:gridSpan w:val="11"/>
          </w:tcPr>
          <w:p>
            <w:pPr>
              <w:spacing w:after="0"/>
              <w:rPr>
                <w:sz w:val="17"/>
                <w:szCs w:val="17"/>
                <w:color w:val="auto"/>
              </w:rPr>
            </w:pPr>
          </w:p>
        </w:tc>
        <w:tc>
          <w:tcPr>
            <w:tcW w:w="350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18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Dividend Policy</w:t>
              </w:r>
            </w:hyperlink>
          </w:p>
        </w:tc>
        <w:tc>
          <w:tcPr>
            <w:tcW w:w="6200" w:type="dxa"/>
            <w:vAlign w:val="bottom"/>
            <w:gridSpan w:val="1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Capitalization</w:t>
              </w:r>
            </w:hyperlink>
          </w:p>
        </w:tc>
        <w:tc>
          <w:tcPr>
            <w:tcW w:w="6360" w:type="dxa"/>
            <w:vAlign w:val="bottom"/>
            <w:gridSpan w:val="1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Dilution</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Selected Consolidated Financial Data</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6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Industry</w:t>
              </w:r>
            </w:hyperlink>
          </w:p>
        </w:tc>
        <w:tc>
          <w:tcPr>
            <w:tcW w:w="9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Business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Management</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Principal Shareholders</w:t>
              </w:r>
            </w:hyperlink>
          </w:p>
        </w:tc>
        <w:tc>
          <w:tcPr>
            <w:tcW w:w="5740" w:type="dxa"/>
            <w:vAlign w:val="bottom"/>
            <w:gridSpan w:val="13"/>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Certain Relationships and Related Party Transactions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Description of Share Capital</w:t>
              </w:r>
            </w:hyperlink>
          </w:p>
        </w:tc>
        <w:tc>
          <w:tcPr>
            <w:tcW w:w="1780" w:type="dxa"/>
            <w:vAlign w:val="bottom"/>
            <w:tcBorders>
              <w:top w:val="single" w:sz="8" w:color="0000EE"/>
            </w:tcBorders>
            <w:gridSpan w:val="7"/>
          </w:tcPr>
          <w:p>
            <w:pPr>
              <w:spacing w:after="0"/>
              <w:rPr>
                <w:sz w:val="17"/>
                <w:szCs w:val="17"/>
                <w:color w:val="auto"/>
              </w:rPr>
            </w:pPr>
          </w:p>
        </w:tc>
        <w:tc>
          <w:tcPr>
            <w:tcW w:w="354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Shares Eligible for Future Sale</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2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Taxation and Israeli Government Programs Applicable to our Company</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r>
      <w:tr>
        <w:trPr>
          <w:trHeight w:val="196"/>
        </w:trPr>
        <w:tc>
          <w:tcPr>
            <w:tcW w:w="404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8"/>
              </w:rPr>
            </w:pPr>
            <w:hyperlink w:anchor="page108">
              <w:r>
                <w:rPr>
                  <w:rFonts w:ascii="Arial" w:cs="Arial" w:eastAsia="Arial" w:hAnsi="Arial"/>
                  <w:sz w:val="18"/>
                  <w:szCs w:val="18"/>
                  <w:color w:val="0000EE"/>
                  <w:w w:val="88"/>
                </w:rPr>
                <w:t>U.S. and Israeli Tax Consequences for our Shareholders</w:t>
              </w:r>
            </w:hyperlink>
          </w:p>
        </w:tc>
        <w:tc>
          <w:tcPr>
            <w:tcW w:w="1120" w:type="dxa"/>
            <w:vAlign w:val="bottom"/>
            <w:tcBorders>
              <w:top w:val="single" w:sz="8" w:color="0000EE"/>
            </w:tcBorders>
          </w:tcPr>
          <w:p>
            <w:pPr>
              <w:spacing w:after="0"/>
              <w:rPr>
                <w:sz w:val="17"/>
                <w:szCs w:val="17"/>
                <w:color w:val="auto"/>
              </w:rPr>
            </w:pPr>
          </w:p>
        </w:tc>
        <w:tc>
          <w:tcPr>
            <w:tcW w:w="222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r>
      <w:tr>
        <w:trPr>
          <w:trHeight w:val="196"/>
        </w:trPr>
        <w:tc>
          <w:tcPr>
            <w:tcW w:w="9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15">
              <w:r>
                <w:rPr>
                  <w:rFonts w:ascii="Arial" w:cs="Arial" w:eastAsia="Arial" w:hAnsi="Arial"/>
                  <w:sz w:val="18"/>
                  <w:szCs w:val="18"/>
                  <w:color w:val="0000EE"/>
                  <w:w w:val="94"/>
                </w:rPr>
                <w:t>Underwriting</w:t>
              </w:r>
            </w:hyperlink>
          </w:p>
        </w:tc>
        <w:tc>
          <w:tcPr>
            <w:tcW w:w="6400" w:type="dxa"/>
            <w:vAlign w:val="bottom"/>
            <w:gridSpan w:val="18"/>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112</w:t>
            </w: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120">
              <w:r>
                <w:rPr>
                  <w:rFonts w:ascii="Arial" w:cs="Arial" w:eastAsia="Arial" w:hAnsi="Arial"/>
                  <w:sz w:val="18"/>
                  <w:szCs w:val="18"/>
                  <w:color w:val="0000EE"/>
                  <w:w w:val="90"/>
                </w:rPr>
                <w:t>Expenses Related to this Offering</w:t>
              </w:r>
            </w:hyperlink>
          </w:p>
        </w:tc>
        <w:tc>
          <w:tcPr>
            <w:tcW w:w="494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Experts</w:t>
              </w:r>
            </w:hyperlink>
          </w:p>
        </w:tc>
        <w:tc>
          <w:tcPr>
            <w:tcW w:w="6780" w:type="dxa"/>
            <w:vAlign w:val="bottom"/>
            <w:gridSpan w:val="21"/>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Legal Matters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1000" w:type="dxa"/>
            <w:vAlign w:val="bottom"/>
            <w:gridSpan w:val="5"/>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Enforceability of Civil Liabilities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2400" w:type="dxa"/>
            <w:vAlign w:val="bottom"/>
            <w:gridSpan w:val="12"/>
            <w:shd w:val="clear" w:color="auto" w:fill="0000EE"/>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326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Where You Can Find Additional Information</w:t>
              </w:r>
            </w:hyperlink>
          </w:p>
        </w:tc>
        <w:tc>
          <w:tcPr>
            <w:tcW w:w="4120" w:type="dxa"/>
            <w:vAlign w:val="bottom"/>
            <w:gridSpan w:val="6"/>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196"/>
        </w:trPr>
        <w:tc>
          <w:tcPr>
            <w:tcW w:w="7380" w:type="dxa"/>
            <w:vAlign w:val="bottom"/>
            <w:gridSpan w:val="22"/>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Index to Consolidated Financial Statements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our ordinary shares in any circumstances under which such offer or solicitation is unlawful.</w:t>
      </w:r>
    </w:p>
    <w:p>
      <w:pPr>
        <w:spacing w:after="0" w:line="179" w:lineRule="exact"/>
        <w:rPr>
          <w:sz w:val="20"/>
          <w:szCs w:val="20"/>
          <w:color w:val="auto"/>
        </w:rPr>
      </w:pPr>
    </w:p>
    <w:p>
      <w:pPr>
        <w:jc w:val="both"/>
        <w:ind w:left="120" w:right="299" w:firstLine="216"/>
        <w:spacing w:after="0" w:line="264" w:lineRule="auto"/>
        <w:rPr>
          <w:sz w:val="20"/>
          <w:szCs w:val="20"/>
          <w:color w:val="auto"/>
        </w:rPr>
      </w:pPr>
      <w:r>
        <w:rPr>
          <w:rFonts w:ascii="Arial" w:cs="Arial" w:eastAsia="Arial" w:hAnsi="Arial"/>
          <w:sz w:val="18"/>
          <w:szCs w:val="18"/>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329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8475" cy="8329295"/>
                    </a:xfrm>
                    <a:prstGeom prst="rect">
                      <a:avLst/>
                    </a:prstGeom>
                    <a:noFill/>
                  </pic:spPr>
                </pic:pic>
              </a:graphicData>
            </a:graphic>
          </wp:anchor>
        </w:drawing>
        <w:t>PROSPECTUS SUMMARY</w:t>
      </w:r>
    </w:p>
    <w:p>
      <w:pPr>
        <w:spacing w:after="0" w:line="229" w:lineRule="exact"/>
        <w:rPr>
          <w:sz w:val="20"/>
          <w:szCs w:val="20"/>
          <w:color w:val="auto"/>
        </w:rPr>
      </w:pPr>
    </w:p>
    <w:p>
      <w:pPr>
        <w:ind w:left="220" w:right="259"/>
        <w:spacing w:after="0" w:line="273" w:lineRule="auto"/>
        <w:rPr>
          <w:sz w:val="20"/>
          <w:szCs w:val="20"/>
          <w:color w:val="auto"/>
        </w:rPr>
      </w:pPr>
      <w:r>
        <w:rPr>
          <w:rFonts w:ascii="Arial" w:cs="Arial" w:eastAsia="Arial" w:hAnsi="Arial"/>
          <w:sz w:val="17"/>
          <w:szCs w:val="17"/>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20" w:right="299" w:firstLine="216"/>
        <w:spacing w:after="0" w:line="284"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w:t>
      </w:r>
    </w:p>
    <w:p>
      <w:pPr>
        <w:spacing w:after="0" w:line="1" w:lineRule="exact"/>
        <w:rPr>
          <w:sz w:val="20"/>
          <w:szCs w:val="20"/>
          <w:color w:val="auto"/>
        </w:rPr>
      </w:pPr>
    </w:p>
    <w:p>
      <w:pPr>
        <w:ind w:left="220" w:right="219"/>
        <w:spacing w:after="0" w:line="253" w:lineRule="auto"/>
        <w:rPr>
          <w:sz w:val="20"/>
          <w:szCs w:val="20"/>
          <w:color w:val="auto"/>
        </w:rPr>
      </w:pPr>
      <w:r>
        <w:rPr>
          <w:rFonts w:ascii="Arial" w:cs="Arial" w:eastAsia="Arial" w:hAnsi="Arial"/>
          <w:sz w:val="18"/>
          <w:szCs w:val="18"/>
          <w:color w:val="auto"/>
        </w:rPr>
        <w:t>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91" w:lineRule="exact"/>
        <w:rPr>
          <w:sz w:val="20"/>
          <w:szCs w:val="20"/>
          <w:color w:val="auto"/>
        </w:rPr>
      </w:pPr>
    </w:p>
    <w:p>
      <w:pPr>
        <w:ind w:left="220" w:right="339" w:firstLine="216"/>
        <w:spacing w:after="0" w:line="289" w:lineRule="auto"/>
        <w:rPr>
          <w:sz w:val="20"/>
          <w:szCs w:val="20"/>
          <w:color w:val="auto"/>
        </w:rPr>
      </w:pPr>
      <w:r>
        <w:rPr>
          <w:rFonts w:ascii="Arial" w:cs="Arial" w:eastAsia="Arial" w:hAnsi="Arial"/>
          <w:sz w:val="16"/>
          <w:szCs w:val="16"/>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67" w:lineRule="exact"/>
        <w:rPr>
          <w:sz w:val="20"/>
          <w:szCs w:val="20"/>
          <w:color w:val="auto"/>
        </w:rPr>
      </w:pPr>
    </w:p>
    <w:p>
      <w:pPr>
        <w:ind w:left="220" w:right="199" w:firstLine="216"/>
        <w:spacing w:after="0" w:line="254" w:lineRule="auto"/>
        <w:rPr>
          <w:sz w:val="20"/>
          <w:szCs w:val="20"/>
          <w:color w:val="auto"/>
        </w:rPr>
      </w:pPr>
      <w:r>
        <w:rPr>
          <w:rFonts w:ascii="Arial" w:cs="Arial" w:eastAsia="Arial" w:hAnsi="Arial"/>
          <w:sz w:val="18"/>
          <w:szCs w:val="18"/>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w:t>
      </w:r>
    </w:p>
    <w:p>
      <w:pPr>
        <w:spacing w:after="0" w:line="192" w:lineRule="exact"/>
        <w:rPr>
          <w:sz w:val="20"/>
          <w:szCs w:val="20"/>
          <w:color w:val="auto"/>
        </w:rPr>
      </w:pPr>
    </w:p>
    <w:p>
      <w:pPr>
        <w:ind w:left="220" w:right="279" w:firstLine="216"/>
        <w:spacing w:after="0" w:line="297" w:lineRule="auto"/>
        <w:rPr>
          <w:sz w:val="20"/>
          <w:szCs w:val="20"/>
          <w:color w:val="auto"/>
        </w:rPr>
      </w:pPr>
      <w:r>
        <w:rPr>
          <w:rFonts w:ascii="Arial" w:cs="Arial" w:eastAsia="Arial" w:hAnsi="Arial"/>
          <w:sz w:val="16"/>
          <w:szCs w:val="16"/>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Industry Overview</w:t>
      </w:r>
    </w:p>
    <w:p>
      <w:pPr>
        <w:spacing w:after="0" w:line="225" w:lineRule="exact"/>
        <w:rPr>
          <w:sz w:val="20"/>
          <w:szCs w:val="20"/>
          <w:color w:val="auto"/>
        </w:rPr>
      </w:pPr>
    </w:p>
    <w:p>
      <w:pPr>
        <w:jc w:val="both"/>
        <w:ind w:left="220" w:right="25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4" w:name="page5"/>
    <w:bookmarkEnd w:id="4"/>
    <w:p>
      <w:pPr>
        <w:ind w:left="220" w:right="199" w:firstLine="21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148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8475" cy="8148955"/>
                    </a:xfrm>
                    <a:prstGeom prst="rect">
                      <a:avLst/>
                    </a:prstGeom>
                    <a:noFill/>
                  </pic:spPr>
                </pic:pic>
              </a:graphicData>
            </a:graphic>
          </wp:anchor>
        </w:drawing>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digital textile printing output is forecasted to grow at approximately 20% per year globally for the foreseeable future. Within digital textile printing, clothing applications represent the greatest amount of digital printed textile output and are projected to grow at a faster rate than household, technical and display applications.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Solutions</w:t>
      </w:r>
    </w:p>
    <w:p>
      <w:pPr>
        <w:spacing w:after="0" w:line="189" w:lineRule="exact"/>
        <w:rPr>
          <w:sz w:val="20"/>
          <w:szCs w:val="20"/>
          <w:color w:val="auto"/>
        </w:rPr>
      </w:pPr>
    </w:p>
    <w:p>
      <w:pPr>
        <w:ind w:left="220" w:right="259" w:firstLine="216"/>
        <w:spacing w:after="0" w:line="297" w:lineRule="auto"/>
        <w:rPr>
          <w:sz w:val="20"/>
          <w:szCs w:val="20"/>
          <w:color w:val="auto"/>
        </w:rPr>
      </w:pPr>
      <w:r>
        <w:rPr>
          <w:rFonts w:ascii="Arial" w:cs="Arial" w:eastAsia="Arial" w:hAnsi="Arial"/>
          <w:sz w:val="16"/>
          <w:szCs w:val="16"/>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31" w:lineRule="exact"/>
        <w:rPr>
          <w:sz w:val="20"/>
          <w:szCs w:val="20"/>
          <w:color w:val="auto"/>
        </w:rPr>
      </w:pPr>
    </w:p>
    <w:p>
      <w:pPr>
        <w:ind w:left="640" w:right="419" w:hanging="209"/>
        <w:spacing w:after="0" w:line="285" w:lineRule="auto"/>
        <w:tabs>
          <w:tab w:leader="none" w:pos="614" w:val="left"/>
        </w:tabs>
        <w:numPr>
          <w:ilvl w:val="0"/>
          <w:numId w:val="2"/>
        </w:numPr>
        <w:rPr>
          <w:rFonts w:ascii="Arial" w:cs="Arial" w:eastAsia="Arial" w:hAnsi="Arial"/>
          <w:sz w:val="19"/>
          <w:szCs w:val="19"/>
          <w:i w:val="1"/>
          <w:iCs w:val="1"/>
          <w:color w:val="auto"/>
        </w:rPr>
      </w:pPr>
      <w:r>
        <w:rPr>
          <w:rFonts w:ascii="Arial" w:cs="Arial" w:eastAsia="Arial" w:hAnsi="Arial"/>
          <w:sz w:val="16"/>
          <w:szCs w:val="16"/>
          <w:i w:val="1"/>
          <w:iCs w:val="1"/>
          <w:color w:val="auto"/>
        </w:rPr>
        <w:t>Entry Level</w:t>
      </w:r>
      <w:r>
        <w:rPr>
          <w:rFonts w:ascii="Arial" w:cs="Arial" w:eastAsia="Arial" w:hAnsi="Arial"/>
          <w:sz w:val="16"/>
          <w:szCs w:val="16"/>
          <w:color w:val="auto"/>
        </w:rPr>
        <w:t>. Our entry level systems consist of our Breeze and Thunder systems. The Breeze and Thunder</w:t>
      </w:r>
      <w:r>
        <w:rPr>
          <w:rFonts w:ascii="Arial" w:cs="Arial" w:eastAsia="Arial" w:hAnsi="Arial"/>
          <w:sz w:val="16"/>
          <w:szCs w:val="16"/>
          <w:i w:val="1"/>
          <w:iCs w:val="1"/>
          <w:color w:val="auto"/>
        </w:rPr>
        <w:t xml:space="preserve"> </w:t>
      </w:r>
      <w:r>
        <w:rPr>
          <w:rFonts w:ascii="Arial" w:cs="Arial" w:eastAsia="Arial" w:hAnsi="Arial"/>
          <w:sz w:val="16"/>
          <w:szCs w:val="16"/>
          <w:color w:val="auto"/>
        </w:rPr>
        <w:t>allow businesses to adopt digital technology with a limited upfront investment and use the same technology as our high throughput systems but with smaller garment printing areas and at lower throughput levels.</w:t>
      </w:r>
    </w:p>
    <w:p>
      <w:pPr>
        <w:spacing w:after="0" w:line="194" w:lineRule="exact"/>
        <w:rPr>
          <w:rFonts w:ascii="Arial" w:cs="Arial" w:eastAsia="Arial" w:hAnsi="Arial"/>
          <w:sz w:val="19"/>
          <w:szCs w:val="19"/>
          <w:i w:val="1"/>
          <w:iCs w:val="1"/>
          <w:color w:val="auto"/>
        </w:rPr>
      </w:pPr>
    </w:p>
    <w:p>
      <w:pPr>
        <w:jc w:val="both"/>
        <w:ind w:left="640" w:right="439" w:hanging="209"/>
        <w:spacing w:after="0" w:line="238" w:lineRule="auto"/>
        <w:tabs>
          <w:tab w:leader="none" w:pos="614"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w:t>
      </w:r>
      <w:r>
        <w:rPr>
          <w:rFonts w:ascii="Arial" w:cs="Arial" w:eastAsia="Arial" w:hAnsi="Arial"/>
          <w:sz w:val="18"/>
          <w:szCs w:val="18"/>
          <w:i w:val="1"/>
          <w:iCs w:val="1"/>
          <w:color w:val="auto"/>
        </w:rPr>
        <w:t xml:space="preserve"> </w:t>
      </w:r>
      <w:r>
        <w:rPr>
          <w:rFonts w:ascii="Arial" w:cs="Arial" w:eastAsia="Arial" w:hAnsi="Arial"/>
          <w:sz w:val="18"/>
          <w:szCs w:val="18"/>
          <w:color w:val="auto"/>
        </w:rPr>
        <w:t>and Paradigm II, offer high throughput printing capabilities and are designed for customers who conduct large scale printing of small runs of a variety of images and designs.</w:t>
      </w:r>
    </w:p>
    <w:p>
      <w:pPr>
        <w:spacing w:after="0" w:line="149" w:lineRule="exact"/>
        <w:rPr>
          <w:sz w:val="20"/>
          <w:szCs w:val="20"/>
          <w:color w:val="auto"/>
        </w:rPr>
      </w:pPr>
    </w:p>
    <w:p>
      <w:pPr>
        <w:ind w:left="220" w:right="31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Competitive Strengths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our key competitive strengths:</w:t>
      </w:r>
    </w:p>
    <w:p>
      <w:pPr>
        <w:spacing w:after="0" w:line="194" w:lineRule="exact"/>
        <w:rPr>
          <w:sz w:val="20"/>
          <w:szCs w:val="20"/>
          <w:color w:val="auto"/>
        </w:rPr>
      </w:pPr>
    </w:p>
    <w:p>
      <w:pPr>
        <w:ind w:left="640" w:right="219" w:hanging="209"/>
        <w:spacing w:after="0" w:line="283" w:lineRule="auto"/>
        <w:tabs>
          <w:tab w:leader="none" w:pos="614" w:val="left"/>
        </w:tabs>
        <w:numPr>
          <w:ilvl w:val="0"/>
          <w:numId w:val="3"/>
        </w:numPr>
        <w:rPr>
          <w:rFonts w:ascii="Arial" w:cs="Arial" w:eastAsia="Arial" w:hAnsi="Arial"/>
          <w:sz w:val="19"/>
          <w:szCs w:val="19"/>
          <w:b w:val="1"/>
          <w:bCs w:val="1"/>
          <w:color w:val="auto"/>
        </w:rPr>
      </w:pPr>
      <w:r>
        <w:rPr>
          <w:rFonts w:ascii="Arial" w:cs="Arial" w:eastAsia="Arial" w:hAnsi="Arial"/>
          <w:sz w:val="16"/>
          <w:szCs w:val="16"/>
          <w:b w:val="1"/>
          <w:bCs w:val="1"/>
          <w:color w:val="auto"/>
        </w:rPr>
        <w:t>Leading player in fast-growing digital DTG printing market</w:t>
      </w:r>
      <w:r>
        <w:rPr>
          <w:rFonts w:ascii="Arial" w:cs="Arial" w:eastAsia="Arial" w:hAnsi="Arial"/>
          <w:sz w:val="16"/>
          <w:szCs w:val="16"/>
          <w:color w:val="auto"/>
        </w:rPr>
        <w:t>. We are a leading player in the fast-growing</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14" w:lineRule="exact"/>
        <w:rPr>
          <w:rFonts w:ascii="Arial" w:cs="Arial" w:eastAsia="Arial" w:hAnsi="Arial"/>
          <w:sz w:val="19"/>
          <w:szCs w:val="19"/>
          <w:b w:val="1"/>
          <w:bCs w:val="1"/>
          <w:color w:val="auto"/>
        </w:rPr>
      </w:pPr>
    </w:p>
    <w:p>
      <w:pPr>
        <w:ind w:left="640" w:right="259" w:hanging="209"/>
        <w:spacing w:after="0" w:line="244" w:lineRule="auto"/>
        <w:tabs>
          <w:tab w:leader="none" w:pos="614"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Disruptive technology that enables our customers to adopt new or improve existing business models. </w:t>
      </w:r>
      <w:r>
        <w:rPr>
          <w:rFonts w:ascii="Arial" w:cs="Arial" w:eastAsia="Arial" w:hAnsi="Arial"/>
          <w:sz w:val="18"/>
          <w:szCs w:val="18"/>
          <w:color w:val="auto"/>
        </w:rPr>
        <w:t>Our</w:t>
      </w:r>
      <w:r>
        <w:rPr>
          <w:rFonts w:ascii="Arial" w:cs="Arial" w:eastAsia="Arial" w:hAnsi="Arial"/>
          <w:sz w:val="18"/>
          <w:szCs w:val="18"/>
          <w:b w:val="1"/>
          <w:bCs w:val="1"/>
          <w:color w:val="auto"/>
        </w:rPr>
        <w:t xml:space="preserve"> </w:t>
      </w:r>
      <w:r>
        <w:rPr>
          <w:rFonts w:ascii="Arial" w:cs="Arial" w:eastAsia="Arial" w:hAnsi="Arial"/>
          <w:sz w:val="18"/>
          <w:szCs w:val="18"/>
          <w:color w:val="auto"/>
        </w:rPr>
        <w:t>digital printing solutions allow our customers to develop new or improve existing business models by enabling them to produce short to medium runs of high-quality customized garments efficiently. This facilitates online business models that manufacture on a “produce to order” basis and allows brand owners to produce garments in house.</w:t>
      </w:r>
    </w:p>
    <w:p>
      <w:pPr>
        <w:spacing w:after="0" w:line="224" w:lineRule="exact"/>
        <w:rPr>
          <w:rFonts w:ascii="Arial" w:cs="Arial" w:eastAsia="Arial" w:hAnsi="Arial"/>
          <w:sz w:val="22"/>
          <w:szCs w:val="22"/>
          <w:b w:val="1"/>
          <w:bCs w:val="1"/>
          <w:color w:val="auto"/>
        </w:rPr>
      </w:pPr>
    </w:p>
    <w:p>
      <w:pPr>
        <w:jc w:val="both"/>
        <w:ind w:left="640" w:right="219" w:hanging="209"/>
        <w:spacing w:after="0" w:line="239" w:lineRule="auto"/>
        <w:tabs>
          <w:tab w:leader="none" w:pos="614"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Attractive business model. </w:t>
      </w:r>
      <w:r>
        <w:rPr>
          <w:rFonts w:ascii="Arial" w:cs="Arial" w:eastAsia="Arial" w:hAnsi="Arial"/>
          <w:sz w:val="18"/>
          <w:szCs w:val="18"/>
          <w:color w:val="auto"/>
        </w:rPr>
        <w:t>Our existing and growing installed base of systems results in recurring sales of ink</w:t>
      </w:r>
      <w:r>
        <w:rPr>
          <w:rFonts w:ascii="Arial" w:cs="Arial" w:eastAsia="Arial" w:hAnsi="Arial"/>
          <w:sz w:val="18"/>
          <w:szCs w:val="18"/>
          <w:b w:val="1"/>
          <w:bCs w:val="1"/>
          <w:color w:val="auto"/>
        </w:rPr>
        <w:t xml:space="preserve"> </w:t>
      </w:r>
      <w:r>
        <w:rPr>
          <w:rFonts w:ascii="Arial" w:cs="Arial" w:eastAsia="Arial" w:hAnsi="Arial"/>
          <w:sz w:val="18"/>
          <w:szCs w:val="18"/>
          <w:color w:val="auto"/>
        </w:rPr>
        <w:t>and other consumables. Recurring sales of ink and other consumables have historically offered us visibility into a significant</w:t>
      </w: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5" w:name="page6"/>
    <w:bookmarkEnd w:id="5"/>
    <w:p>
      <w:pPr>
        <w:ind w:left="640" w:right="31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0803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8475" cy="8080375"/>
                    </a:xfrm>
                    <a:prstGeom prst="rect">
                      <a:avLst/>
                    </a:prstGeom>
                    <a:noFill/>
                  </pic:spPr>
                </pic:pic>
              </a:graphicData>
            </a:graphic>
          </wp:anchor>
        </w:drawing>
        <w:t>component of our results of operations. We believe that our recurring sales model also enables us to foster close customer relationships and allows us to provide value added services to our customers.</w:t>
      </w:r>
    </w:p>
    <w:p>
      <w:pPr>
        <w:spacing w:after="0" w:line="193" w:lineRule="exact"/>
        <w:rPr>
          <w:sz w:val="20"/>
          <w:szCs w:val="20"/>
          <w:color w:val="auto"/>
        </w:rPr>
      </w:pPr>
    </w:p>
    <w:p>
      <w:pPr>
        <w:jc w:val="both"/>
        <w:ind w:left="640" w:right="539" w:hanging="209"/>
        <w:spacing w:after="0" w:line="239" w:lineRule="auto"/>
        <w:tabs>
          <w:tab w:leader="none" w:pos="614"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w:t>
      </w:r>
    </w:p>
    <w:p>
      <w:pPr>
        <w:spacing w:after="0" w:line="227" w:lineRule="exact"/>
        <w:rPr>
          <w:rFonts w:ascii="Arial" w:cs="Arial" w:eastAsia="Arial" w:hAnsi="Arial"/>
          <w:sz w:val="22"/>
          <w:szCs w:val="22"/>
          <w:b w:val="1"/>
          <w:bCs w:val="1"/>
          <w:color w:val="auto"/>
        </w:rPr>
      </w:pPr>
    </w:p>
    <w:p>
      <w:pPr>
        <w:ind w:left="640" w:right="519" w:hanging="209"/>
        <w:spacing w:after="0" w:line="285" w:lineRule="auto"/>
        <w:tabs>
          <w:tab w:leader="none" w:pos="614"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Our DTG systems are suited for smaller</w:t>
      </w:r>
      <w:r>
        <w:rPr>
          <w:rFonts w:ascii="Arial" w:cs="Arial" w:eastAsia="Arial" w:hAnsi="Arial"/>
          <w:sz w:val="16"/>
          <w:szCs w:val="16"/>
          <w:b w:val="1"/>
          <w:bCs w:val="1"/>
          <w:color w:val="auto"/>
        </w:rPr>
        <w:t xml:space="preserve"> </w:t>
      </w:r>
      <w:r>
        <w:rPr>
          <w:rFonts w:ascii="Arial" w:cs="Arial" w:eastAsia="Arial" w:hAnsi="Arial"/>
          <w:sz w:val="16"/>
          <w:szCs w:val="16"/>
          <w:color w:val="auto"/>
        </w:rPr>
        <w:t>commercial operators with limited budgets, as well as mass producers with mature operations and complex needs. In addition, we plan to introduce two new solutions to market: the Allegro, a one-step, integrated R2R printing and drying system, and the Vulcan, a cost-effective digital substitution for carousel screen printing.</w:t>
      </w:r>
    </w:p>
    <w:p>
      <w:pPr>
        <w:spacing w:after="0" w:line="192" w:lineRule="exact"/>
        <w:rPr>
          <w:rFonts w:ascii="Arial" w:cs="Arial" w:eastAsia="Arial" w:hAnsi="Arial"/>
          <w:sz w:val="19"/>
          <w:szCs w:val="19"/>
          <w:b w:val="1"/>
          <w:bCs w:val="1"/>
          <w:color w:val="auto"/>
        </w:rPr>
      </w:pPr>
    </w:p>
    <w:p>
      <w:pPr>
        <w:ind w:left="640" w:right="219" w:hanging="209"/>
        <w:spacing w:after="0" w:line="243" w:lineRule="auto"/>
        <w:tabs>
          <w:tab w:leader="none" w:pos="614"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Environmentally friendly printing processes. </w:t>
      </w:r>
      <w:r>
        <w:rPr>
          <w:rFonts w:ascii="Arial" w:cs="Arial" w:eastAsia="Arial" w:hAnsi="Arial"/>
          <w:sz w:val="18"/>
          <w:szCs w:val="18"/>
          <w:color w:val="auto"/>
        </w:rPr>
        <w:t>A significant portion of global industrial water pollution comes</w:t>
      </w:r>
      <w:r>
        <w:rPr>
          <w:rFonts w:ascii="Arial" w:cs="Arial" w:eastAsia="Arial" w:hAnsi="Arial"/>
          <w:sz w:val="18"/>
          <w:szCs w:val="18"/>
          <w:b w:val="1"/>
          <w:bCs w:val="1"/>
          <w:color w:val="auto"/>
        </w:rPr>
        <w:t xml:space="preserve"> </w:t>
      </w:r>
      <w:r>
        <w:rPr>
          <w:rFonts w:ascii="Arial" w:cs="Arial" w:eastAsia="Arial" w:hAnsi="Arial"/>
          <w:sz w:val="18"/>
          <w:szCs w:val="18"/>
          <w:color w:val="auto"/>
        </w:rPr>
        <w:t>from textile 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222" w:lineRule="exact"/>
        <w:rPr>
          <w:rFonts w:ascii="Arial" w:cs="Arial" w:eastAsia="Arial" w:hAnsi="Arial"/>
          <w:sz w:val="22"/>
          <w:szCs w:val="22"/>
          <w:b w:val="1"/>
          <w:bCs w:val="1"/>
          <w:color w:val="auto"/>
        </w:rPr>
      </w:pPr>
    </w:p>
    <w:p>
      <w:pPr>
        <w:jc w:val="both"/>
        <w:ind w:left="640" w:right="219" w:hanging="209"/>
        <w:spacing w:after="0" w:line="239" w:lineRule="auto"/>
        <w:tabs>
          <w:tab w:leader="none" w:pos="614"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Experienced management team. </w:t>
      </w:r>
      <w:r>
        <w:rPr>
          <w:rFonts w:ascii="Arial" w:cs="Arial" w:eastAsia="Arial" w:hAnsi="Arial"/>
          <w:sz w:val="18"/>
          <w:szCs w:val="18"/>
          <w:color w:val="auto"/>
        </w:rPr>
        <w:t>We believe that our management team’s industry expertise, long history with</w:t>
      </w:r>
      <w:r>
        <w:rPr>
          <w:rFonts w:ascii="Arial" w:cs="Arial" w:eastAsia="Arial" w:hAnsi="Arial"/>
          <w:sz w:val="18"/>
          <w:szCs w:val="18"/>
          <w:b w:val="1"/>
          <w:bCs w:val="1"/>
          <w:color w:val="auto"/>
        </w:rPr>
        <w:t xml:space="preserve"> </w:t>
      </w:r>
      <w:r>
        <w:rPr>
          <w:rFonts w:ascii="Arial" w:cs="Arial" w:eastAsia="Arial" w:hAnsi="Arial"/>
          <w:sz w:val="18"/>
          <w:szCs w:val="18"/>
          <w:color w:val="auto"/>
        </w:rPr>
        <w:t>our company and extensive experience in running global publicly traded companies will enable us to execute our growth strategy.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16" w:lineRule="exact"/>
        <w:rPr>
          <w:sz w:val="20"/>
          <w:szCs w:val="20"/>
          <w:color w:val="auto"/>
        </w:rPr>
      </w:pPr>
    </w:p>
    <w:p>
      <w:pPr>
        <w:ind w:left="620" w:hanging="189"/>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18"/>
          <w:szCs w:val="18"/>
          <w:color w:val="auto"/>
        </w:rPr>
        <w:t>capitalize on continued growth of the digital DTG market;</w:t>
      </w:r>
    </w:p>
    <w:p>
      <w:pPr>
        <w:spacing w:after="0" w:line="192" w:lineRule="exact"/>
        <w:rPr>
          <w:rFonts w:ascii="Arial" w:cs="Arial" w:eastAsia="Arial" w:hAnsi="Arial"/>
          <w:sz w:val="22"/>
          <w:szCs w:val="22"/>
          <w:color w:val="auto"/>
        </w:rPr>
      </w:pPr>
    </w:p>
    <w:p>
      <w:pPr>
        <w:ind w:left="620" w:hanging="189"/>
        <w:spacing w:after="0"/>
        <w:tabs>
          <w:tab w:leader="none" w:pos="620" w:val="left"/>
        </w:tabs>
        <w:numPr>
          <w:ilvl w:val="0"/>
          <w:numId w:val="5"/>
        </w:numPr>
        <w:rPr>
          <w:rFonts w:ascii="Arial" w:cs="Arial" w:eastAsia="Arial" w:hAnsi="Arial"/>
          <w:sz w:val="22"/>
          <w:szCs w:val="22"/>
          <w:color w:val="auto"/>
        </w:rPr>
      </w:pPr>
      <w:r>
        <w:rPr>
          <w:rFonts w:ascii="Arial" w:cs="Arial" w:eastAsia="Arial" w:hAnsi="Arial"/>
          <w:sz w:val="18"/>
          <w:szCs w:val="18"/>
          <w:color w:val="auto"/>
        </w:rPr>
        <w:t>focus on fast-growing web-to-print businesses;</w:t>
      </w:r>
    </w:p>
    <w:p>
      <w:pPr>
        <w:spacing w:after="0" w:line="215" w:lineRule="exact"/>
        <w:rPr>
          <w:rFonts w:ascii="Arial" w:cs="Arial" w:eastAsia="Arial" w:hAnsi="Arial"/>
          <w:sz w:val="22"/>
          <w:szCs w:val="22"/>
          <w:color w:val="auto"/>
        </w:rPr>
      </w:pPr>
    </w:p>
    <w:p>
      <w:pPr>
        <w:ind w:left="620" w:hanging="189"/>
        <w:spacing w:after="0"/>
        <w:tabs>
          <w:tab w:leader="none" w:pos="620" w:val="left"/>
        </w:tabs>
        <w:numPr>
          <w:ilvl w:val="0"/>
          <w:numId w:val="5"/>
        </w:numPr>
        <w:rPr>
          <w:rFonts w:ascii="Arial" w:cs="Arial" w:eastAsia="Arial" w:hAnsi="Arial"/>
          <w:sz w:val="19"/>
          <w:szCs w:val="19"/>
          <w:color w:val="auto"/>
        </w:rPr>
      </w:pPr>
      <w:r>
        <w:rPr>
          <w:rFonts w:ascii="Arial" w:cs="Arial" w:eastAsia="Arial" w:hAnsi="Arial"/>
          <w:sz w:val="16"/>
          <w:szCs w:val="16"/>
          <w:color w:val="auto"/>
        </w:rPr>
        <w:t>drive adoption of digital DTG printing solutions by customers who primarily use screen printing carousels; and</w:t>
      </w:r>
    </w:p>
    <w:p>
      <w:pPr>
        <w:spacing w:after="0" w:line="227" w:lineRule="exact"/>
        <w:rPr>
          <w:rFonts w:ascii="Arial" w:cs="Arial" w:eastAsia="Arial" w:hAnsi="Arial"/>
          <w:sz w:val="19"/>
          <w:szCs w:val="19"/>
          <w:color w:val="auto"/>
        </w:rPr>
      </w:pPr>
    </w:p>
    <w:p>
      <w:pPr>
        <w:ind w:left="640" w:right="299" w:hanging="209"/>
        <w:spacing w:after="0" w:line="232" w:lineRule="auto"/>
        <w:tabs>
          <w:tab w:leader="none" w:pos="614" w:val="left"/>
        </w:tabs>
        <w:numPr>
          <w:ilvl w:val="0"/>
          <w:numId w:val="5"/>
        </w:numPr>
        <w:rPr>
          <w:rFonts w:ascii="Arial" w:cs="Arial" w:eastAsia="Arial" w:hAnsi="Arial"/>
          <w:sz w:val="22"/>
          <w:szCs w:val="22"/>
          <w:color w:val="auto"/>
        </w:rPr>
      </w:pPr>
      <w:r>
        <w:rPr>
          <w:rFonts w:ascii="Arial" w:cs="Arial" w:eastAsia="Arial" w:hAnsi="Arial"/>
          <w:sz w:val="18"/>
          <w:szCs w:val="18"/>
          <w:color w:val="auto"/>
        </w:rPr>
        <w:t>extend our technological leadership through ongoing research and development and continuing to introduce new products.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220" w:right="199" w:firstLine="216"/>
        <w:spacing w:after="0" w:line="257"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202" w:lineRule="exact"/>
        <w:rPr>
          <w:sz w:val="20"/>
          <w:szCs w:val="20"/>
          <w:color w:val="auto"/>
        </w:rPr>
      </w:pPr>
    </w:p>
    <w:p>
      <w:pPr>
        <w:ind w:left="640" w:right="399" w:hanging="209"/>
        <w:spacing w:after="0" w:line="232" w:lineRule="auto"/>
        <w:tabs>
          <w:tab w:leader="none" w:pos="614"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217" w:lineRule="exact"/>
        <w:rPr>
          <w:rFonts w:ascii="Arial" w:cs="Arial" w:eastAsia="Arial" w:hAnsi="Arial"/>
          <w:sz w:val="22"/>
          <w:szCs w:val="22"/>
          <w:color w:val="auto"/>
        </w:rPr>
      </w:pPr>
    </w:p>
    <w:p>
      <w:pPr>
        <w:ind w:left="640" w:right="859" w:hanging="209"/>
        <w:spacing w:after="0" w:line="232" w:lineRule="auto"/>
        <w:tabs>
          <w:tab w:leader="none" w:pos="614"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194" w:lineRule="exact"/>
        <w:rPr>
          <w:rFonts w:ascii="Arial" w:cs="Arial" w:eastAsia="Arial" w:hAnsi="Arial"/>
          <w:sz w:val="22"/>
          <w:szCs w:val="22"/>
          <w:color w:val="auto"/>
        </w:rPr>
      </w:pPr>
    </w:p>
    <w:p>
      <w:pPr>
        <w:ind w:left="620" w:hanging="189"/>
        <w:spacing w:after="0"/>
        <w:tabs>
          <w:tab w:leader="none" w:pos="62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failure to compete successfully could cause our revenues and demand for our solutions to decline.</w:t>
      </w:r>
    </w:p>
    <w:p>
      <w:pPr>
        <w:spacing w:after="0" w:line="215" w:lineRule="exact"/>
        <w:rPr>
          <w:rFonts w:ascii="Arial" w:cs="Arial" w:eastAsia="Arial" w:hAnsi="Arial"/>
          <w:sz w:val="22"/>
          <w:szCs w:val="22"/>
          <w:color w:val="auto"/>
        </w:rPr>
      </w:pPr>
    </w:p>
    <w:p>
      <w:pPr>
        <w:ind w:left="640" w:right="539" w:hanging="209"/>
        <w:spacing w:after="0" w:line="297" w:lineRule="auto"/>
        <w:tabs>
          <w:tab w:leader="none" w:pos="614" w:val="left"/>
        </w:tabs>
        <w:numPr>
          <w:ilvl w:val="0"/>
          <w:numId w:val="6"/>
        </w:numPr>
        <w:rPr>
          <w:rFonts w:ascii="Arial" w:cs="Arial" w:eastAsia="Arial" w:hAnsi="Arial"/>
          <w:sz w:val="19"/>
          <w:szCs w:val="19"/>
          <w:color w:val="auto"/>
        </w:rPr>
      </w:pPr>
      <w:r>
        <w:rPr>
          <w:rFonts w:ascii="Arial" w:cs="Arial" w:eastAsia="Arial" w:hAnsi="Arial"/>
          <w:sz w:val="16"/>
          <w:szCs w:val="16"/>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63" w:lineRule="exact"/>
        <w:rPr>
          <w:rFonts w:ascii="Arial" w:cs="Arial" w:eastAsia="Arial" w:hAnsi="Arial"/>
          <w:sz w:val="19"/>
          <w:szCs w:val="19"/>
          <w:color w:val="auto"/>
        </w:rPr>
      </w:pPr>
    </w:p>
    <w:p>
      <w:pPr>
        <w:ind w:left="640" w:right="259" w:hanging="209"/>
        <w:spacing w:after="0" w:line="232" w:lineRule="auto"/>
        <w:tabs>
          <w:tab w:leader="none" w:pos="614"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44" w:right="1440" w:bottom="1440" w:gutter="0" w:footer="0" w:header="0"/>
        </w:sectPr>
      </w:pPr>
    </w:p>
    <w:bookmarkStart w:id="6" w:name="page7"/>
    <w:bookmarkEnd w:id="6"/>
    <w:p>
      <w:pPr>
        <w:ind w:left="640" w:right="319" w:hanging="209"/>
        <w:spacing w:after="0" w:line="232"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707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8475" cy="7077075"/>
                    </a:xfrm>
                    <a:prstGeom prst="rect">
                      <a:avLst/>
                    </a:prstGeom>
                    <a:noFill/>
                  </pic:spPr>
                </pic:pic>
              </a:graphicData>
            </a:graphic>
          </wp:anchor>
        </w:drawing>
        <w:t>If our relationships with suppliers, especially with single source suppliers of components, were to terminate, our business could be harmed.</w:t>
      </w:r>
    </w:p>
    <w:p>
      <w:pPr>
        <w:spacing w:after="0" w:line="217" w:lineRule="exact"/>
        <w:rPr>
          <w:rFonts w:ascii="Arial" w:cs="Arial" w:eastAsia="Arial" w:hAnsi="Arial"/>
          <w:sz w:val="22"/>
          <w:szCs w:val="22"/>
          <w:color w:val="auto"/>
        </w:rPr>
      </w:pPr>
    </w:p>
    <w:p>
      <w:pPr>
        <w:ind w:left="640" w:right="499" w:hanging="209"/>
        <w:spacing w:after="0" w:line="232"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cannot successfully market our systems to major brand owners and fashion designers, our future growth and prospects could be harmed.</w:t>
      </w:r>
    </w:p>
    <w:p>
      <w:pPr>
        <w:spacing w:after="0" w:line="217" w:lineRule="exact"/>
        <w:rPr>
          <w:rFonts w:ascii="Arial" w:cs="Arial" w:eastAsia="Arial" w:hAnsi="Arial"/>
          <w:sz w:val="22"/>
          <w:szCs w:val="22"/>
          <w:color w:val="auto"/>
        </w:rPr>
      </w:pPr>
    </w:p>
    <w:p>
      <w:pPr>
        <w:ind w:left="640" w:right="459" w:hanging="209"/>
        <w:spacing w:after="0" w:line="232"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217" w:lineRule="exact"/>
        <w:rPr>
          <w:rFonts w:ascii="Arial" w:cs="Arial" w:eastAsia="Arial" w:hAnsi="Arial"/>
          <w:sz w:val="22"/>
          <w:szCs w:val="22"/>
          <w:color w:val="auto"/>
        </w:rPr>
      </w:pPr>
    </w:p>
    <w:p>
      <w:pPr>
        <w:ind w:left="640" w:right="939" w:hanging="209"/>
        <w:spacing w:after="0" w:line="232"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not be able to introduce new systems or other technological enhancements to the market on the timescales that we project.</w:t>
      </w:r>
    </w:p>
    <w:p>
      <w:pPr>
        <w:spacing w:after="0" w:line="217" w:lineRule="exact"/>
        <w:rPr>
          <w:rFonts w:ascii="Arial" w:cs="Arial" w:eastAsia="Arial" w:hAnsi="Arial"/>
          <w:sz w:val="22"/>
          <w:szCs w:val="22"/>
          <w:color w:val="auto"/>
        </w:rPr>
      </w:pPr>
    </w:p>
    <w:p>
      <w:pPr>
        <w:ind w:left="640" w:right="519" w:hanging="209"/>
        <w:spacing w:after="0" w:line="232"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Allegro system, which we expect to launch commercially in the next 18 months, may not achieve market acceptance or gain adequate market share.</w:t>
      </w:r>
    </w:p>
    <w:p>
      <w:pPr>
        <w:spacing w:after="0" w:line="217" w:lineRule="exact"/>
        <w:rPr>
          <w:rFonts w:ascii="Arial" w:cs="Arial" w:eastAsia="Arial" w:hAnsi="Arial"/>
          <w:sz w:val="22"/>
          <w:szCs w:val="22"/>
          <w:color w:val="auto"/>
        </w:rPr>
      </w:pPr>
    </w:p>
    <w:p>
      <w:pPr>
        <w:ind w:left="640" w:right="299" w:hanging="209"/>
        <w:spacing w:after="0" w:line="232"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are unable to obtain patent protection for our solutions or otherwise protect our intellectual property rights, our business could suffer.</w:t>
      </w:r>
    </w:p>
    <w:p>
      <w:pPr>
        <w:spacing w:after="0" w:line="217" w:lineRule="exact"/>
        <w:rPr>
          <w:rFonts w:ascii="Arial" w:cs="Arial" w:eastAsia="Arial" w:hAnsi="Arial"/>
          <w:sz w:val="22"/>
          <w:szCs w:val="22"/>
          <w:color w:val="auto"/>
        </w:rPr>
      </w:pPr>
    </w:p>
    <w:p>
      <w:pPr>
        <w:ind w:left="640" w:right="239" w:hanging="209"/>
        <w:spacing w:after="0" w:line="241" w:lineRule="auto"/>
        <w:tabs>
          <w:tab w:leader="none" w:pos="614"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Principal Shareholder</w:t>
      </w:r>
    </w:p>
    <w:p>
      <w:pPr>
        <w:spacing w:after="0" w:line="229" w:lineRule="exact"/>
        <w:rPr>
          <w:sz w:val="20"/>
          <w:szCs w:val="20"/>
          <w:color w:val="auto"/>
        </w:rPr>
      </w:pPr>
    </w:p>
    <w:p>
      <w:pPr>
        <w:ind w:left="220" w:right="299" w:firstLine="216"/>
        <w:spacing w:after="0" w:line="257" w:lineRule="auto"/>
        <w:rPr>
          <w:sz w:val="20"/>
          <w:szCs w:val="20"/>
          <w:color w:val="auto"/>
        </w:rPr>
      </w:pPr>
      <w:r>
        <w:rPr>
          <w:rFonts w:ascii="Arial" w:cs="Arial" w:eastAsia="Arial" w:hAnsi="Arial"/>
          <w:sz w:val="18"/>
          <w:szCs w:val="18"/>
          <w:color w:val="auto"/>
        </w:rPr>
        <w:t>Following the closing of this offering, entities affiliated with Fortissimo Capital Fund II (Israel) L.P. will beneficially own 52.4% of our outstanding shares in the aggregate (or 50.5% if the underwriters exercise in full their option to purchase additional shares). Following the closing of this offering, we will not be a party to and are not otherwise aware of any voting agreement among our shareholders. For further information about the ownership of our ordinary shares following this offering, see “Principal Shareholders.”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220" w:right="319" w:firstLine="216"/>
        <w:spacing w:after="0" w:line="272" w:lineRule="auto"/>
        <w:rPr>
          <w:sz w:val="20"/>
          <w:szCs w:val="20"/>
          <w:color w:val="auto"/>
        </w:rPr>
      </w:pPr>
      <w:r>
        <w:rPr>
          <w:rFonts w:ascii="Arial" w:cs="Arial" w:eastAsia="Arial" w:hAnsi="Arial"/>
          <w:sz w:val="17"/>
          <w:szCs w:val="17"/>
          <w:color w:val="auto"/>
        </w:rPr>
        <w:t>We were incorporated under the laws of the State of Israel on January 16, 2002. Our principal executive offices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78" w:lineRule="exact"/>
        <w:rPr>
          <w:sz w:val="20"/>
          <w:szCs w:val="20"/>
          <w:color w:val="auto"/>
        </w:rPr>
      </w:pPr>
    </w:p>
    <w:p>
      <w:pPr>
        <w:ind w:left="220" w:right="319" w:firstLine="216"/>
        <w:spacing w:after="0" w:line="295" w:lineRule="auto"/>
        <w:rPr>
          <w:sz w:val="20"/>
          <w:szCs w:val="20"/>
          <w:color w:val="auto"/>
        </w:rPr>
      </w:pPr>
      <w:r>
        <w:rPr>
          <w:rFonts w:ascii="Arial" w:cs="Arial" w:eastAsia="Arial" w:hAnsi="Arial"/>
          <w:sz w:val="16"/>
          <w:szCs w:val="16"/>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w:t>
      </w:r>
    </w:p>
    <w:p>
      <w:pPr>
        <w:spacing w:after="0" w:line="1" w:lineRule="exact"/>
        <w:rPr>
          <w:sz w:val="20"/>
          <w:szCs w:val="20"/>
          <w:color w:val="auto"/>
        </w:rPr>
      </w:pPr>
    </w:p>
    <w:p>
      <w:pPr>
        <w:ind w:left="220" w:right="319"/>
        <w:spacing w:after="0" w:line="235" w:lineRule="auto"/>
        <w:rPr>
          <w:sz w:val="20"/>
          <w:szCs w:val="20"/>
          <w:color w:val="auto"/>
        </w:rPr>
      </w:pPr>
      <w:r>
        <w:rPr>
          <w:rFonts w:ascii="Arial" w:cs="Arial" w:eastAsia="Arial" w:hAnsi="Arial"/>
          <w:sz w:val="17"/>
          <w:szCs w:val="17"/>
          <w:color w:val="auto"/>
        </w:rPr>
        <w:t>pending applications relating to our solutions. Although we have omitted the “</w:t>
      </w:r>
      <w:r>
        <w:rPr>
          <w:rFonts w:ascii="Arial" w:cs="Arial" w:eastAsia="Arial" w:hAnsi="Arial"/>
          <w:sz w:val="28"/>
          <w:szCs w:val="28"/>
          <w:color w:val="auto"/>
          <w:vertAlign w:val="superscript"/>
        </w:rPr>
        <w:t>®</w:t>
      </w:r>
      <w:r>
        <w:rPr>
          <w:rFonts w:ascii="Arial" w:cs="Arial" w:eastAsia="Arial" w:hAnsi="Arial"/>
          <w:sz w:val="17"/>
          <w:szCs w:val="17"/>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889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8475" cy="8895080"/>
                    </a:xfrm>
                    <a:prstGeom prst="rect">
                      <a:avLst/>
                    </a:prstGeom>
                    <a:noFill/>
                  </pic:spPr>
                </pic:pic>
              </a:graphicData>
            </a:graphic>
          </wp:anchor>
        </w:drawing>
        <w:t>The Offering</w:t>
      </w:r>
    </w:p>
    <w:p>
      <w:pPr>
        <w:spacing w:after="0" w:line="283"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8"/>
          <w:szCs w:val="18"/>
          <w:color w:val="auto"/>
        </w:rPr>
        <w:t>Ordinary shares we are offering</w:t>
      </w:r>
      <w:r>
        <w:rPr>
          <w:sz w:val="20"/>
          <w:szCs w:val="20"/>
          <w:color w:val="auto"/>
        </w:rPr>
        <w:tab/>
      </w:r>
      <w:r>
        <w:rPr>
          <w:rFonts w:ascii="Arial" w:cs="Arial" w:eastAsia="Arial" w:hAnsi="Arial"/>
          <w:sz w:val="16"/>
          <w:szCs w:val="16"/>
          <w:color w:val="auto"/>
        </w:rPr>
        <w:t>7,100,000 ordinary shares (or 8,165,000 if the underwriters exercise in full</w:t>
      </w:r>
    </w:p>
    <w:p>
      <w:pPr>
        <w:spacing w:after="0" w:line="23"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their option to purchase additional ordinary shares)</w:t>
      </w:r>
    </w:p>
    <w:p>
      <w:pPr>
        <w:spacing w:after="0" w:line="200" w:lineRule="exact"/>
        <w:rPr>
          <w:sz w:val="20"/>
          <w:szCs w:val="20"/>
          <w:color w:val="auto"/>
        </w:rPr>
      </w:pPr>
    </w:p>
    <w:p>
      <w:pPr>
        <w:spacing w:after="0" w:line="254"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8"/>
          <w:szCs w:val="18"/>
          <w:color w:val="auto"/>
        </w:rPr>
        <w:t>Ordinary shares to be outstanding</w:t>
      </w:r>
      <w:r>
        <w:rPr>
          <w:sz w:val="20"/>
          <w:szCs w:val="20"/>
          <w:color w:val="auto"/>
        </w:rPr>
        <w:tab/>
      </w:r>
      <w:r>
        <w:rPr>
          <w:rFonts w:ascii="Arial" w:cs="Arial" w:eastAsia="Arial" w:hAnsi="Arial"/>
          <w:sz w:val="16"/>
          <w:szCs w:val="16"/>
          <w:color w:val="auto"/>
        </w:rPr>
        <w:t>28,701,965 ordinary shares (or 29,766,965 if the underwriters exercise in</w:t>
      </w:r>
    </w:p>
    <w:p>
      <w:pPr>
        <w:spacing w:after="0" w:line="23" w:lineRule="exact"/>
        <w:rPr>
          <w:sz w:val="20"/>
          <w:szCs w:val="20"/>
          <w:color w:val="auto"/>
        </w:rPr>
      </w:pPr>
    </w:p>
    <w:p>
      <w:pPr>
        <w:ind w:left="480"/>
        <w:spacing w:after="0"/>
        <w:tabs>
          <w:tab w:leader="none" w:pos="334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6"/>
          <w:szCs w:val="16"/>
          <w:color w:val="auto"/>
        </w:rPr>
        <w:t>full their option to purchase additional ordinary shares)</w:t>
      </w:r>
    </w:p>
    <w:p>
      <w:pPr>
        <w:spacing w:after="0" w:line="200" w:lineRule="exact"/>
        <w:rPr>
          <w:sz w:val="20"/>
          <w:szCs w:val="20"/>
          <w:color w:val="auto"/>
        </w:rPr>
      </w:pPr>
    </w:p>
    <w:p>
      <w:pPr>
        <w:spacing w:after="0" w:line="254"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will receive net proceeds from this offering of approximately $63.5</w:t>
      </w:r>
    </w:p>
    <w:p>
      <w:pPr>
        <w:spacing w:after="0" w:line="23" w:lineRule="exact"/>
        <w:rPr>
          <w:sz w:val="20"/>
          <w:szCs w:val="20"/>
          <w:color w:val="auto"/>
        </w:rPr>
      </w:pPr>
    </w:p>
    <w:p>
      <w:pPr>
        <w:ind w:left="3360" w:right="339"/>
        <w:spacing w:after="0" w:line="254" w:lineRule="auto"/>
        <w:rPr>
          <w:sz w:val="20"/>
          <w:szCs w:val="20"/>
          <w:color w:val="auto"/>
        </w:rPr>
      </w:pPr>
      <w:r>
        <w:rPr>
          <w:rFonts w:ascii="Arial" w:cs="Arial" w:eastAsia="Arial" w:hAnsi="Arial"/>
          <w:sz w:val="18"/>
          <w:szCs w:val="18"/>
          <w:color w:val="auto"/>
        </w:rPr>
        <w:t>million, or $73.4 million if the underwriters exercise in full their option to purchase additional ordinary shares, after deducting underwriting discounts and commissions and estimated offering expenses payable by us.</w:t>
      </w:r>
    </w:p>
    <w:p>
      <w:pPr>
        <w:spacing w:after="0" w:line="190" w:lineRule="exact"/>
        <w:rPr>
          <w:sz w:val="20"/>
          <w:szCs w:val="20"/>
          <w:color w:val="auto"/>
        </w:rPr>
      </w:pPr>
    </w:p>
    <w:p>
      <w:pPr>
        <w:ind w:left="3360" w:right="299"/>
        <w:spacing w:after="0" w:line="270" w:lineRule="auto"/>
        <w:rPr>
          <w:sz w:val="20"/>
          <w:szCs w:val="20"/>
          <w:color w:val="auto"/>
        </w:rPr>
      </w:pPr>
      <w:r>
        <w:rPr>
          <w:rFonts w:ascii="Arial" w:cs="Arial" w:eastAsia="Arial" w:hAnsi="Arial"/>
          <w:sz w:val="17"/>
          <w:szCs w:val="17"/>
          <w:color w:val="auto"/>
        </w:rPr>
        <w:t>We intend to use the net proceeds from this offering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offering, we expect to use the net proceeds for general corporate purposes. We do not currently have any acquisitions or investments planned however we may use a portion of the net proceeds to acquire or invest in complementary companies, products or technologies in the future. See “Use of Proceeds” on page 27 for additional information.</w:t>
      </w:r>
    </w:p>
    <w:p>
      <w:pPr>
        <w:spacing w:after="0" w:line="200" w:lineRule="exact"/>
        <w:rPr>
          <w:sz w:val="20"/>
          <w:szCs w:val="20"/>
          <w:color w:val="auto"/>
        </w:rPr>
      </w:pPr>
    </w:p>
    <w:p>
      <w:pPr>
        <w:spacing w:after="0" w:line="221"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Investing in our ordinary shares involves a high degree of risk and</w:t>
      </w:r>
    </w:p>
    <w:p>
      <w:pPr>
        <w:spacing w:after="0" w:line="23" w:lineRule="exact"/>
        <w:rPr>
          <w:sz w:val="20"/>
          <w:szCs w:val="20"/>
          <w:color w:val="auto"/>
        </w:rPr>
      </w:pPr>
    </w:p>
    <w:p>
      <w:pPr>
        <w:ind w:left="3360" w:right="399"/>
        <w:spacing w:after="0" w:line="254" w:lineRule="auto"/>
        <w:rPr>
          <w:sz w:val="20"/>
          <w:szCs w:val="20"/>
          <w:color w:val="auto"/>
        </w:rPr>
      </w:pPr>
      <w:r>
        <w:rPr>
          <w:rFonts w:ascii="Arial" w:cs="Arial" w:eastAsia="Arial" w:hAnsi="Arial"/>
          <w:sz w:val="18"/>
          <w:szCs w:val="18"/>
          <w:color w:val="auto"/>
        </w:rPr>
        <w:t>purchasers of our ordinary shares may lose part or all of their investment. See “Risk Factors” and other information included in this prospectus for a discussion of factors you should carefully consider before deciding to invest in our ordinary shares.</w:t>
      </w:r>
    </w:p>
    <w:p>
      <w:pPr>
        <w:spacing w:after="0" w:line="200" w:lineRule="exact"/>
        <w:rPr>
          <w:sz w:val="20"/>
          <w:szCs w:val="20"/>
          <w:color w:val="auto"/>
        </w:rPr>
      </w:pPr>
    </w:p>
    <w:p>
      <w:pPr>
        <w:spacing w:after="0" w:line="233" w:lineRule="exact"/>
        <w:rPr>
          <w:sz w:val="20"/>
          <w:szCs w:val="20"/>
          <w:color w:val="auto"/>
        </w:rPr>
      </w:pPr>
    </w:p>
    <w:p>
      <w:pPr>
        <w:ind w:left="280"/>
        <w:spacing w:after="0"/>
        <w:tabs>
          <w:tab w:leader="none" w:pos="3340" w:val="left"/>
        </w:tabs>
        <w:rPr>
          <w:sz w:val="20"/>
          <w:szCs w:val="20"/>
          <w:color w:val="auto"/>
        </w:rPr>
      </w:pPr>
      <w:r>
        <w:rPr>
          <w:rFonts w:ascii="Arial" w:cs="Arial" w:eastAsia="Arial" w:hAnsi="Arial"/>
          <w:sz w:val="18"/>
          <w:szCs w:val="18"/>
          <w:color w:val="auto"/>
        </w:rPr>
        <w:t>Proposed NASDAQ Global Select</w:t>
      </w:r>
      <w:r>
        <w:rPr>
          <w:sz w:val="20"/>
          <w:szCs w:val="20"/>
          <w:color w:val="auto"/>
        </w:rPr>
        <w:tab/>
      </w:r>
      <w:r>
        <w:rPr>
          <w:rFonts w:ascii="Arial" w:cs="Arial" w:eastAsia="Arial" w:hAnsi="Arial"/>
          <w:sz w:val="16"/>
          <w:szCs w:val="16"/>
          <w:color w:val="auto"/>
        </w:rPr>
        <w:t>Our ordinary shares have been approved for listing on the NASDAQ</w:t>
      </w:r>
    </w:p>
    <w:p>
      <w:pPr>
        <w:spacing w:after="0" w:line="23" w:lineRule="exact"/>
        <w:rPr>
          <w:sz w:val="20"/>
          <w:szCs w:val="20"/>
          <w:color w:val="auto"/>
        </w:rPr>
      </w:pPr>
    </w:p>
    <w:p>
      <w:pPr>
        <w:ind w:left="480"/>
        <w:spacing w:after="0"/>
        <w:tabs>
          <w:tab w:leader="none" w:pos="3340" w:val="left"/>
        </w:tabs>
        <w:rPr>
          <w:sz w:val="20"/>
          <w:szCs w:val="20"/>
          <w:color w:val="auto"/>
        </w:rPr>
      </w:pPr>
      <w:r>
        <w:rPr>
          <w:rFonts w:ascii="Arial" w:cs="Arial" w:eastAsia="Arial" w:hAnsi="Arial"/>
          <w:sz w:val="18"/>
          <w:szCs w:val="18"/>
          <w:color w:val="auto"/>
        </w:rPr>
        <w:t>Market symbol</w:t>
      </w:r>
      <w:r>
        <w:rPr>
          <w:sz w:val="20"/>
          <w:szCs w:val="20"/>
          <w:color w:val="auto"/>
        </w:rPr>
        <w:tab/>
      </w:r>
      <w:r>
        <w:rPr>
          <w:rFonts w:ascii="Arial" w:cs="Arial" w:eastAsia="Arial" w:hAnsi="Arial"/>
          <w:sz w:val="16"/>
          <w:szCs w:val="16"/>
          <w:color w:val="auto"/>
        </w:rPr>
        <w:t>Global Select Market under the symbol “KRNT.”</w:t>
      </w:r>
    </w:p>
    <w:p>
      <w:pPr>
        <w:spacing w:after="0" w:line="224" w:lineRule="exact"/>
        <w:rPr>
          <w:sz w:val="20"/>
          <w:szCs w:val="20"/>
          <w:color w:val="auto"/>
        </w:rPr>
      </w:pPr>
    </w:p>
    <w:p>
      <w:pPr>
        <w:ind w:left="220" w:right="439" w:firstLine="216"/>
        <w:spacing w:after="0" w:line="273" w:lineRule="auto"/>
        <w:rPr>
          <w:sz w:val="20"/>
          <w:szCs w:val="20"/>
          <w:color w:val="auto"/>
        </w:rPr>
      </w:pPr>
      <w:r>
        <w:rPr>
          <w:rFonts w:ascii="Arial" w:cs="Arial" w:eastAsia="Arial" w:hAnsi="Arial"/>
          <w:sz w:val="17"/>
          <w:szCs w:val="17"/>
          <w:color w:val="auto"/>
        </w:rPr>
        <w:t>Unless otherwise indicated, the number of ordinary shares to be outstanding after this offering is based on 21,601,965 ordinary shares outstanding as of March 16, 2015 assuming the conversion of all outstanding Series A-1 preferred shares into 12,628,741 ordinary shares and excludes (1) 3,456,281 ordinary shares reserved for issuance under our equity incentive plans in respect of which, as of March 16, 2015, we had outstanding options to purchase 2,790,312 ordinary shares at a weighted average exercise price of $2.13 per share and (2) 242,425 ordinary shares reserved for issuance under our Employee Stock Purchase Plan.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71" w:lineRule="exact"/>
        <w:rPr>
          <w:sz w:val="20"/>
          <w:szCs w:val="20"/>
          <w:color w:val="auto"/>
        </w:rPr>
      </w:pPr>
    </w:p>
    <w:p>
      <w:pPr>
        <w:ind w:left="640" w:right="319" w:hanging="209"/>
        <w:spacing w:after="0" w:line="232" w:lineRule="auto"/>
        <w:tabs>
          <w:tab w:leader="none" w:pos="614"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the conversion of all outstanding Series A-1 preferred shares into 12,628,741 ordinary shares which will occur immediately prior to the closing of this offering;</w:t>
      </w:r>
    </w:p>
    <w:p>
      <w:pPr>
        <w:spacing w:after="0" w:line="149" w:lineRule="exact"/>
        <w:rPr>
          <w:rFonts w:ascii="Arial" w:cs="Arial" w:eastAsia="Arial" w:hAnsi="Arial"/>
          <w:sz w:val="22"/>
          <w:szCs w:val="22"/>
          <w:color w:val="auto"/>
        </w:rPr>
      </w:pPr>
    </w:p>
    <w:p>
      <w:pPr>
        <w:ind w:left="640" w:right="239" w:hanging="209"/>
        <w:spacing w:after="0" w:line="232" w:lineRule="auto"/>
        <w:tabs>
          <w:tab w:leader="none" w:pos="614" w:val="left"/>
        </w:tabs>
        <w:numPr>
          <w:ilvl w:val="0"/>
          <w:numId w:val="8"/>
        </w:numPr>
        <w:rPr>
          <w:rFonts w:ascii="Arial" w:cs="Arial" w:eastAsia="Arial" w:hAnsi="Arial"/>
          <w:sz w:val="22"/>
          <w:szCs w:val="22"/>
          <w:color w:val="auto"/>
        </w:rPr>
      </w:pPr>
      <w:r>
        <w:rPr>
          <w:rFonts w:ascii="Arial" w:cs="Arial" w:eastAsia="Arial" w:hAnsi="Arial"/>
          <w:sz w:val="18"/>
          <w:szCs w:val="18"/>
          <w:color w:val="auto"/>
        </w:rPr>
        <w:t>assumes no exercise by the underwriters of their option to purchase up to an additional 1,065,000 ordinary shares from us;</w:t>
      </w:r>
    </w:p>
    <w:p>
      <w:pPr>
        <w:spacing w:after="0" w:line="136" w:lineRule="exact"/>
        <w:rPr>
          <w:rFonts w:ascii="Arial" w:cs="Arial" w:eastAsia="Arial" w:hAnsi="Arial"/>
          <w:sz w:val="22"/>
          <w:szCs w:val="22"/>
          <w:color w:val="auto"/>
        </w:rPr>
      </w:pPr>
    </w:p>
    <w:p>
      <w:pPr>
        <w:ind w:left="640" w:right="839" w:hanging="209"/>
        <w:spacing w:after="0" w:line="232" w:lineRule="auto"/>
        <w:tabs>
          <w:tab w:leader="none" w:pos="614" w:val="left"/>
        </w:tabs>
        <w:numPr>
          <w:ilvl w:val="0"/>
          <w:numId w:val="8"/>
        </w:numPr>
        <w:rPr>
          <w:rFonts w:ascii="Arial" w:cs="Arial" w:eastAsia="Arial" w:hAnsi="Arial"/>
          <w:sz w:val="22"/>
          <w:szCs w:val="22"/>
          <w:color w:val="auto"/>
        </w:rPr>
      </w:pPr>
      <w:r>
        <w:rPr>
          <w:rFonts w:ascii="Arial" w:cs="Arial" w:eastAsia="Arial" w:hAnsi="Arial"/>
          <w:sz w:val="18"/>
          <w:szCs w:val="18"/>
          <w:color w:val="auto"/>
        </w:rPr>
        <w:t>gives effect to the adoption of our amended and restated articles of association prior to the closing of this offering, which will replace our articles of association currently in effect;</w:t>
      </w:r>
    </w:p>
    <w:p>
      <w:pPr>
        <w:spacing w:after="0" w:line="149" w:lineRule="exact"/>
        <w:rPr>
          <w:rFonts w:ascii="Arial" w:cs="Arial" w:eastAsia="Arial" w:hAnsi="Arial"/>
          <w:sz w:val="22"/>
          <w:szCs w:val="22"/>
          <w:color w:val="auto"/>
        </w:rPr>
      </w:pPr>
    </w:p>
    <w:p>
      <w:pPr>
        <w:ind w:left="640" w:right="219" w:hanging="209"/>
        <w:spacing w:after="0" w:line="238" w:lineRule="auto"/>
        <w:tabs>
          <w:tab w:leader="none" w:pos="614"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a 10-for-1 share split effected on May 24, 2012 by means of a share dividend of nine ordinary shares or Series A-1 preferred shares for each ordinary share or Series A-1 preferred shares, respectively, then outstanding; and</w:t>
      </w:r>
    </w:p>
    <w:p>
      <w:pPr>
        <w:spacing w:after="0" w:line="148" w:lineRule="exact"/>
        <w:rPr>
          <w:rFonts w:ascii="Arial" w:cs="Arial" w:eastAsia="Arial" w:hAnsi="Arial"/>
          <w:sz w:val="22"/>
          <w:szCs w:val="22"/>
          <w:color w:val="auto"/>
        </w:rPr>
      </w:pPr>
    </w:p>
    <w:p>
      <w:pPr>
        <w:ind w:left="640" w:right="559" w:hanging="209"/>
        <w:spacing w:after="0" w:line="232" w:lineRule="auto"/>
        <w:tabs>
          <w:tab w:leader="none" w:pos="614"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a further 1-for-6.5531 share split effected on March 17, 2015 by means of a share dividend of 5.5531 ordinary shares for each ordinary share then outstanding.</w:t>
      </w:r>
    </w:p>
    <w:p>
      <w:pPr>
        <w:sectPr>
          <w:pgSz w:w="11900" w:h="16838" w:orient="portrait"/>
          <w:cols w:equalWidth="0" w:num="1">
            <w:col w:w="9019"/>
          </w:cols>
          <w:pgMar w:left="1440" w:top="499" w:right="1440" w:bottom="1440" w:gutter="0" w:footer="0" w:header="0"/>
        </w:sect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33020</wp:posOffset>
            </wp:positionV>
            <wp:extent cx="55740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6845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8475" cy="6845300"/>
                    </a:xfrm>
                    <a:prstGeom prst="rect">
                      <a:avLst/>
                    </a:prstGeom>
                    <a:noFill/>
                  </pic:spPr>
                </pic:pic>
              </a:graphicData>
            </a:graphic>
          </wp:anchor>
        </w:drawing>
        <w:t>Summary Consolidated Financial Data</w:t>
      </w:r>
    </w:p>
    <w:p>
      <w:pPr>
        <w:spacing w:after="0" w:line="229" w:lineRule="exact"/>
        <w:rPr>
          <w:sz w:val="20"/>
          <w:szCs w:val="20"/>
          <w:color w:val="auto"/>
        </w:rPr>
      </w:pPr>
    </w:p>
    <w:p>
      <w:pPr>
        <w:ind w:left="220" w:right="239" w:firstLine="216"/>
        <w:spacing w:after="0" w:line="276" w:lineRule="auto"/>
        <w:rPr>
          <w:sz w:val="20"/>
          <w:szCs w:val="20"/>
          <w:color w:val="auto"/>
        </w:rPr>
      </w:pPr>
      <w:r>
        <w:rPr>
          <w:rFonts w:ascii="Arial" w:cs="Arial" w:eastAsia="Arial" w:hAnsi="Arial"/>
          <w:sz w:val="17"/>
          <w:szCs w:val="17"/>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73" w:lineRule="exact"/>
        <w:rPr>
          <w:sz w:val="20"/>
          <w:szCs w:val="20"/>
          <w:color w:val="auto"/>
        </w:rPr>
      </w:pPr>
    </w:p>
    <w:p>
      <w:pPr>
        <w:ind w:left="220" w:right="239" w:firstLine="216"/>
        <w:spacing w:after="0" w:line="276" w:lineRule="auto"/>
        <w:rPr>
          <w:sz w:val="20"/>
          <w:szCs w:val="20"/>
          <w:color w:val="auto"/>
        </w:rPr>
      </w:pPr>
      <w:r>
        <w:rPr>
          <w:rFonts w:ascii="Arial" w:cs="Arial" w:eastAsia="Arial" w:hAnsi="Arial"/>
          <w:sz w:val="17"/>
          <w:szCs w:val="17"/>
          <w:color w:val="auto"/>
        </w:rPr>
        <w:t>The summary consolidated statements of income data for the years ended December 31, 2012, 2013 and 2014 and summary consolidated balance sheet data as of December 31, 2014 are derived from our audited consolidated financial statements appearing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1"/>
              </w:rPr>
              <w:t>Year Ended December 31,</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Consolidated Statements of Income: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0" w:type="dxa"/>
            <w:vAlign w:val="bottom"/>
            <w:gridSpan w:val="8"/>
          </w:tcPr>
          <w:p>
            <w:pPr>
              <w:jc w:val="center"/>
              <w:ind w:right="30"/>
              <w:spacing w:after="0"/>
              <w:rPr>
                <w:sz w:val="20"/>
                <w:szCs w:val="20"/>
                <w:color w:val="auto"/>
              </w:rPr>
            </w:pPr>
            <w:r>
              <w:rPr>
                <w:rFonts w:ascii="Arial" w:cs="Arial" w:eastAsia="Arial" w:hAnsi="Arial"/>
                <w:sz w:val="16"/>
                <w:szCs w:val="16"/>
                <w:b w:val="1"/>
                <w:bCs w:val="1"/>
                <w:color w:val="auto"/>
                <w:w w:val="90"/>
              </w:rPr>
              <w:t>(in thousands, except share and per share data)</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Revenues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39,167</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49,395</w:t>
            </w:r>
          </w:p>
        </w:tc>
        <w:tc>
          <w:tcPr>
            <w:tcW w:w="320" w:type="dxa"/>
            <w:vAlign w:val="bottom"/>
          </w:tcPr>
          <w:p>
            <w:pPr>
              <w:spacing w:after="0"/>
              <w:rPr>
                <w:sz w:val="18"/>
                <w:szCs w:val="18"/>
                <w:color w:val="auto"/>
              </w:rPr>
            </w:pP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66,364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tcPr>
          <w:p>
            <w:pPr>
              <w:ind w:left="80"/>
              <w:spacing w:after="0" w:line="271" w:lineRule="exact"/>
              <w:rPr>
                <w:sz w:val="20"/>
                <w:szCs w:val="20"/>
                <w:color w:val="auto"/>
              </w:rPr>
            </w:pPr>
            <w:r>
              <w:rPr>
                <w:rFonts w:ascii="Arial" w:cs="Arial" w:eastAsia="Arial" w:hAnsi="Arial"/>
                <w:sz w:val="18"/>
                <w:szCs w:val="18"/>
                <w:color w:val="auto"/>
              </w:rPr>
              <w:t>Cost of revenues</w:t>
            </w:r>
            <w:r>
              <w:rPr>
                <w:rFonts w:ascii="Arial" w:cs="Arial" w:eastAsia="Arial" w:hAnsi="Arial"/>
                <w:sz w:val="30"/>
                <w:szCs w:val="30"/>
                <w:b w:val="1"/>
                <w:bCs w:val="1"/>
                <w:color w:val="auto"/>
                <w:vertAlign w:val="superscript"/>
              </w:rPr>
              <w:t>(1)</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ind w:left="80"/>
              <w:spacing w:after="0" w:line="195"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3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b w:val="1"/>
                <w:bCs w:val="1"/>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7,443</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9,475</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00" w:type="dxa"/>
            <w:vAlign w:val="bottom"/>
          </w:tcPr>
          <w:p>
            <w:pPr>
              <w:ind w:left="3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b w:val="1"/>
                <w:bCs w:val="1"/>
                <w:color w:val="auto"/>
                <w:vertAlign w:val="superscript"/>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7,734</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10,616</w:t>
            </w: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100" w:type="dxa"/>
            <w:vAlign w:val="bottom"/>
          </w:tcPr>
          <w:p>
            <w:pPr>
              <w:ind w:left="300"/>
              <w:spacing w:after="0" w:line="271"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30"/>
                <w:szCs w:val="30"/>
                <w:b w:val="1"/>
                <w:bCs w:val="1"/>
                <w:color w:val="auto"/>
                <w:vertAlign w:val="superscript"/>
              </w:rPr>
              <w:t>(1)</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Finance expenses, net</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tcPr>
          <w:p>
            <w:pPr>
              <w:ind w:left="80"/>
              <w:spacing w:after="0" w:line="195" w:lineRule="exact"/>
              <w:rPr>
                <w:sz w:val="20"/>
                <w:szCs w:val="20"/>
                <w:color w:val="auto"/>
              </w:rPr>
            </w:pPr>
            <w:r>
              <w:rPr>
                <w:rFonts w:ascii="Arial" w:cs="Arial" w:eastAsia="Arial" w:hAnsi="Arial"/>
                <w:sz w:val="18"/>
                <w:szCs w:val="18"/>
                <w:color w:val="auto"/>
              </w:rPr>
              <w:t>Income before taxes on income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3,542</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2,527</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3,805</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249" w:lineRule="exact"/>
              <w:rPr>
                <w:sz w:val="20"/>
                <w:szCs w:val="20"/>
                <w:color w:val="auto"/>
              </w:rPr>
            </w:pPr>
            <w:r>
              <w:rPr>
                <w:rFonts w:ascii="Arial" w:cs="Arial" w:eastAsia="Arial" w:hAnsi="Arial"/>
                <w:sz w:val="17"/>
                <w:szCs w:val="17"/>
                <w:color w:val="auto"/>
              </w:rPr>
              <w:t>Net earnings per ordinary share</w:t>
            </w:r>
            <w:r>
              <w:rPr>
                <w:rFonts w:ascii="Arial" w:cs="Arial" w:eastAsia="Arial" w:hAnsi="Arial"/>
                <w:sz w:val="28"/>
                <w:szCs w:val="28"/>
                <w:b w:val="1"/>
                <w:bCs w:val="1"/>
                <w:color w:val="auto"/>
                <w:vertAlign w:val="superscript"/>
              </w:rPr>
              <w:t>(2)</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vMerge w:val="continue"/>
          </w:tcPr>
          <w:p>
            <w:pPr>
              <w:spacing w:after="0"/>
              <w:rPr>
                <w:sz w:val="18"/>
                <w:szCs w:val="18"/>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60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320" w:type="dxa"/>
            <w:vAlign w:val="bottom"/>
          </w:tcPr>
          <w:p>
            <w:pPr>
              <w:spacing w:after="0"/>
              <w:rPr>
                <w:sz w:val="18"/>
                <w:szCs w:val="18"/>
                <w:color w:val="auto"/>
              </w:rPr>
            </w:pP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2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3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195" w:lineRule="exact"/>
              <w:rPr>
                <w:sz w:val="20"/>
                <w:szCs w:val="20"/>
                <w:color w:val="auto"/>
              </w:rPr>
            </w:pPr>
            <w:r>
              <w:rPr>
                <w:rFonts w:ascii="Arial" w:cs="Arial" w:eastAsia="Arial" w:hAnsi="Arial"/>
                <w:sz w:val="18"/>
                <w:szCs w:val="18"/>
                <w:color w:val="auto"/>
                <w:w w:val="94"/>
              </w:rPr>
              <w:t>Weighted average number of ordinary shares used in</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300"/>
              <w:spacing w:after="0" w:line="271"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b w:val="1"/>
                <w:bCs w:val="1"/>
                <w:color w:val="auto"/>
                <w:vertAlign w:val="superscript"/>
              </w:rPr>
              <w:t>(2)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8,953,565</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8,953,565</w:t>
            </w: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8,969,588</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9,649,573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9,880,049</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10,446,353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249" w:lineRule="exact"/>
              <w:rPr>
                <w:sz w:val="20"/>
                <w:szCs w:val="20"/>
                <w:color w:val="auto"/>
              </w:rPr>
            </w:pPr>
            <w:r>
              <w:rPr>
                <w:rFonts w:ascii="Arial" w:cs="Arial" w:eastAsia="Arial" w:hAnsi="Arial"/>
                <w:sz w:val="17"/>
                <w:szCs w:val="17"/>
                <w:color w:val="auto"/>
              </w:rPr>
              <w:t>Pro forma net earnings per ordinary share</w:t>
            </w:r>
            <w:r>
              <w:rPr>
                <w:rFonts w:ascii="Arial" w:cs="Arial" w:eastAsia="Arial" w:hAnsi="Arial"/>
                <w:sz w:val="28"/>
                <w:szCs w:val="28"/>
                <w:b w:val="1"/>
                <w:bCs w:val="1"/>
                <w:color w:val="auto"/>
                <w:vertAlign w:val="superscript"/>
              </w:rPr>
              <w:t>(3)</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gridSpan w:val="2"/>
            <w:vMerge w:val="restart"/>
          </w:tcPr>
          <w:p>
            <w:pPr>
              <w:jc w:val="right"/>
              <w:ind w:right="110"/>
              <w:spacing w:after="0"/>
              <w:rPr>
                <w:sz w:val="20"/>
                <w:szCs w:val="20"/>
                <w:color w:val="auto"/>
              </w:rPr>
            </w:pPr>
            <w:r>
              <w:rPr>
                <w:rFonts w:ascii="Arial" w:cs="Arial" w:eastAsia="Arial" w:hAnsi="Arial"/>
                <w:sz w:val="15"/>
                <w:szCs w:val="15"/>
                <w:color w:val="auto"/>
                <w:w w:val="71"/>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gridSpan w:val="2"/>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vMerge w:val="restart"/>
          </w:tcPr>
          <w:p>
            <w:pPr>
              <w:ind w:left="80"/>
              <w:spacing w:after="0" w:line="195" w:lineRule="exact"/>
              <w:rPr>
                <w:sz w:val="20"/>
                <w:szCs w:val="20"/>
                <w:color w:val="auto"/>
              </w:rPr>
            </w:pPr>
            <w:r>
              <w:rPr>
                <w:rFonts w:ascii="Arial" w:cs="Arial" w:eastAsia="Arial" w:hAnsi="Arial"/>
                <w:sz w:val="18"/>
                <w:szCs w:val="18"/>
                <w:color w:val="auto"/>
                <w:w w:val="94"/>
              </w:rPr>
              <w:t>Weighted average number of ordinary shares used in</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41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00" w:type="dxa"/>
            <w:vAlign w:val="bottom"/>
          </w:tcPr>
          <w:p>
            <w:pPr>
              <w:ind w:left="300"/>
              <w:spacing w:after="0" w:line="271" w:lineRule="exact"/>
              <w:rPr>
                <w:sz w:val="20"/>
                <w:szCs w:val="20"/>
                <w:color w:val="auto"/>
              </w:rPr>
            </w:pPr>
            <w:r>
              <w:rPr>
                <w:rFonts w:ascii="Arial" w:cs="Arial" w:eastAsia="Arial" w:hAnsi="Arial"/>
                <w:sz w:val="18"/>
                <w:szCs w:val="18"/>
                <w:color w:val="auto"/>
                <w:w w:val="92"/>
              </w:rPr>
              <w:t>computing pro forma income per ordinary share</w:t>
            </w:r>
            <w:r>
              <w:rPr>
                <w:rFonts w:ascii="Arial" w:cs="Arial" w:eastAsia="Arial" w:hAnsi="Arial"/>
                <w:sz w:val="30"/>
                <w:szCs w:val="30"/>
                <w:b w:val="1"/>
                <w:bCs w:val="1"/>
                <w:color w:val="auto"/>
                <w:w w:val="92"/>
                <w:vertAlign w:val="superscript"/>
              </w:rPr>
              <w:t>(3)</w:t>
            </w:r>
            <w:r>
              <w:rPr>
                <w:rFonts w:ascii="Arial" w:cs="Arial" w:eastAsia="Arial" w:hAnsi="Arial"/>
                <w:sz w:val="18"/>
                <w:szCs w:val="18"/>
                <w:color w:val="auto"/>
                <w:w w:val="92"/>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21,598,329</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0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vMerge w:val="restart"/>
          </w:tcPr>
          <w:p>
            <w:pPr>
              <w:ind w:left="30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23,075,094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color w:val="auto"/>
                <w:w w:val="76"/>
              </w:rPr>
              <w:t>6</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24" w:right="1440"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7154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78475" cy="715454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As of December 31, 2014</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1"/>
              </w:rPr>
              <w:t>Pro forma as</w:t>
            </w: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32"/>
              <w:spacing w:after="0" w:line="255" w:lineRule="exact"/>
              <w:rPr>
                <w:sz w:val="20"/>
                <w:szCs w:val="20"/>
                <w:color w:val="auto"/>
              </w:rPr>
            </w:pPr>
            <w:r>
              <w:rPr>
                <w:rFonts w:ascii="Arial" w:cs="Arial" w:eastAsia="Arial" w:hAnsi="Arial"/>
                <w:sz w:val="16"/>
                <w:szCs w:val="16"/>
                <w:b w:val="1"/>
                <w:bCs w:val="1"/>
                <w:color w:val="auto"/>
                <w:w w:val="98"/>
              </w:rPr>
              <w:t>Actual</w:t>
            </w:r>
            <w:r>
              <w:rPr>
                <w:rFonts w:ascii="Arial" w:cs="Arial" w:eastAsia="Arial" w:hAnsi="Arial"/>
                <w:sz w:val="27"/>
                <w:szCs w:val="27"/>
                <w:b w:val="1"/>
                <w:bCs w:val="1"/>
                <w:color w:val="auto"/>
                <w:w w:val="98"/>
                <w:vertAlign w:val="superscript"/>
              </w:rPr>
              <w:t>(4)</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72"/>
              <w:spacing w:after="0" w:line="255" w:lineRule="exact"/>
              <w:rPr>
                <w:sz w:val="20"/>
                <w:szCs w:val="20"/>
                <w:color w:val="auto"/>
              </w:rPr>
            </w:pPr>
            <w:r>
              <w:rPr>
                <w:rFonts w:ascii="Arial" w:cs="Arial" w:eastAsia="Arial" w:hAnsi="Arial"/>
                <w:sz w:val="16"/>
                <w:szCs w:val="16"/>
                <w:b w:val="1"/>
                <w:bCs w:val="1"/>
                <w:color w:val="auto"/>
                <w:w w:val="90"/>
              </w:rPr>
              <w:t>Pro forma</w:t>
            </w:r>
            <w:r>
              <w:rPr>
                <w:rFonts w:ascii="Arial" w:cs="Arial" w:eastAsia="Arial" w:hAnsi="Arial"/>
                <w:sz w:val="27"/>
                <w:szCs w:val="27"/>
                <w:b w:val="1"/>
                <w:bCs w:val="1"/>
                <w:color w:val="auto"/>
                <w:w w:val="90"/>
                <w:vertAlign w:val="superscript"/>
              </w:rPr>
              <w:t>(5)</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3"/>
              <w:spacing w:after="0" w:line="255" w:lineRule="exact"/>
              <w:rPr>
                <w:sz w:val="20"/>
                <w:szCs w:val="20"/>
                <w:color w:val="auto"/>
              </w:rPr>
            </w:pPr>
            <w:r>
              <w:rPr>
                <w:rFonts w:ascii="Arial" w:cs="Arial" w:eastAsia="Arial" w:hAnsi="Arial"/>
                <w:sz w:val="16"/>
                <w:szCs w:val="16"/>
                <w:b w:val="1"/>
                <w:bCs w:val="1"/>
                <w:color w:val="auto"/>
                <w:w w:val="84"/>
              </w:rPr>
              <w:t>adjusted</w:t>
            </w:r>
            <w:r>
              <w:rPr>
                <w:rFonts w:ascii="Arial" w:cs="Arial" w:eastAsia="Arial" w:hAnsi="Arial"/>
                <w:sz w:val="27"/>
                <w:szCs w:val="27"/>
                <w:b w:val="1"/>
                <w:bCs w:val="1"/>
                <w:color w:val="auto"/>
                <w:w w:val="84"/>
                <w:vertAlign w:val="superscript"/>
              </w:rPr>
              <w:t>(5)</w:t>
            </w:r>
          </w:p>
        </w:tc>
        <w:tc>
          <w:tcPr>
            <w:tcW w:w="0" w:type="dxa"/>
            <w:vAlign w:val="bottom"/>
          </w:tcPr>
          <w:p>
            <w:pPr>
              <w:spacing w:after="0"/>
              <w:rPr>
                <w:sz w:val="1"/>
                <w:szCs w:val="1"/>
                <w:color w:val="auto"/>
              </w:rPr>
            </w:pPr>
          </w:p>
        </w:tc>
      </w:tr>
      <w:tr>
        <w:trPr>
          <w:trHeight w:val="204"/>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6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4,993</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4,993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68,184</w:t>
            </w:r>
          </w:p>
        </w:tc>
        <w:tc>
          <w:tcPr>
            <w:tcW w:w="0" w:type="dxa"/>
            <w:vAlign w:val="bottom"/>
          </w:tcPr>
          <w:p>
            <w:pPr>
              <w:spacing w:after="0"/>
              <w:rPr>
                <w:sz w:val="1"/>
                <w:szCs w:val="1"/>
                <w:color w:val="auto"/>
              </w:rPr>
            </w:pPr>
          </w:p>
        </w:tc>
      </w:tr>
      <w:tr>
        <w:trPr>
          <w:trHeight w:val="253"/>
        </w:trPr>
        <w:tc>
          <w:tcPr>
            <w:tcW w:w="3360" w:type="dxa"/>
            <w:vAlign w:val="bottom"/>
          </w:tcPr>
          <w:p>
            <w:pPr>
              <w:spacing w:after="0" w:line="253"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(6)</w:t>
            </w: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15,186</w:t>
            </w:r>
          </w:p>
        </w:tc>
        <w:tc>
          <w:tcPr>
            <w:tcW w:w="480" w:type="dxa"/>
            <w:vAlign w:val="bottom"/>
          </w:tcPr>
          <w:p>
            <w:pPr>
              <w:spacing w:after="0"/>
              <w:rPr>
                <w:sz w:val="21"/>
                <w:szCs w:val="21"/>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15,186</w:t>
            </w: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78,377</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assets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34,714</w:t>
            </w:r>
          </w:p>
        </w:tc>
        <w:tc>
          <w:tcPr>
            <w:tcW w:w="480" w:type="dxa"/>
            <w:vAlign w:val="bottom"/>
          </w:tcPr>
          <w:p>
            <w:pPr>
              <w:spacing w:after="0"/>
              <w:rPr>
                <w:sz w:val="18"/>
                <w:szCs w:val="18"/>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34,714</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97,905</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2,025</w:t>
            </w:r>
          </w:p>
        </w:tc>
        <w:tc>
          <w:tcPr>
            <w:tcW w:w="480" w:type="dxa"/>
            <w:vAlign w:val="bottom"/>
          </w:tcPr>
          <w:p>
            <w:pPr>
              <w:spacing w:after="0"/>
              <w:rPr>
                <w:sz w:val="18"/>
                <w:szCs w:val="18"/>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2,025</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19,351</w:t>
            </w:r>
          </w:p>
        </w:tc>
        <w:tc>
          <w:tcPr>
            <w:tcW w:w="480" w:type="dxa"/>
            <w:vAlign w:val="bottom"/>
          </w:tcPr>
          <w:p>
            <w:pPr>
              <w:spacing w:after="0"/>
              <w:rPr>
                <w:sz w:val="20"/>
                <w:szCs w:val="20"/>
                <w:color w:val="auto"/>
              </w:rPr>
            </w:pP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19,351</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82,542</w:t>
            </w:r>
          </w:p>
        </w:tc>
        <w:tc>
          <w:tcPr>
            <w:tcW w:w="0" w:type="dxa"/>
            <w:vAlign w:val="bottom"/>
          </w:tcPr>
          <w:p>
            <w:pPr>
              <w:spacing w:after="0"/>
              <w:rPr>
                <w:sz w:val="1"/>
                <w:szCs w:val="1"/>
                <w:color w:val="auto"/>
              </w:rPr>
            </w:pPr>
          </w:p>
        </w:tc>
      </w:tr>
      <w:tr>
        <w:trPr>
          <w:trHeight w:val="578"/>
        </w:trPr>
        <w:tc>
          <w:tcPr>
            <w:tcW w:w="3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0" w:type="dxa"/>
            <w:vAlign w:val="bottom"/>
          </w:tcPr>
          <w:p>
            <w:pPr>
              <w:spacing w:after="0"/>
              <w:rPr>
                <w:sz w:val="1"/>
                <w:szCs w:val="1"/>
                <w:color w:val="auto"/>
              </w:rPr>
            </w:pPr>
          </w:p>
        </w:tc>
      </w:tr>
      <w:tr>
        <w:trPr>
          <w:trHeight w:val="204"/>
        </w:trPr>
        <w:tc>
          <w:tcPr>
            <w:tcW w:w="3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Financial Data:</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(in thousands)</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360" w:type="dxa"/>
            <w:vAlign w:val="bottom"/>
          </w:tcPr>
          <w:p>
            <w:pPr>
              <w:spacing w:after="0" w:line="246"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(7)</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4,690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92"/>
              <w:spacing w:after="0"/>
              <w:rPr>
                <w:sz w:val="20"/>
                <w:szCs w:val="20"/>
                <w:color w:val="auto"/>
              </w:rPr>
            </w:pPr>
            <w:r>
              <w:rPr>
                <w:rFonts w:ascii="Arial" w:cs="Arial" w:eastAsia="Arial" w:hAnsi="Arial"/>
                <w:sz w:val="18"/>
                <w:szCs w:val="18"/>
                <w:color w:val="auto"/>
              </w:rPr>
              <w:t>4,281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______________</w:t>
            </w: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20"/>
        <w:spacing w:after="0"/>
        <w:rPr>
          <w:sz w:val="20"/>
          <w:szCs w:val="20"/>
          <w:color w:val="auto"/>
        </w:rPr>
      </w:pPr>
      <w:r>
        <w:rPr>
          <w:rFonts w:ascii="Arial" w:cs="Arial" w:eastAsia="Arial" w:hAnsi="Arial"/>
          <w:sz w:val="18"/>
          <w:szCs w:val="18"/>
          <w:color w:val="auto"/>
        </w:rPr>
        <w:t>(1) Includes share-based compensation expense as follows:</w:t>
      </w:r>
    </w:p>
    <w:p>
      <w:pPr>
        <w:spacing w:after="0" w:line="5" w:lineRule="exact"/>
        <w:rPr>
          <w:sz w:val="20"/>
          <w:szCs w:val="20"/>
          <w:color w:val="auto"/>
        </w:rPr>
      </w:pPr>
    </w:p>
    <w:tbl>
      <w:tblPr>
        <w:tblLayout w:type="fixed"/>
        <w:tblInd w:w="220" w:type="dxa"/>
        <w:tblCellMar>
          <w:top w:w="0" w:type="dxa"/>
          <w:left w:w="0" w:type="dxa"/>
          <w:bottom w:w="0" w:type="dxa"/>
          <w:right w:w="0" w:type="dxa"/>
        </w:tblCellMar>
      </w:tblPr>
      <w:tr>
        <w:trPr>
          <w:trHeight w:val="205"/>
        </w:trPr>
        <w:tc>
          <w:tcPr>
            <w:tcW w:w="3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1"/>
              </w:rPr>
              <w:t>Year Ended December 31,</w:t>
            </w: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90"/>
              </w:rPr>
              <w:t>(in thousands)</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1500" w:type="dxa"/>
            <w:vAlign w:val="bottom"/>
            <w:gridSpan w:val="2"/>
          </w:tcPr>
          <w:p>
            <w:pPr>
              <w:jc w:val="right"/>
              <w:ind w:right="74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00" w:type="dxa"/>
            <w:vAlign w:val="bottom"/>
          </w:tcPr>
          <w:p>
            <w:pPr>
              <w:spacing w:after="0"/>
              <w:rPr>
                <w:sz w:val="18"/>
                <w:szCs w:val="18"/>
                <w:color w:val="auto"/>
              </w:rPr>
            </w:pPr>
          </w:p>
        </w:tc>
        <w:tc>
          <w:tcPr>
            <w:tcW w:w="900" w:type="dxa"/>
            <w:vAlign w:val="bottom"/>
            <w:tcBorders>
              <w:bottom w:val="single" w:sz="8" w:color="auto"/>
            </w:tcBorders>
          </w:tcPr>
          <w:p>
            <w:pPr>
              <w:jc w:val="right"/>
              <w:ind w:right="742"/>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540" w:right="339" w:hanging="280"/>
        <w:spacing w:after="0" w:line="286" w:lineRule="auto"/>
        <w:tabs>
          <w:tab w:leader="none" w:pos="516" w:val="left"/>
        </w:tabs>
        <w:numPr>
          <w:ilvl w:val="1"/>
          <w:numId w:val="9"/>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notes 2v and 10 to our consolidated financial statements included elsewhere in this prospectus.</w:t>
      </w:r>
    </w:p>
    <w:p>
      <w:pPr>
        <w:spacing w:after="0" w:line="165" w:lineRule="exact"/>
        <w:rPr>
          <w:rFonts w:ascii="Arial" w:cs="Arial" w:eastAsia="Arial" w:hAnsi="Arial"/>
          <w:sz w:val="17"/>
          <w:szCs w:val="17"/>
          <w:color w:val="auto"/>
        </w:rPr>
      </w:pPr>
    </w:p>
    <w:p>
      <w:pPr>
        <w:ind w:left="540" w:right="219" w:hanging="325"/>
        <w:spacing w:after="0" w:line="276"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basic and diluted net earnings per ordinary share and pro forma weighted average shares outstanding assumes the conversion of all of our outstanding Series A-1 preferred shares into ordinary shares, which will occur upon the closing of this offering, but does not give effect to the issuance of ordinary shares in connection with this offering. For additional information on the conversion of the Series A-1 preferred shares, see note 2c to our consolidated financial statements included elsewhere in this prospectus.</w:t>
      </w:r>
    </w:p>
    <w:p>
      <w:pPr>
        <w:spacing w:after="0" w:line="172" w:lineRule="exact"/>
        <w:rPr>
          <w:rFonts w:ascii="Arial" w:cs="Arial" w:eastAsia="Arial" w:hAnsi="Arial"/>
          <w:sz w:val="17"/>
          <w:szCs w:val="17"/>
          <w:color w:val="auto"/>
        </w:rPr>
      </w:pPr>
    </w:p>
    <w:p>
      <w:pPr>
        <w:ind w:left="560" w:hanging="345"/>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Reflects the payment of $0.7 million of expenses related to this offering through December 31, 2014.</w:t>
      </w:r>
    </w:p>
    <w:p>
      <w:pPr>
        <w:spacing w:after="0" w:line="225" w:lineRule="exact"/>
        <w:rPr>
          <w:rFonts w:ascii="Arial" w:cs="Arial" w:eastAsia="Arial" w:hAnsi="Arial"/>
          <w:sz w:val="18"/>
          <w:szCs w:val="18"/>
          <w:color w:val="auto"/>
        </w:rPr>
      </w:pPr>
    </w:p>
    <w:p>
      <w:pPr>
        <w:ind w:left="540" w:right="239" w:hanging="325"/>
        <w:spacing w:after="0" w:line="291"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 forma gives effect to the conversion into ordinary shares of all of our outstanding Series A-1 preferred shares. Pro forma as adjusted gives effect to (a) the same item as "pro forma," (b) the issuance and sale of 7,100,000 ordinary shares in this offering at the initial public offering price of $10.00 per ordinary share, after deducting underwriting discounts and commissions and estimated offering expenses payable by us, (c) a one-time payment in the aggregate amount of $750,000 to our sponsor, Fortissimo Capital, in connection with the termination of our existing management services agreement with them and (d) the payment of $250,000 in the aggregate to certain of our employees, including some of our executive officers, for their contribution to completing this offering.</w:t>
      </w:r>
    </w:p>
    <w:p>
      <w:pPr>
        <w:spacing w:after="0" w:line="167" w:lineRule="exact"/>
        <w:rPr>
          <w:rFonts w:ascii="Arial" w:cs="Arial" w:eastAsia="Arial" w:hAnsi="Arial"/>
          <w:sz w:val="16"/>
          <w:szCs w:val="16"/>
          <w:color w:val="auto"/>
        </w:rPr>
      </w:pPr>
    </w:p>
    <w:p>
      <w:pPr>
        <w:ind w:left="540" w:hanging="325"/>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0" w:name="page11"/>
    <w:bookmarkEnd w:id="10"/>
    <w:p>
      <w:pPr>
        <w:ind w:left="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88900</wp:posOffset>
            </wp:positionV>
            <wp:extent cx="5578475" cy="5833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8475" cy="5833745"/>
                    </a:xfrm>
                    <a:prstGeom prst="rect">
                      <a:avLst/>
                    </a:prstGeom>
                    <a:noFill/>
                  </pic:spPr>
                </pic:pic>
              </a:graphicData>
            </a:graphic>
          </wp:anchor>
        </w:drawing>
        <w:t>(7) The following table reconciles net income to Adjusted EBITDA for the periods presented:</w:t>
      </w:r>
    </w:p>
    <w:p>
      <w:pPr>
        <w:spacing w:after="0" w:line="172"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Adjusted</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0"/>
              </w:rPr>
              <w:t>(in thousands)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2,314</w:t>
            </w:r>
          </w:p>
        </w:tc>
        <w:tc>
          <w:tcPr>
            <w:tcW w:w="60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1,134</w:t>
            </w:r>
          </w:p>
        </w:tc>
        <w:tc>
          <w:tcPr>
            <w:tcW w:w="280" w:type="dxa"/>
            <w:vAlign w:val="bottom"/>
          </w:tcPr>
          <w:p>
            <w:pPr>
              <w:spacing w:after="0"/>
              <w:rPr>
                <w:sz w:val="20"/>
                <w:szCs w:val="20"/>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color w:val="auto"/>
              </w:rPr>
              <w:t>Finance expenses, net</w:t>
            </w:r>
          </w:p>
        </w:tc>
        <w:tc>
          <w:tcPr>
            <w:tcW w:w="5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285</w:t>
            </w:r>
          </w:p>
        </w:tc>
        <w:tc>
          <w:tcPr>
            <w:tcW w:w="3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460</w:t>
            </w: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Taxes on income</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4"/>
        </w:trPr>
        <w:tc>
          <w:tcPr>
            <w:tcW w:w="3640" w:type="dxa"/>
            <w:vAlign w:val="bottom"/>
          </w:tcPr>
          <w:p>
            <w:pPr>
              <w:spacing w:after="0"/>
              <w:rPr>
                <w:sz w:val="20"/>
                <w:szCs w:val="20"/>
                <w:color w:val="auto"/>
              </w:rPr>
            </w:pPr>
            <w:r>
              <w:rPr>
                <w:rFonts w:ascii="Arial" w:cs="Arial" w:eastAsia="Arial" w:hAnsi="Arial"/>
                <w:sz w:val="18"/>
                <w:szCs w:val="18"/>
                <w:color w:val="auto"/>
              </w:rPr>
              <w:t>Adjusted EBITDA</w:t>
            </w:r>
          </w:p>
        </w:tc>
        <w:tc>
          <w:tcPr>
            <w:tcW w:w="500" w:type="dxa"/>
            <w:vAlign w:val="bottom"/>
          </w:tcPr>
          <w:p>
            <w:pPr>
              <w:spacing w:after="0"/>
              <w:rPr>
                <w:sz w:val="19"/>
                <w:szCs w:val="19"/>
                <w:color w:val="auto"/>
              </w:rPr>
            </w:pPr>
          </w:p>
        </w:tc>
        <w:tc>
          <w:tcPr>
            <w:tcW w:w="780" w:type="dxa"/>
            <w:vAlign w:val="bottom"/>
          </w:tcPr>
          <w:p>
            <w:pPr>
              <w:jc w:val="right"/>
              <w:ind w:right="62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4,690</w:t>
            </w:r>
          </w:p>
        </w:tc>
        <w:tc>
          <w:tcPr>
            <w:tcW w:w="3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4,281</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220" w:right="27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640" w:right="679" w:hanging="209"/>
        <w:spacing w:after="0" w:line="232" w:lineRule="auto"/>
        <w:tabs>
          <w:tab w:leader="none" w:pos="614" w:val="left"/>
        </w:tabs>
        <w:numPr>
          <w:ilvl w:val="0"/>
          <w:numId w:val="11"/>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206" w:lineRule="exact"/>
        <w:rPr>
          <w:rFonts w:ascii="Arial" w:cs="Arial" w:eastAsia="Arial" w:hAnsi="Arial"/>
          <w:sz w:val="22"/>
          <w:szCs w:val="22"/>
          <w:color w:val="auto"/>
        </w:rPr>
      </w:pPr>
    </w:p>
    <w:p>
      <w:pPr>
        <w:ind w:left="620" w:hanging="189"/>
        <w:spacing w:after="0"/>
        <w:tabs>
          <w:tab w:leader="none" w:pos="620" w:val="left"/>
        </w:tabs>
        <w:numPr>
          <w:ilvl w:val="0"/>
          <w:numId w:val="11"/>
        </w:numPr>
        <w:rPr>
          <w:rFonts w:ascii="Arial" w:cs="Arial" w:eastAsia="Arial" w:hAnsi="Arial"/>
          <w:sz w:val="21"/>
          <w:szCs w:val="21"/>
          <w:color w:val="auto"/>
        </w:rPr>
      </w:pPr>
      <w:r>
        <w:rPr>
          <w:rFonts w:ascii="Arial" w:cs="Arial" w:eastAsia="Arial" w:hAnsi="Arial"/>
          <w:sz w:val="17"/>
          <w:szCs w:val="17"/>
          <w:color w:val="auto"/>
        </w:rPr>
        <w:t>Adjusted EBITDA does not reflect changes in, or cash requirements for, our working capital needs; and</w:t>
      </w:r>
    </w:p>
    <w:p>
      <w:pPr>
        <w:spacing w:after="0" w:line="215" w:lineRule="exact"/>
        <w:rPr>
          <w:rFonts w:ascii="Arial" w:cs="Arial" w:eastAsia="Arial" w:hAnsi="Arial"/>
          <w:sz w:val="21"/>
          <w:szCs w:val="21"/>
          <w:color w:val="auto"/>
        </w:rPr>
      </w:pPr>
    </w:p>
    <w:p>
      <w:pPr>
        <w:ind w:left="640" w:right="559" w:hanging="209"/>
        <w:spacing w:after="0" w:line="251" w:lineRule="auto"/>
        <w:tabs>
          <w:tab w:leader="none" w:pos="614" w:val="left"/>
        </w:tabs>
        <w:numPr>
          <w:ilvl w:val="0"/>
          <w:numId w:val="11"/>
        </w:numPr>
        <w:rPr>
          <w:rFonts w:ascii="Arial" w:cs="Arial" w:eastAsia="Arial" w:hAnsi="Arial"/>
          <w:sz w:val="21"/>
          <w:szCs w:val="21"/>
          <w:color w:val="auto"/>
        </w:rPr>
      </w:pPr>
      <w:r>
        <w:rPr>
          <w:rFonts w:ascii="Arial" w:cs="Arial" w:eastAsia="Arial" w:hAnsi="Arial"/>
          <w:sz w:val="17"/>
          <w:szCs w:val="17"/>
          <w:color w:val="auto"/>
        </w:rPr>
        <w:t>Although depreciation is a non-cash charge, the assets being depreciated will often have to be replaced in the future, and Adjusted EBITDA does not reflect any cash requirements for such replacements.</w:t>
      </w:r>
    </w:p>
    <w:p>
      <w:pPr>
        <w:spacing w:after="0" w:line="191" w:lineRule="exact"/>
        <w:rPr>
          <w:sz w:val="20"/>
          <w:szCs w:val="20"/>
          <w:color w:val="auto"/>
        </w:rPr>
      </w:pPr>
    </w:p>
    <w:p>
      <w:pPr>
        <w:ind w:left="220" w:right="23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dollar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120" w:right="71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0" w:lineRule="exact"/>
        <w:rPr>
          <w:sz w:val="20"/>
          <w:szCs w:val="20"/>
          <w:color w:val="auto"/>
        </w:rPr>
      </w:pPr>
    </w:p>
    <w:p>
      <w:pPr>
        <w:ind w:left="120" w:right="109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89"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revenues and demand for our solutions to decline.</w:t>
      </w:r>
    </w:p>
    <w:p>
      <w:pPr>
        <w:spacing w:after="0" w:line="237"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120" w:right="219"/>
        <w:spacing w:after="0" w:line="271" w:lineRule="auto"/>
        <w:rPr>
          <w:sz w:val="20"/>
          <w:szCs w:val="20"/>
          <w:color w:val="auto"/>
        </w:rPr>
      </w:pPr>
      <w:r>
        <w:rPr>
          <w:rFonts w:ascii="Arial" w:cs="Arial" w:eastAsia="Arial" w:hAnsi="Arial"/>
          <w:sz w:val="17"/>
          <w:szCs w:val="17"/>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79" w:lineRule="exact"/>
        <w:rPr>
          <w:sz w:val="20"/>
          <w:szCs w:val="20"/>
          <w:color w:val="auto"/>
        </w:rPr>
      </w:pPr>
    </w:p>
    <w:p>
      <w:pPr>
        <w:ind w:left="120" w:right="279"/>
        <w:spacing w:after="0" w:line="342" w:lineRule="auto"/>
        <w:rPr>
          <w:sz w:val="20"/>
          <w:szCs w:val="20"/>
          <w:color w:val="auto"/>
        </w:rPr>
      </w:pPr>
      <w:r>
        <w:rPr>
          <w:rFonts w:ascii="Arial" w:cs="Arial" w:eastAsia="Arial" w:hAnsi="Arial"/>
          <w:sz w:val="16"/>
          <w:szCs w:val="16"/>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24"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We are subject to revenue concentration with respect to two of our independent distributors. In 2013 and 2014, Hirsch International Corporation and SPSI, Inc., both distributors in the United States, accounted for 20% and 25% of our revenues in each such period, respectively, in the case of Hirsch, and 13% and 15%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185"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170"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6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78"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120" w:right="239"/>
        <w:spacing w:after="0" w:line="259" w:lineRule="auto"/>
        <w:rPr>
          <w:sz w:val="20"/>
          <w:szCs w:val="20"/>
          <w:color w:val="auto"/>
        </w:rPr>
      </w:pPr>
      <w:r>
        <w:rPr>
          <w:rFonts w:ascii="Arial" w:cs="Arial" w:eastAsia="Arial" w:hAnsi="Arial"/>
          <w:sz w:val="18"/>
          <w:szCs w:val="18"/>
          <w:color w:val="auto"/>
        </w:rPr>
        <w:t>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79" w:lineRule="exact"/>
        <w:rPr>
          <w:sz w:val="20"/>
          <w:szCs w:val="20"/>
          <w:color w:val="auto"/>
        </w:rPr>
      </w:pPr>
    </w:p>
    <w:p>
      <w:pPr>
        <w:ind w:left="120" w:right="59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17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146" w:lineRule="exact"/>
        <w:rPr>
          <w:sz w:val="20"/>
          <w:szCs w:val="20"/>
          <w:color w:val="auto"/>
        </w:rPr>
      </w:pPr>
    </w:p>
    <w:p>
      <w:pPr>
        <w:ind w:left="560" w:right="119" w:hanging="219"/>
        <w:spacing w:after="0" w:line="282" w:lineRule="auto"/>
        <w:tabs>
          <w:tab w:leader="none" w:pos="534" w:val="left"/>
        </w:tabs>
        <w:numPr>
          <w:ilvl w:val="0"/>
          <w:numId w:val="12"/>
        </w:numPr>
        <w:rPr>
          <w:rFonts w:ascii="Arial" w:cs="Arial" w:eastAsia="Arial" w:hAnsi="Arial"/>
          <w:sz w:val="19"/>
          <w:szCs w:val="19"/>
          <w:color w:val="auto"/>
        </w:rPr>
      </w:pPr>
      <w:r>
        <w:rPr>
          <w:rFonts w:ascii="Arial" w:cs="Arial" w:eastAsia="Arial" w:hAnsi="Arial"/>
          <w:sz w:val="16"/>
          <w:szCs w:val="16"/>
          <w:color w:val="auto"/>
        </w:rPr>
        <w:t>The print heads for our systems are supplied by a sole supplier, FujiFilm Dimatix, Inc., or FDMX. We entered into an agreement with FDMX in 2006, pursuant to which FDMX sells us certain off-the-shelf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The agreement provides that beginning with the start of the first one-year renewal period, FDMX may increase the prices of the products that we purchase from it upon 90-days’ prior notice. We have entered into new pricing terms with FDMX on an annual basis which have constituted a new agreement starting a new initial term. Our current agreement terminates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88" w:lineRule="exact"/>
        <w:rPr>
          <w:rFonts w:ascii="Arial" w:cs="Arial" w:eastAsia="Arial" w:hAnsi="Arial"/>
          <w:sz w:val="19"/>
          <w:szCs w:val="19"/>
          <w:color w:val="auto"/>
        </w:rPr>
      </w:pPr>
    </w:p>
    <w:p>
      <w:pPr>
        <w:ind w:left="560" w:right="659" w:hanging="219"/>
        <w:spacing w:after="0" w:line="232" w:lineRule="auto"/>
        <w:tabs>
          <w:tab w:leader="none" w:pos="534"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36"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The loss of either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158" w:lineRule="exact"/>
        <w:rPr>
          <w:sz w:val="20"/>
          <w:szCs w:val="20"/>
          <w:color w:val="auto"/>
        </w:rPr>
      </w:pPr>
    </w:p>
    <w:p>
      <w:pPr>
        <w:ind w:left="560" w:right="679" w:hanging="219"/>
        <w:spacing w:after="0" w:line="232" w:lineRule="auto"/>
        <w:tabs>
          <w:tab w:leader="none" w:pos="534" w:val="left"/>
        </w:tabs>
        <w:numPr>
          <w:ilvl w:val="0"/>
          <w:numId w:val="13"/>
        </w:numPr>
        <w:rPr>
          <w:rFonts w:ascii="Arial" w:cs="Arial" w:eastAsia="Arial" w:hAnsi="Arial"/>
          <w:sz w:val="22"/>
          <w:szCs w:val="22"/>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w:t>
      </w:r>
    </w:p>
    <w:p>
      <w:pPr>
        <w:spacing w:after="0" w:line="149" w:lineRule="exact"/>
        <w:rPr>
          <w:rFonts w:ascii="Arial" w:cs="Arial" w:eastAsia="Arial" w:hAnsi="Arial"/>
          <w:sz w:val="22"/>
          <w:szCs w:val="22"/>
          <w:color w:val="auto"/>
        </w:rPr>
      </w:pPr>
    </w:p>
    <w:p>
      <w:pPr>
        <w:ind w:left="560" w:right="199" w:hanging="219"/>
        <w:spacing w:after="0" w:line="232" w:lineRule="auto"/>
        <w:tabs>
          <w:tab w:leader="none" w:pos="534"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49" w:lineRule="exact"/>
        <w:rPr>
          <w:rFonts w:ascii="Arial" w:cs="Arial" w:eastAsia="Arial" w:hAnsi="Arial"/>
          <w:sz w:val="22"/>
          <w:szCs w:val="22"/>
          <w:color w:val="auto"/>
        </w:rPr>
      </w:pPr>
    </w:p>
    <w:p>
      <w:pPr>
        <w:ind w:left="540" w:hanging="199"/>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6"/>
          <w:szCs w:val="16"/>
          <w:color w:val="auto"/>
        </w:rPr>
        <w:t>we may experience production delays related to the evaluation and testing of products from alternative suppliers;</w:t>
      </w:r>
    </w:p>
    <w:p>
      <w:pPr>
        <w:spacing w:after="0" w:line="135" w:lineRule="exact"/>
        <w:rPr>
          <w:rFonts w:ascii="Arial" w:cs="Arial" w:eastAsia="Arial" w:hAnsi="Arial"/>
          <w:sz w:val="19"/>
          <w:szCs w:val="19"/>
          <w:color w:val="auto"/>
        </w:rPr>
      </w:pPr>
    </w:p>
    <w:p>
      <w:pPr>
        <w:ind w:left="540" w:hanging="199"/>
        <w:spacing w:after="0"/>
        <w:tabs>
          <w:tab w:leader="none" w:pos="540" w:val="left"/>
        </w:tabs>
        <w:numPr>
          <w:ilvl w:val="0"/>
          <w:numId w:val="13"/>
        </w:numPr>
        <w:rPr>
          <w:rFonts w:ascii="Arial" w:cs="Arial" w:eastAsia="Arial" w:hAnsi="Arial"/>
          <w:sz w:val="21"/>
          <w:szCs w:val="21"/>
          <w:color w:val="auto"/>
        </w:rPr>
      </w:pPr>
      <w:r>
        <w:rPr>
          <w:rFonts w:ascii="Arial" w:cs="Arial" w:eastAsia="Arial" w:hAnsi="Arial"/>
          <w:sz w:val="17"/>
          <w:szCs w:val="17"/>
          <w:color w:val="auto"/>
        </w:rPr>
        <w:t>we may be subject to price fluctuations due to a lack of long-term supply arrangements for key components;</w:t>
      </w:r>
    </w:p>
    <w:p>
      <w:pPr>
        <w:spacing w:after="0" w:line="147" w:lineRule="exact"/>
        <w:rPr>
          <w:rFonts w:ascii="Arial" w:cs="Arial" w:eastAsia="Arial" w:hAnsi="Arial"/>
          <w:sz w:val="21"/>
          <w:szCs w:val="21"/>
          <w:color w:val="auto"/>
        </w:rPr>
      </w:pPr>
    </w:p>
    <w:p>
      <w:pPr>
        <w:ind w:left="560" w:right="879" w:hanging="219"/>
        <w:spacing w:after="0" w:line="232" w:lineRule="auto"/>
        <w:tabs>
          <w:tab w:leader="none" w:pos="534" w:val="left"/>
        </w:tabs>
        <w:numPr>
          <w:ilvl w:val="0"/>
          <w:numId w:val="13"/>
        </w:numPr>
        <w:rPr>
          <w:rFonts w:ascii="Arial" w:cs="Arial" w:eastAsia="Arial" w:hAnsi="Arial"/>
          <w:sz w:val="22"/>
          <w:szCs w:val="22"/>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and</w:t>
      </w:r>
    </w:p>
    <w:p>
      <w:pPr>
        <w:spacing w:after="0" w:line="149" w:lineRule="exact"/>
        <w:rPr>
          <w:rFonts w:ascii="Arial" w:cs="Arial" w:eastAsia="Arial" w:hAnsi="Arial"/>
          <w:sz w:val="22"/>
          <w:szCs w:val="22"/>
          <w:color w:val="auto"/>
        </w:rPr>
      </w:pPr>
    </w:p>
    <w:p>
      <w:pPr>
        <w:ind w:left="560" w:right="799" w:hanging="219"/>
        <w:spacing w:after="0" w:line="232" w:lineRule="auto"/>
        <w:tabs>
          <w:tab w:leader="none" w:pos="534" w:val="left"/>
        </w:tabs>
        <w:numPr>
          <w:ilvl w:val="0"/>
          <w:numId w:val="13"/>
        </w:numPr>
        <w:rPr>
          <w:rFonts w:ascii="Arial" w:cs="Arial" w:eastAsia="Arial" w:hAnsi="Arial"/>
          <w:sz w:val="22"/>
          <w:szCs w:val="22"/>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123"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120" w:right="399"/>
        <w:spacing w:after="0" w:line="277" w:lineRule="auto"/>
        <w:rPr>
          <w:sz w:val="20"/>
          <w:szCs w:val="20"/>
          <w:color w:val="auto"/>
        </w:rPr>
      </w:pPr>
      <w:r>
        <w:rPr>
          <w:rFonts w:ascii="Arial" w:cs="Arial" w:eastAsia="Arial" w:hAnsi="Arial"/>
          <w:sz w:val="18"/>
          <w:szCs w:val="18"/>
          <w:b w:val="1"/>
          <w:bCs w:val="1"/>
          <w:i w:val="1"/>
          <w:iCs w:val="1"/>
          <w:color w:val="auto"/>
        </w:rPr>
        <w:t>If we cannot successfully market our systems to major brand owners and fashion designers, our future growth and prospects could be harmed.</w:t>
      </w:r>
    </w:p>
    <w:p>
      <w:pPr>
        <w:spacing w:after="0" w:line="170"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82" w:lineRule="exact"/>
        <w:rPr>
          <w:sz w:val="20"/>
          <w:szCs w:val="20"/>
          <w:color w:val="auto"/>
        </w:rPr>
      </w:pPr>
    </w:p>
    <w:p>
      <w:pPr>
        <w:ind w:left="120" w:right="13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18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170"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Our growth plan includes the introduction of new systems. For example, we are seeking to penetrate the roll-to-roll,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93" w:lineRule="exact"/>
        <w:rPr>
          <w:sz w:val="20"/>
          <w:szCs w:val="20"/>
          <w:color w:val="auto"/>
        </w:rPr>
      </w:pPr>
    </w:p>
    <w:p>
      <w:pPr>
        <w:ind w:left="120" w:right="859"/>
        <w:spacing w:after="0" w:line="277" w:lineRule="auto"/>
        <w:rPr>
          <w:sz w:val="20"/>
          <w:szCs w:val="20"/>
          <w:color w:val="auto"/>
        </w:rPr>
      </w:pPr>
      <w:r>
        <w:rPr>
          <w:rFonts w:ascii="Arial" w:cs="Arial" w:eastAsia="Arial" w:hAnsi="Arial"/>
          <w:sz w:val="18"/>
          <w:szCs w:val="18"/>
          <w:b w:val="1"/>
          <w:bCs w:val="1"/>
          <w:i w:val="1"/>
          <w:iCs w:val="1"/>
          <w:color w:val="auto"/>
        </w:rPr>
        <w:t>Our Allegro system, which we expect to launch commercially in the next 18 months, may not achieve market acceptance or gain adequate market share.</w:t>
      </w:r>
    </w:p>
    <w:p>
      <w:pPr>
        <w:spacing w:after="0" w:line="170"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120" w:right="219"/>
        <w:spacing w:after="0" w:line="255" w:lineRule="auto"/>
        <w:rPr>
          <w:sz w:val="20"/>
          <w:szCs w:val="20"/>
          <w:color w:val="auto"/>
        </w:rPr>
      </w:pPr>
      <w:r>
        <w:rPr>
          <w:rFonts w:ascii="Arial" w:cs="Arial" w:eastAsia="Arial" w:hAnsi="Arial"/>
          <w:sz w:val="18"/>
          <w:szCs w:val="18"/>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89" w:lineRule="exact"/>
        <w:rPr>
          <w:sz w:val="20"/>
          <w:szCs w:val="20"/>
          <w:color w:val="auto"/>
        </w:rPr>
      </w:pPr>
    </w:p>
    <w:p>
      <w:pPr>
        <w:ind w:left="120" w:right="119"/>
        <w:spacing w:after="0" w:line="308" w:lineRule="auto"/>
        <w:rPr>
          <w:sz w:val="20"/>
          <w:szCs w:val="20"/>
          <w:color w:val="auto"/>
        </w:rPr>
      </w:pPr>
      <w:r>
        <w:rPr>
          <w:rFonts w:ascii="Arial" w:cs="Arial" w:eastAsia="Arial" w:hAnsi="Arial"/>
          <w:sz w:val="17"/>
          <w:szCs w:val="17"/>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33" w:lineRule="exact"/>
        <w:rPr>
          <w:sz w:val="20"/>
          <w:szCs w:val="20"/>
          <w:color w:val="auto"/>
        </w:rPr>
      </w:pPr>
    </w:p>
    <w:p>
      <w:pPr>
        <w:ind w:left="120" w:right="199" w:firstLine="216"/>
        <w:spacing w:after="0" w:line="288" w:lineRule="auto"/>
        <w:rPr>
          <w:sz w:val="20"/>
          <w:szCs w:val="20"/>
          <w:color w:val="auto"/>
        </w:rPr>
      </w:pPr>
      <w:r>
        <w:rPr>
          <w:rFonts w:ascii="Arial" w:cs="Arial" w:eastAsia="Arial" w:hAnsi="Arial"/>
          <w:sz w:val="16"/>
          <w:szCs w:val="16"/>
          <w:color w:val="auto"/>
        </w:rPr>
        <w:t>We have experienced significant growth in a relatively short period of time and intend to continue to grow our business. Our revenues grew from $49.4 million in 2013 to $66.4 million in 2014. Our headcount increased from 109 as of December 31, 2011 to 251 as of December 31, 2014, and during such period we hired our current Chief Executive Officer and Chief Financial Officer.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and in connection with our transition to a public company,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42" w:lineRule="exact"/>
        <w:rPr>
          <w:sz w:val="20"/>
          <w:szCs w:val="20"/>
          <w:color w:val="auto"/>
        </w:rPr>
      </w:pPr>
    </w:p>
    <w:p>
      <w:pPr>
        <w:ind w:left="120" w:right="51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33"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62"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Israeli shekel, the Euro and other non-U.S. currencies may negatively affect our earnings.</w:t>
      </w:r>
    </w:p>
    <w:p>
      <w:pPr>
        <w:spacing w:after="0" w:line="143"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 implemented, will be successful in protecting us in full from adverse impacts from currency exchange rate fluctuations since we only plan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120" w:right="119"/>
        <w:spacing w:after="0" w:line="291" w:lineRule="auto"/>
        <w:rPr>
          <w:sz w:val="20"/>
          <w:szCs w:val="20"/>
          <w:color w:val="auto"/>
        </w:rPr>
      </w:pPr>
      <w:r>
        <w:rPr>
          <w:rFonts w:ascii="Arial" w:cs="Arial" w:eastAsia="Arial" w:hAnsi="Arial"/>
          <w:sz w:val="16"/>
          <w:szCs w:val="16"/>
          <w:color w:val="auto"/>
        </w:rPr>
        <w:t>hedge a portion of our foreign currency exposure, and we cannot predict any future trends in the rate of inflation in Israel or the rate of devaluation (if any) of the NIS against the dollar. For example, based on annual average exchange rates, the dollar appreciated by 7.8% against the NIS in 2012, depreciated by 6.4% against the NIS in 2013 and depreciated by 0.9% against the NIS in 2014. This depreciation was further compounded by inflation in Israel of 1.8% in 2013 and deflation in Israel of 0.2% in 2014. If the dollar cost of our operations increases, our dollar-measured results of operations will be adversely affected. See “Management’s Discussion and Analysis of Financial Condition and Results of Operations—Quantitative and Qualitative Disclosure About Market Risk—Foreign Currency Risk.”</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18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73"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develop and commercialize our solutions or new applications for our existing systems. Further, any failure to effectively integrate new personnel could prevent us from successfully growing our company.</w:t>
      </w:r>
    </w:p>
    <w:p>
      <w:pPr>
        <w:spacing w:after="0" w:line="151" w:lineRule="exact"/>
        <w:rPr>
          <w:sz w:val="20"/>
          <w:szCs w:val="20"/>
          <w:color w:val="auto"/>
        </w:rPr>
      </w:pPr>
    </w:p>
    <w:p>
      <w:pPr>
        <w:ind w:left="120" w:right="479"/>
        <w:spacing w:after="0" w:line="381" w:lineRule="auto"/>
        <w:rPr>
          <w:sz w:val="20"/>
          <w:szCs w:val="20"/>
          <w:color w:val="auto"/>
        </w:rPr>
      </w:pPr>
      <w:r>
        <w:rPr>
          <w:rFonts w:ascii="Arial" w:cs="Arial" w:eastAsia="Arial" w:hAnsi="Arial"/>
          <w:sz w:val="15"/>
          <w:szCs w:val="15"/>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60"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25" w:lineRule="exact"/>
        <w:rPr>
          <w:sz w:val="20"/>
          <w:szCs w:val="20"/>
          <w:color w:val="auto"/>
        </w:rPr>
      </w:pPr>
    </w:p>
    <w:p>
      <w:pPr>
        <w:ind w:left="120" w:right="219"/>
        <w:spacing w:after="0" w:line="312" w:lineRule="auto"/>
        <w:rPr>
          <w:sz w:val="20"/>
          <w:szCs w:val="20"/>
          <w:color w:val="auto"/>
        </w:rPr>
      </w:pPr>
      <w:r>
        <w:rPr>
          <w:rFonts w:ascii="Arial" w:cs="Arial" w:eastAsia="Arial" w:hAnsi="Arial"/>
          <w:sz w:val="16"/>
          <w:szCs w:val="16"/>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06"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the net proceeds from this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98"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120" w:right="139" w:firstLine="216"/>
        <w:spacing w:after="0" w:line="269" w:lineRule="auto"/>
        <w:rPr>
          <w:sz w:val="20"/>
          <w:szCs w:val="20"/>
          <w:color w:val="auto"/>
        </w:rPr>
      </w:pPr>
      <w:r>
        <w:rPr>
          <w:rFonts w:ascii="Arial" w:cs="Arial" w:eastAsia="Arial" w:hAnsi="Arial"/>
          <w:sz w:val="17"/>
          <w:szCs w:val="17"/>
          <w:color w:val="auto"/>
        </w:rPr>
        <w:t>Further, while we have two lines of credit from Israeli banks in a total amount of up to $3.0 million, all of which is undrawn as of December 31, 2014, the lines of credit contain change of control provisions that, absent a waiver or amendment, could cause us to be in default or require us to repay any amounts borrowed under certain circumstances. Specifically, we would be in default under one of our lines of credit if our controlling shareholder, Fortissimo Capital, ceases to control us. However, because the agreement provides an exception for changes of control that occur as a result of a listing on a stock exchange, such as the NASDAQ, we do not expect to be in default under this line of credit for this reason following the closing of this offering. Any borrowings under our second line of credit would become repayable if Fortissimo Capital ceases to hold 25.0% of our issued and outstanding shares and no longer has the right to appoint 25% of our directors. While Fortissimo will no longer have the right to appoint any directors following the closing of this offering, we do not anticipate that Fortissimo will cease to hold 25.0% of our issued and outstanding shares, although they may hold less than 25.0% in the future.</w:t>
      </w:r>
    </w:p>
    <w:p>
      <w:pPr>
        <w:spacing w:after="0" w:line="183"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effect on our business, operating results and prospects and on our ability to develop our solutions.</w:t>
      </w:r>
    </w:p>
    <w:p>
      <w:pPr>
        <w:spacing w:after="0" w:line="187"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29" w:lineRule="exact"/>
        <w:rPr>
          <w:sz w:val="20"/>
          <w:szCs w:val="20"/>
          <w:color w:val="auto"/>
        </w:rPr>
      </w:pPr>
    </w:p>
    <w:p>
      <w:pPr>
        <w:ind w:left="540" w:hanging="199"/>
        <w:spacing w:after="0"/>
        <w:tabs>
          <w:tab w:leader="none" w:pos="540" w:val="left"/>
        </w:tabs>
        <w:numPr>
          <w:ilvl w:val="0"/>
          <w:numId w:val="14"/>
        </w:numPr>
        <w:rPr>
          <w:rFonts w:ascii="Arial" w:cs="Arial" w:eastAsia="Arial" w:hAnsi="Arial"/>
          <w:sz w:val="21"/>
          <w:szCs w:val="21"/>
          <w:color w:val="auto"/>
        </w:rPr>
      </w:pPr>
      <w:r>
        <w:rPr>
          <w:rFonts w:ascii="Arial" w:cs="Arial" w:eastAsia="Arial" w:hAnsi="Arial"/>
          <w:sz w:val="17"/>
          <w:szCs w:val="17"/>
          <w:color w:val="auto"/>
        </w:rPr>
        <w:t>greater difficulty in enforcing contracts and accounts receivable collection, as well as longer collection periods;</w:t>
      </w:r>
    </w:p>
    <w:p>
      <w:pPr>
        <w:spacing w:after="0" w:line="188" w:lineRule="exact"/>
        <w:rPr>
          <w:rFonts w:ascii="Arial" w:cs="Arial" w:eastAsia="Arial" w:hAnsi="Arial"/>
          <w:sz w:val="21"/>
          <w:szCs w:val="21"/>
          <w:color w:val="auto"/>
        </w:rPr>
      </w:pPr>
    </w:p>
    <w:p>
      <w:pPr>
        <w:ind w:left="560" w:right="659" w:hanging="219"/>
        <w:spacing w:after="0" w:line="232" w:lineRule="auto"/>
        <w:tabs>
          <w:tab w:leader="none" w:pos="534" w:val="left"/>
        </w:tabs>
        <w:numPr>
          <w:ilvl w:val="0"/>
          <w:numId w:val="14"/>
        </w:numPr>
        <w:rPr>
          <w:rFonts w:ascii="Arial" w:cs="Arial" w:eastAsia="Arial" w:hAnsi="Arial"/>
          <w:sz w:val="22"/>
          <w:szCs w:val="22"/>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176"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6"/>
          <w:szCs w:val="16"/>
          <w:color w:val="auto"/>
        </w:rPr>
        <w:t>fluctuations in exchange rates between the U.S. dollar and foreign currencies in markets where we do business;</w:t>
      </w:r>
    </w:p>
    <w:p>
      <w:pPr>
        <w:spacing w:after="0" w:line="186" w:lineRule="exact"/>
        <w:rPr>
          <w:rFonts w:ascii="Arial" w:cs="Arial" w:eastAsia="Arial" w:hAnsi="Arial"/>
          <w:sz w:val="19"/>
          <w:szCs w:val="19"/>
          <w:color w:val="auto"/>
        </w:rPr>
      </w:pPr>
    </w:p>
    <w:p>
      <w:pPr>
        <w:ind w:left="560" w:right="739" w:hanging="219"/>
        <w:spacing w:after="0" w:line="232" w:lineRule="auto"/>
        <w:tabs>
          <w:tab w:leader="none" w:pos="534" w:val="left"/>
        </w:tabs>
        <w:numPr>
          <w:ilvl w:val="0"/>
          <w:numId w:val="14"/>
        </w:numPr>
        <w:rPr>
          <w:rFonts w:ascii="Arial" w:cs="Arial" w:eastAsia="Arial" w:hAnsi="Arial"/>
          <w:sz w:val="22"/>
          <w:szCs w:val="22"/>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167"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174" w:lineRule="exact"/>
        <w:rPr>
          <w:rFonts w:ascii="Arial" w:cs="Arial" w:eastAsia="Arial" w:hAnsi="Arial"/>
          <w:sz w:val="22"/>
          <w:szCs w:val="22"/>
          <w:color w:val="auto"/>
        </w:rPr>
      </w:pPr>
    </w:p>
    <w:p>
      <w:pPr>
        <w:ind w:left="560" w:right="479" w:hanging="219"/>
        <w:spacing w:after="0" w:line="232" w:lineRule="auto"/>
        <w:tabs>
          <w:tab w:leader="none" w:pos="534" w:val="left"/>
        </w:tabs>
        <w:numPr>
          <w:ilvl w:val="0"/>
          <w:numId w:val="14"/>
        </w:numPr>
        <w:rPr>
          <w:rFonts w:ascii="Arial" w:cs="Arial" w:eastAsia="Arial" w:hAnsi="Arial"/>
          <w:sz w:val="22"/>
          <w:szCs w:val="22"/>
          <w:color w:val="auto"/>
        </w:rPr>
      </w:pPr>
      <w:r>
        <w:rPr>
          <w:rFonts w:ascii="Arial" w:cs="Arial" w:eastAsia="Arial" w:hAnsi="Arial"/>
          <w:sz w:val="18"/>
          <w:szCs w:val="18"/>
          <w:color w:val="auto"/>
        </w:rPr>
        <w:t>economic uncertainty around the world, including continued economic uncertainty as a result of sovereign debt issues in Europe and Latin America;</w:t>
      </w:r>
    </w:p>
    <w:p>
      <w:pPr>
        <w:spacing w:after="0" w:line="154"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management communication and integration problems resulting from cultural and geographic dispersion;</w:t>
      </w:r>
    </w:p>
    <w:p>
      <w:pPr>
        <w:spacing w:after="0" w:line="188" w:lineRule="exact"/>
        <w:rPr>
          <w:rFonts w:ascii="Arial" w:cs="Arial" w:eastAsia="Arial" w:hAnsi="Arial"/>
          <w:sz w:val="22"/>
          <w:szCs w:val="22"/>
          <w:color w:val="auto"/>
        </w:rPr>
      </w:pPr>
    </w:p>
    <w:p>
      <w:pPr>
        <w:ind w:left="560" w:right="279" w:hanging="219"/>
        <w:spacing w:after="0" w:line="238" w:lineRule="auto"/>
        <w:tabs>
          <w:tab w:leader="none" w:pos="534" w:val="left"/>
        </w:tabs>
        <w:numPr>
          <w:ilvl w:val="0"/>
          <w:numId w:val="14"/>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53"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tariffs, and tax laws and treaties;</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14"/>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188" w:lineRule="exact"/>
        <w:rPr>
          <w:rFonts w:ascii="Arial" w:cs="Arial" w:eastAsia="Arial" w:hAnsi="Arial"/>
          <w:sz w:val="22"/>
          <w:szCs w:val="22"/>
          <w:color w:val="auto"/>
        </w:rPr>
      </w:pPr>
    </w:p>
    <w:p>
      <w:pPr>
        <w:ind w:left="560" w:right="159" w:hanging="219"/>
        <w:spacing w:after="0" w:line="251" w:lineRule="auto"/>
        <w:tabs>
          <w:tab w:leader="none" w:pos="534" w:val="left"/>
        </w:tabs>
        <w:numPr>
          <w:ilvl w:val="0"/>
          <w:numId w:val="14"/>
        </w:numPr>
        <w:rPr>
          <w:rFonts w:ascii="Arial" w:cs="Arial" w:eastAsia="Arial" w:hAnsi="Arial"/>
          <w:sz w:val="21"/>
          <w:szCs w:val="21"/>
          <w:color w:val="auto"/>
        </w:rPr>
      </w:pPr>
      <w:r>
        <w:rPr>
          <w:rFonts w:ascii="Arial" w:cs="Arial" w:eastAsia="Arial" w:hAnsi="Arial"/>
          <w:sz w:val="17"/>
          <w:szCs w:val="17"/>
          <w:color w:val="auto"/>
        </w:rPr>
        <w:t>greater risk of a failure of employees to comply with both U.S. and foreign laws, including antitrust regulations, the U.S. Foreign Corrupt Practices Act (FCPA), and any trade regulations ensuring fair trade practices; and</w:t>
      </w:r>
    </w:p>
    <w:p>
      <w:pPr>
        <w:spacing w:after="0" w:line="164" w:lineRule="exact"/>
        <w:rPr>
          <w:rFonts w:ascii="Arial" w:cs="Arial" w:eastAsia="Arial" w:hAnsi="Arial"/>
          <w:sz w:val="21"/>
          <w:szCs w:val="21"/>
          <w:color w:val="auto"/>
        </w:rPr>
      </w:pPr>
    </w:p>
    <w:p>
      <w:pPr>
        <w:ind w:left="560" w:right="739" w:hanging="219"/>
        <w:spacing w:after="0" w:line="238" w:lineRule="auto"/>
        <w:tabs>
          <w:tab w:leader="none" w:pos="534" w:val="left"/>
        </w:tabs>
        <w:numPr>
          <w:ilvl w:val="0"/>
          <w:numId w:val="14"/>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20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w:t>
      </w:r>
    </w:p>
    <w:p>
      <w:pPr>
        <w:sectPr>
          <w:pgSz w:w="11900" w:h="16838" w:orient="portrait"/>
          <w:cols w:equalWidth="0" w:num="1">
            <w:col w:w="9019"/>
          </w:cols>
          <w:pgMar w:left="1440" w:top="12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8" w:name="page19"/>
    <w:bookmarkEnd w:id="18"/>
    <w:p>
      <w:pPr>
        <w:ind w:left="120" w:right="179"/>
        <w:spacing w:after="0" w:line="264" w:lineRule="auto"/>
        <w:rPr>
          <w:sz w:val="20"/>
          <w:szCs w:val="20"/>
          <w:color w:val="auto"/>
        </w:rPr>
      </w:pPr>
      <w:r>
        <w:rPr>
          <w:rFonts w:ascii="Arial" w:cs="Arial" w:eastAsia="Arial" w:hAnsi="Arial"/>
          <w:sz w:val="18"/>
          <w:szCs w:val="18"/>
          <w:color w:val="auto"/>
        </w:rPr>
        <w:t>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81"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70"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87" w:lineRule="exact"/>
        <w:rPr>
          <w:sz w:val="20"/>
          <w:szCs w:val="20"/>
          <w:color w:val="auto"/>
        </w:rPr>
      </w:pPr>
    </w:p>
    <w:p>
      <w:pPr>
        <w:ind w:left="120" w:right="139" w:firstLine="216"/>
        <w:spacing w:after="0" w:line="282" w:lineRule="auto"/>
        <w:rPr>
          <w:sz w:val="20"/>
          <w:szCs w:val="20"/>
          <w:color w:val="auto"/>
        </w:rPr>
      </w:pPr>
      <w:r>
        <w:rPr>
          <w:rFonts w:ascii="Arial" w:cs="Arial" w:eastAsia="Arial" w:hAnsi="Arial"/>
          <w:sz w:val="16"/>
          <w:szCs w:val="16"/>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w:t>
      </w:r>
    </w:p>
    <w:p>
      <w:pPr>
        <w:spacing w:after="0" w:line="12" w:lineRule="exact"/>
        <w:rPr>
          <w:sz w:val="20"/>
          <w:szCs w:val="20"/>
          <w:color w:val="auto"/>
        </w:rPr>
      </w:pPr>
    </w:p>
    <w:p>
      <w:pPr>
        <w:jc w:val="both"/>
        <w:ind w:left="120" w:right="399"/>
        <w:spacing w:after="0" w:line="255" w:lineRule="auto"/>
        <w:rPr>
          <w:sz w:val="20"/>
          <w:szCs w:val="20"/>
          <w:color w:val="auto"/>
        </w:rPr>
      </w:pPr>
      <w:r>
        <w:rPr>
          <w:rFonts w:ascii="Arial" w:cs="Arial" w:eastAsia="Arial" w:hAnsi="Arial"/>
          <w:sz w:val="18"/>
          <w:szCs w:val="18"/>
          <w:color w:val="auto"/>
        </w:rPr>
        <w:t>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90"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120" w:right="279"/>
        <w:spacing w:after="0" w:line="259"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87" w:lineRule="exact"/>
        <w:rPr>
          <w:sz w:val="20"/>
          <w:szCs w:val="20"/>
          <w:color w:val="auto"/>
        </w:rPr>
      </w:pPr>
    </w:p>
    <w:p>
      <w:pPr>
        <w:ind w:left="120" w:right="739" w:firstLine="216"/>
        <w:spacing w:after="0" w:line="308" w:lineRule="auto"/>
        <w:rPr>
          <w:sz w:val="20"/>
          <w:szCs w:val="20"/>
          <w:color w:val="auto"/>
        </w:rPr>
      </w:pPr>
      <w:r>
        <w:rPr>
          <w:rFonts w:ascii="Arial" w:cs="Arial" w:eastAsia="Arial" w:hAnsi="Arial"/>
          <w:sz w:val="17"/>
          <w:szCs w:val="17"/>
          <w:color w:val="auto"/>
        </w:rPr>
        <w:t>There can be no assurance that third parties will not assert that our solutions, services and intellectual property infringe, misappropriate or otherwise violate their intellectual property or other proprietary rights.</w:t>
      </w:r>
    </w:p>
    <w:p>
      <w:pPr>
        <w:spacing w:after="0" w:line="147"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In February 2015, one of our U.S. distributors, Hirsch, provided us with a letter Hirsch received from Direct Imaging Systems, Inc. (“DIS”), claiming that Hirsch was infringing on a DIS patent (no. 6,095,628), which expires in August 2016, through its distribution of our Breeze printing system. Although we were not contacted by DIS in February 2015, and have not since been contacted by them,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and may therefore be required to indemnify Hirsch for its expenses and any losses associated with this claim. As a condition to Hirsch seeking indemnification from us, we are entitled to assume sole control at our expense of the defense and any decision to settle the claim, and Hirsch would be required to provide us with reasonable cooperation at our expense. See “Business—Legal Proceedings—Direct Imaging Systems, Inc.”</w:t>
      </w:r>
    </w:p>
    <w:p>
      <w:pPr>
        <w:spacing w:after="0" w:line="178" w:lineRule="exact"/>
        <w:rPr>
          <w:sz w:val="20"/>
          <w:szCs w:val="20"/>
          <w:color w:val="auto"/>
        </w:rPr>
      </w:pPr>
    </w:p>
    <w:p>
      <w:pPr>
        <w:ind w:left="120" w:right="219" w:firstLine="216"/>
        <w:spacing w:after="0" w:line="253" w:lineRule="auto"/>
        <w:rPr>
          <w:sz w:val="20"/>
          <w:szCs w:val="20"/>
          <w:color w:val="auto"/>
        </w:rPr>
      </w:pPr>
      <w:r>
        <w:rPr>
          <w:rFonts w:ascii="Arial" w:cs="Arial" w:eastAsia="Arial" w:hAnsi="Arial"/>
          <w:sz w:val="18"/>
          <w:szCs w:val="18"/>
          <w:color w:val="auto"/>
        </w:rPr>
        <w:t>Intellectual property disputes, such as the third-party claim described above,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 party intellectual property rights and entitle us to assume the defense of any claim as part of the indemnification undertaking. Our assumption of the defense of such a claim may result in similar costs, disruption and diversion of management attention as a claim that is directly against us. We may not prevail in any such dispute or litigation, and an adverse decision in any legal action involving intellectual property rights could harm our intellectual property rights and the value of any related technology.</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39" w:lineRule="exact"/>
        <w:rPr>
          <w:sz w:val="20"/>
          <w:szCs w:val="20"/>
          <w:color w:val="auto"/>
        </w:rPr>
      </w:pPr>
    </w:p>
    <w:p>
      <w:pPr>
        <w:ind w:left="560" w:right="219" w:hanging="219"/>
        <w:spacing w:after="0" w:line="232" w:lineRule="auto"/>
        <w:tabs>
          <w:tab w:leader="none" w:pos="534"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prevent us from manufacturing, importing, using, or selling some or all of our solutions;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disrupt our operations or the markets in which we compete;</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impose costly damage awards; and</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5"/>
        </w:numPr>
        <w:rPr>
          <w:rFonts w:ascii="Arial" w:cs="Arial" w:eastAsia="Arial" w:hAnsi="Arial"/>
          <w:sz w:val="22"/>
          <w:szCs w:val="22"/>
          <w:color w:val="auto"/>
        </w:rPr>
      </w:pPr>
      <w:r>
        <w:rPr>
          <w:rFonts w:ascii="Arial" w:cs="Arial" w:eastAsia="Arial" w:hAnsi="Arial"/>
          <w:sz w:val="18"/>
          <w:szCs w:val="18"/>
          <w:color w:val="auto"/>
        </w:rPr>
        <w:t>require us to indemnify our distributors and customers.</w:t>
      </w:r>
    </w:p>
    <w:p>
      <w:pPr>
        <w:spacing w:after="0" w:line="202" w:lineRule="exact"/>
        <w:rPr>
          <w:sz w:val="20"/>
          <w:szCs w:val="20"/>
          <w:color w:val="auto"/>
        </w:rPr>
      </w:pPr>
    </w:p>
    <w:p>
      <w:pPr>
        <w:ind w:left="120" w:right="11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w:t>
      </w:r>
    </w:p>
    <w:p>
      <w:pPr>
        <w:sectPr>
          <w:pgSz w:w="11900" w:h="16838" w:orient="portrait"/>
          <w:cols w:equalWidth="0" w:num="1">
            <w:col w:w="9019"/>
          </w:cols>
          <w:pgMar w:left="1440" w:top="125"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0" w:name="page21"/>
    <w:bookmarkEnd w:id="20"/>
    <w:p>
      <w:pPr>
        <w:ind w:left="120" w:right="219"/>
        <w:spacing w:after="0" w:line="264" w:lineRule="auto"/>
        <w:rPr>
          <w:sz w:val="20"/>
          <w:szCs w:val="20"/>
          <w:color w:val="auto"/>
        </w:rPr>
      </w:pPr>
      <w:r>
        <w:rPr>
          <w:rFonts w:ascii="Arial" w:cs="Arial" w:eastAsia="Arial" w:hAnsi="Arial"/>
          <w:sz w:val="18"/>
          <w:szCs w:val="18"/>
          <w:color w:val="auto"/>
        </w:rPr>
        <w:t>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Undetected defects in the design or manufacturing of our products may harm our business and results of operations.</w:t>
      </w:r>
    </w:p>
    <w:p>
      <w:pPr>
        <w:spacing w:after="0" w:line="26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72"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7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As part of our business strategy and in order to remain competitive, we may acquire or make investments in complementary companies, products or technologies. However, we have not made any acquisitions to date, and as a result, 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has been no prior public market for our ordinary shares, and an active trading market may not develop.</w:t>
      </w:r>
    </w:p>
    <w:p>
      <w:pPr>
        <w:spacing w:after="0" w:line="248" w:lineRule="exact"/>
        <w:rPr>
          <w:sz w:val="20"/>
          <w:szCs w:val="20"/>
          <w:color w:val="auto"/>
        </w:rPr>
      </w:pPr>
    </w:p>
    <w:p>
      <w:pPr>
        <w:ind w:left="120" w:right="319" w:firstLine="216"/>
        <w:spacing w:after="0" w:line="273" w:lineRule="auto"/>
        <w:rPr>
          <w:sz w:val="20"/>
          <w:szCs w:val="20"/>
          <w:color w:val="auto"/>
        </w:rPr>
      </w:pPr>
      <w:r>
        <w:rPr>
          <w:rFonts w:ascii="Arial" w:cs="Arial" w:eastAsia="Arial" w:hAnsi="Arial"/>
          <w:sz w:val="17"/>
          <w:szCs w:val="17"/>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25"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7"/>
          <w:szCs w:val="17"/>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74" w:lineRule="exact"/>
        <w:rPr>
          <w:sz w:val="20"/>
          <w:szCs w:val="20"/>
          <w:color w:val="auto"/>
        </w:rPr>
      </w:pPr>
    </w:p>
    <w:p>
      <w:pPr>
        <w:ind w:left="540" w:hanging="199"/>
        <w:spacing w:after="0"/>
        <w:tabs>
          <w:tab w:leader="none" w:pos="540" w:val="left"/>
        </w:tabs>
        <w:numPr>
          <w:ilvl w:val="0"/>
          <w:numId w:val="16"/>
        </w:numPr>
        <w:rPr>
          <w:rFonts w:ascii="Arial" w:cs="Arial" w:eastAsia="Arial" w:hAnsi="Arial"/>
          <w:sz w:val="21"/>
          <w:szCs w:val="21"/>
          <w:color w:val="auto"/>
        </w:rPr>
      </w:pPr>
      <w:r>
        <w:rPr>
          <w:rFonts w:ascii="Arial" w:cs="Arial" w:eastAsia="Arial" w:hAnsi="Arial"/>
          <w:sz w:val="17"/>
          <w:szCs w:val="17"/>
          <w:color w:val="auto"/>
        </w:rPr>
        <w:t>actual or anticipated variations in our and/or our competitors’ results of operations and financial condition;</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variance in our financial performance from the expectations of market analysts;</w:t>
      </w:r>
    </w:p>
    <w:p>
      <w:pPr>
        <w:spacing w:after="0" w:line="215" w:lineRule="exact"/>
        <w:rPr>
          <w:rFonts w:ascii="Arial" w:cs="Arial" w:eastAsia="Arial" w:hAnsi="Arial"/>
          <w:sz w:val="22"/>
          <w:szCs w:val="22"/>
          <w:color w:val="auto"/>
        </w:rPr>
      </w:pPr>
    </w:p>
    <w:p>
      <w:pPr>
        <w:ind w:left="560" w:right="799" w:hanging="219"/>
        <w:spacing w:after="0" w:line="232" w:lineRule="auto"/>
        <w:tabs>
          <w:tab w:leader="none" w:pos="534" w:val="left"/>
        </w:tabs>
        <w:numPr>
          <w:ilvl w:val="0"/>
          <w:numId w:val="17"/>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prices of our solutions;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involvement in litigation;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sale of ordinary shares or other securities in the future;</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market conditions in our industry;</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key personnel;</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trading volume of our ordinary shares;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estimation of the future size and growth rate of our markets; and</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161"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98"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 Substantially all of our shares outstanding prior to this offering and our shares issuable upon the exercise of options are subject to lock-up agreements with the underwriters that restrict the ability of their holders to transfer such shares without the prior written consent of Barclays Capital Inc. and Citigroup Global Markets Inc. for 180 days after the date of this prospectus. Consequently, upon expiration of the lock-up agreements, an additional approximately 21.5 million outstanding ordinary shares will be eligible for sale in the public market of which approximately 16.5 million ordinary shares will be subject to restrictions on volume and manner of sale pursuant to Rule 144 under the Securities Act of 1933, as amended. In addition, approximately 1.5 million shares underlying vested options will be eligible for sale in the public market on the same date.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substantial dilution in net tangible book value.</w:t>
      </w:r>
    </w:p>
    <w:p>
      <w:pPr>
        <w:spacing w:after="0" w:line="185"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The initial public offering price of our ordinary shares in this offering is considerably greater than the net tangible book value per share of our outstanding ordinary shares immediately after this offering. Accordingly, investors in this offering will incur immediate dilution of $7.16 per share, based on the initial public offering price of $10.00 per share. In addition, if outstanding options to purchase our ordinary shares are exercised in the future, you will experience additional dilution. See “Dilution.”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22" w:name="page23"/>
    <w:bookmarkEnd w:id="22"/>
    <w:p>
      <w:pPr>
        <w:ind w:left="120" w:right="199"/>
        <w:spacing w:after="0" w:line="264" w:lineRule="auto"/>
        <w:rPr>
          <w:sz w:val="20"/>
          <w:szCs w:val="20"/>
          <w:color w:val="auto"/>
        </w:rPr>
      </w:pPr>
      <w:r>
        <w:rPr>
          <w:rFonts w:ascii="Arial" w:cs="Arial" w:eastAsia="Arial" w:hAnsi="Arial"/>
          <w:sz w:val="18"/>
          <w:szCs w:val="18"/>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41" w:lineRule="exact"/>
        <w:rPr>
          <w:sz w:val="20"/>
          <w:szCs w:val="20"/>
          <w:color w:val="auto"/>
        </w:rPr>
      </w:pPr>
    </w:p>
    <w:p>
      <w:pPr>
        <w:ind w:left="120" w:right="219" w:firstLine="216"/>
        <w:spacing w:after="0" w:line="342" w:lineRule="auto"/>
        <w:rPr>
          <w:sz w:val="20"/>
          <w:szCs w:val="20"/>
          <w:color w:val="auto"/>
        </w:rPr>
      </w:pPr>
      <w:r>
        <w:rPr>
          <w:rFonts w:ascii="Arial" w:cs="Arial" w:eastAsia="Arial" w:hAnsi="Arial"/>
          <w:sz w:val="16"/>
          <w:szCs w:val="16"/>
          <w:color w:val="auto"/>
        </w:rPr>
        <w:t>Following the closing of this offering, entities and individuals affiliated with Fortissimo Capital will beneficially own 52.4% of our ordinary shares or 50.5% if the underwriters exercise their option to purchase additional ordinary shares.</w:t>
      </w:r>
    </w:p>
    <w:p>
      <w:pPr>
        <w:spacing w:after="0" w:line="124" w:lineRule="exact"/>
        <w:rPr>
          <w:sz w:val="20"/>
          <w:szCs w:val="20"/>
          <w:color w:val="auto"/>
        </w:rPr>
      </w:pPr>
    </w:p>
    <w:p>
      <w:pPr>
        <w:ind w:left="120" w:right="279" w:firstLine="216"/>
        <w:spacing w:after="0" w:line="342" w:lineRule="auto"/>
        <w:rPr>
          <w:sz w:val="20"/>
          <w:szCs w:val="20"/>
          <w:color w:val="auto"/>
        </w:rPr>
      </w:pPr>
      <w:r>
        <w:rPr>
          <w:rFonts w:ascii="Arial" w:cs="Arial" w:eastAsia="Arial" w:hAnsi="Arial"/>
          <w:sz w:val="16"/>
          <w:szCs w:val="16"/>
          <w:color w:val="auto"/>
        </w:rPr>
        <w:t>As a result, this shareholder could exert significant influence over our operations and business strategy and will have sufficient voting power to control the outcome of matters requiring shareholder approval. These matters may include:</w:t>
      </w:r>
    </w:p>
    <w:p>
      <w:pPr>
        <w:spacing w:after="0" w:line="137" w:lineRule="exact"/>
        <w:rPr>
          <w:sz w:val="20"/>
          <w:szCs w:val="20"/>
          <w:color w:val="auto"/>
        </w:rPr>
      </w:pPr>
    </w:p>
    <w:p>
      <w:pPr>
        <w:ind w:left="560" w:right="219" w:hanging="219"/>
        <w:spacing w:after="0" w:line="232" w:lineRule="auto"/>
        <w:tabs>
          <w:tab w:leader="none" w:pos="534"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67" w:lineRule="exact"/>
        <w:rPr>
          <w:rFonts w:ascii="Arial" w:cs="Arial" w:eastAsia="Arial" w:hAnsi="Arial"/>
          <w:sz w:val="22"/>
          <w:szCs w:val="22"/>
          <w:color w:val="auto"/>
        </w:rPr>
      </w:pPr>
    </w:p>
    <w:p>
      <w:pPr>
        <w:ind w:left="540" w:hanging="199"/>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approving or rejecting a merger, consolidation or other business combination;</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raising future capital; and</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amending our articles of association, which govern the rights attached to our ordinary shares.</w:t>
      </w:r>
    </w:p>
    <w:p>
      <w:pPr>
        <w:spacing w:after="0" w:line="202" w:lineRule="exact"/>
        <w:rPr>
          <w:sz w:val="20"/>
          <w:szCs w:val="20"/>
          <w:color w:val="auto"/>
        </w:rPr>
      </w:pPr>
    </w:p>
    <w:p>
      <w:pPr>
        <w:jc w:val="both"/>
        <w:ind w:left="120" w:right="239" w:firstLine="21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87" w:lineRule="exact"/>
        <w:rPr>
          <w:sz w:val="20"/>
          <w:szCs w:val="20"/>
          <w:color w:val="auto"/>
        </w:rPr>
      </w:pPr>
    </w:p>
    <w:p>
      <w:pPr>
        <w:ind w:left="120" w:right="299"/>
        <w:spacing w:after="0" w:line="308" w:lineRule="auto"/>
        <w:rPr>
          <w:sz w:val="20"/>
          <w:szCs w:val="20"/>
          <w:color w:val="auto"/>
        </w:rPr>
      </w:pPr>
      <w:r>
        <w:rPr>
          <w:rFonts w:ascii="Arial" w:cs="Arial" w:eastAsia="Arial" w:hAnsi="Arial"/>
          <w:sz w:val="17"/>
          <w:szCs w:val="17"/>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47"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As a result of the number of shares beneficially owned by Fortissimo Capital, after the completion of this offering,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nominating committee composed entirely of independent directors. See “Management—Corporate Governance Practices.” Accordingly, you will not have the same protections afforded to shareholders of companies that are not controlled companies and are therefore subject to all of the corporate governance requirements of the NASDAQ Stock Market.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broad discretion as to the use of the net proceeds from this offering and may not use them effectively.</w:t>
      </w:r>
    </w:p>
    <w:p>
      <w:pPr>
        <w:spacing w:after="0" w:line="248"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do not currently have specific plans for the net proceeds resulting from this offering and expect to use the net proceeds for general corporate purposes. As such,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our use of the net proceeds from this offering, we may invest the proceeds in a manner that does not produce income. See “Use of Proceeds” on page 27 for additional information.</w:t>
      </w:r>
    </w:p>
    <w:p>
      <w:pPr>
        <w:spacing w:after="0" w:line="189"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120" w:right="139" w:firstLine="216"/>
        <w:spacing w:after="0" w:line="272" w:lineRule="auto"/>
        <w:rPr>
          <w:sz w:val="20"/>
          <w:szCs w:val="20"/>
          <w:color w:val="auto"/>
        </w:rPr>
      </w:pPr>
      <w:r>
        <w:rPr>
          <w:rFonts w:ascii="Arial" w:cs="Arial" w:eastAsia="Arial" w:hAnsi="Arial"/>
          <w:sz w:val="17"/>
          <w:szCs w:val="17"/>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17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9" w:lineRule="exact"/>
        <w:rPr>
          <w:sz w:val="20"/>
          <w:szCs w:val="20"/>
          <w:color w:val="auto"/>
        </w:rPr>
      </w:pPr>
    </w:p>
    <w:p>
      <w:pPr>
        <w:ind w:left="120" w:right="379"/>
        <w:spacing w:after="0" w:line="312" w:lineRule="auto"/>
        <w:rPr>
          <w:sz w:val="20"/>
          <w:szCs w:val="20"/>
          <w:color w:val="auto"/>
        </w:rPr>
      </w:pPr>
      <w:r>
        <w:rPr>
          <w:rFonts w:ascii="Arial" w:cs="Arial" w:eastAsia="Arial" w:hAnsi="Arial"/>
          <w:sz w:val="16"/>
          <w:szCs w:val="16"/>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47" w:lineRule="exact"/>
        <w:rPr>
          <w:sz w:val="20"/>
          <w:szCs w:val="20"/>
          <w:color w:val="auto"/>
        </w:rPr>
      </w:pPr>
    </w:p>
    <w:p>
      <w:pPr>
        <w:ind w:left="120" w:right="239" w:firstLine="216"/>
        <w:spacing w:after="0" w:line="284" w:lineRule="auto"/>
        <w:rPr>
          <w:sz w:val="20"/>
          <w:szCs w:val="20"/>
          <w:color w:val="auto"/>
        </w:rPr>
      </w:pPr>
      <w:r>
        <w:rPr>
          <w:rFonts w:ascii="Arial" w:cs="Arial" w:eastAsia="Arial" w:hAnsi="Arial"/>
          <w:sz w:val="16"/>
          <w:szCs w:val="16"/>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Select Market, we intend to follow Israeli home country practices with regard to the quorum requirement for shareholder meetings. As permitted under the Israeli Companies Law, our articles of association to be effective upon the closing of this offering will provide that the quorum for any meeting of shareholders shall be the presence of at least two shareholders present in person, by</w:t>
      </w:r>
    </w:p>
    <w:p>
      <w:pPr>
        <w:spacing w:after="0" w:line="3" w:lineRule="exact"/>
        <w:rPr>
          <w:sz w:val="20"/>
          <w:szCs w:val="20"/>
          <w:color w:val="auto"/>
        </w:rPr>
      </w:pPr>
    </w:p>
    <w:p>
      <w:pPr>
        <w:ind w:left="120" w:right="119"/>
        <w:spacing w:after="0" w:line="282" w:lineRule="auto"/>
        <w:rPr>
          <w:sz w:val="20"/>
          <w:szCs w:val="20"/>
          <w:color w:val="auto"/>
        </w:rPr>
      </w:pPr>
      <w:r>
        <w:rPr>
          <w:rFonts w:ascii="Arial" w:cs="Arial" w:eastAsia="Arial" w:hAnsi="Arial"/>
          <w:sz w:val="16"/>
          <w:szCs w:val="16"/>
          <w:color w:val="auto"/>
        </w:rPr>
        <w:t xml:space="preserve">proxy or by a voting instrument, who hold at least 25% of the voting power of our shares instead of 33 </w:t>
      </w:r>
      <w:r>
        <w:rPr>
          <w:rFonts w:ascii="Arial" w:cs="Arial" w:eastAsia="Arial" w:hAnsi="Arial"/>
          <w:sz w:val="26"/>
          <w:szCs w:val="26"/>
          <w:color w:val="auto"/>
          <w:vertAlign w:val="superscript"/>
        </w:rPr>
        <w:t>1</w:t>
      </w:r>
      <w:r>
        <w:rPr>
          <w:rFonts w:ascii="Arial" w:cs="Arial" w:eastAsia="Arial" w:hAnsi="Arial"/>
          <w:sz w:val="13"/>
          <w:szCs w:val="13"/>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issued share capital. We may in the future elect to follow Israeli home country practices with regard to other matters such as the requirement to have a nominating committee or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174"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the provisions of Regulation FD or U.S. proxy rules and will be exempt from filing certain Exchange Act reports.</w:t>
      </w:r>
    </w:p>
    <w:p>
      <w:pPr>
        <w:spacing w:after="0" w:line="170"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169"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a recent amendment</w:t>
      </w:r>
    </w:p>
    <w:p>
      <w:pPr>
        <w:sectPr>
          <w:pgSz w:w="11900" w:h="16838" w:orient="portrait"/>
          <w:cols w:equalWidth="0" w:num="1">
            <w:col w:w="9019"/>
          </w:cols>
          <w:pgMar w:left="1440" w:top="125"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24" w:name="page25"/>
    <w:bookmarkEnd w:id="24"/>
    <w:p>
      <w:pPr>
        <w:ind w:left="120" w:right="159"/>
        <w:spacing w:after="0" w:line="255" w:lineRule="auto"/>
        <w:rPr>
          <w:sz w:val="20"/>
          <w:szCs w:val="20"/>
          <w:color w:val="auto"/>
        </w:rPr>
      </w:pPr>
      <w:r>
        <w:rPr>
          <w:rFonts w:ascii="Arial" w:cs="Arial" w:eastAsia="Arial" w:hAnsi="Arial"/>
          <w:sz w:val="18"/>
          <w:szCs w:val="18"/>
          <w:color w:val="auto"/>
        </w:rPr>
        <w:t>to the regulations promulgated under the Israeli Companies Law will require us, after we become a public company,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89"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80" w:lineRule="exact"/>
        <w:rPr>
          <w:sz w:val="20"/>
          <w:szCs w:val="20"/>
          <w:color w:val="auto"/>
        </w:rPr>
      </w:pPr>
    </w:p>
    <w:p>
      <w:pPr>
        <w:ind w:left="120" w:right="57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offering. 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3"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81" w:lineRule="exact"/>
        <w:rPr>
          <w:sz w:val="20"/>
          <w:szCs w:val="20"/>
          <w:color w:val="auto"/>
        </w:rPr>
      </w:pPr>
    </w:p>
    <w:p>
      <w:pPr>
        <w:ind w:left="120" w:right="139" w:firstLine="216"/>
        <w:spacing w:after="0" w:line="285" w:lineRule="auto"/>
        <w:rPr>
          <w:sz w:val="20"/>
          <w:szCs w:val="20"/>
          <w:color w:val="auto"/>
        </w:rPr>
      </w:pPr>
      <w:r>
        <w:rPr>
          <w:rFonts w:ascii="Arial" w:cs="Arial" w:eastAsia="Arial" w:hAnsi="Arial"/>
          <w:sz w:val="16"/>
          <w:szCs w:val="16"/>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120" w:right="179"/>
        <w:spacing w:after="0" w:line="264" w:lineRule="auto"/>
        <w:rPr>
          <w:sz w:val="20"/>
          <w:szCs w:val="20"/>
          <w:color w:val="auto"/>
        </w:rPr>
      </w:pPr>
      <w:r>
        <w:rPr>
          <w:rFonts w:ascii="Arial" w:cs="Arial" w:eastAsia="Arial" w:hAnsi="Arial"/>
          <w:sz w:val="18"/>
          <w:szCs w:val="18"/>
          <w:color w:val="auto"/>
        </w:rPr>
        <w:t>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81"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17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offering in our business. Based on certain estimates of our gross income and gross assets, our receipt of the net proceeds of this offering, and the nature of our business, we do not expect that we will be classified as a PFIC for the taxable year ending December 31, 2015.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left="120" w:right="419"/>
        <w:spacing w:after="0" w:line="308" w:lineRule="auto"/>
        <w:rPr>
          <w:sz w:val="20"/>
          <w:szCs w:val="20"/>
          <w:color w:val="auto"/>
        </w:rPr>
      </w:pPr>
      <w:r>
        <w:rPr>
          <w:rFonts w:ascii="Arial" w:cs="Arial" w:eastAsia="Arial" w:hAnsi="Arial"/>
          <w:sz w:val="17"/>
          <w:szCs w:val="17"/>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47"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 involving Israel could adversely affect our operations and results of operations.</w:t>
      </w:r>
    </w:p>
    <w:p>
      <w:pPr>
        <w:spacing w:after="0" w:line="188" w:lineRule="exact"/>
        <w:rPr>
          <w:sz w:val="20"/>
          <w:szCs w:val="20"/>
          <w:color w:val="auto"/>
        </w:rPr>
      </w:pPr>
    </w:p>
    <w:p>
      <w:pPr>
        <w:ind w:left="120" w:right="139" w:firstLine="216"/>
        <w:spacing w:after="0" w:line="291" w:lineRule="auto"/>
        <w:rPr>
          <w:sz w:val="20"/>
          <w:szCs w:val="20"/>
          <w:color w:val="auto"/>
        </w:rPr>
      </w:pPr>
      <w:r>
        <w:rPr>
          <w:rFonts w:ascii="Arial" w:cs="Arial" w:eastAsia="Arial" w:hAnsi="Arial"/>
          <w:sz w:val="16"/>
          <w:szCs w:val="16"/>
          <w:color w:val="auto"/>
        </w:rPr>
        <w:t>Further, our operations could be disrupted by the obligations of personnel to perform military service. As of December 31, 2014, we had 166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67"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120" w:right="179" w:firstLine="216"/>
        <w:spacing w:after="0" w:line="297" w:lineRule="auto"/>
        <w:rPr>
          <w:sz w:val="20"/>
          <w:szCs w:val="20"/>
          <w:color w:val="auto"/>
        </w:rPr>
      </w:pPr>
      <w:r>
        <w:rPr>
          <w:rFonts w:ascii="Arial" w:cs="Arial" w:eastAsia="Arial" w:hAnsi="Arial"/>
          <w:sz w:val="16"/>
          <w:szCs w:val="16"/>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58"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and our wholly-owned Israeli subsidiary, Kornit Digital Technologies Ltd., or Kornit Technologies, are entitled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various tax benefits under the Israeli Law for the Encouragement of Capital Investments, 1959, or the Investment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Law. As a result of this status, the effective tax rate for our taxable income generated in Israel is expected to be between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zero and 5% starting in 2014. However, if we do not meet the requirements for maintaining these benefits, they may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reduced or cancelled and the relevant operations would be subject to Israeli corporate tax at the standard rate, which 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currently set at 26.5% for 2014 and onwards. In addition to being subject to the standard corporate tax rate, we could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required to refund any tax benefits that we have already received, plus interest and penalties thereon. Even if we continue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meet the relevant requirements, the tax benefits that our current beneficiary enterprises receive may not be continued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future at their current levels or at all. If these tax benefits were reduced or eliminated, the amount of taxes that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 would likely increase, as all of our operations would consequently be subject to corporate tax at the standard rate,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 could adversely affect our results of operations. Additionally, if we increase our activities outside of Israel, for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example, via acquisitions, our increased activities may not be eligible for inclusion in Israeli tax benefit programs. See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“Taxation and Israeli Government Programs Applicable to our Company—Law for the Encouragement of Capital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Investments, 5719-1959.”</w:t>
      </w:r>
    </w:p>
    <w:p>
      <w:pPr>
        <w:spacing w:after="0" w:line="211" w:lineRule="exact"/>
        <w:rPr>
          <w:sz w:val="20"/>
          <w:szCs w:val="20"/>
          <w:color w:val="auto"/>
        </w:rPr>
      </w:pPr>
    </w:p>
    <w:p>
      <w:pPr>
        <w:jc w:val="both"/>
        <w:ind w:left="120" w:right="559"/>
        <w:spacing w:after="0" w:line="264"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81"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Our research and development efforts were financed in part through grants from the Israeli Office of the Chief Scientist, or OCS, totaling approximately $0.2 million. As of December 31, 2014, the balance of the principal and interest in respect of our commitments for future payments to the OCS totals approximately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169" w:lineRule="exact"/>
        <w:rPr>
          <w:sz w:val="20"/>
          <w:szCs w:val="20"/>
          <w:color w:val="auto"/>
        </w:rPr>
      </w:pPr>
    </w:p>
    <w:p>
      <w:pPr>
        <w:ind w:left="120" w:right="179" w:firstLine="216"/>
        <w:spacing w:after="0" w:line="254"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2" w:lineRule="exact"/>
        <w:rPr>
          <w:sz w:val="20"/>
          <w:szCs w:val="20"/>
          <w:color w:val="auto"/>
        </w:rPr>
      </w:pPr>
    </w:p>
    <w:p>
      <w:pPr>
        <w:jc w:val="both"/>
        <w:ind w:left="120" w:right="1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81"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120" w:right="239"/>
        <w:spacing w:after="0" w:line="273" w:lineRule="auto"/>
        <w:rPr>
          <w:sz w:val="20"/>
          <w:szCs w:val="20"/>
          <w:color w:val="auto"/>
        </w:rPr>
      </w:pPr>
      <w:r>
        <w:rPr>
          <w:rFonts w:ascii="Arial" w:cs="Arial" w:eastAsia="Arial" w:hAnsi="Arial"/>
          <w:sz w:val="17"/>
          <w:szCs w:val="17"/>
          <w:color w:val="auto"/>
        </w:rPr>
        <w:t>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Capital—Acquisitions under Israeli Law” for additional information.</w:t>
      </w:r>
    </w:p>
    <w:p>
      <w:pPr>
        <w:spacing w:after="0" w:line="178"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81" w:lineRule="exact"/>
        <w:rPr>
          <w:sz w:val="20"/>
          <w:szCs w:val="20"/>
          <w:color w:val="auto"/>
        </w:rPr>
      </w:pPr>
    </w:p>
    <w:p>
      <w:pPr>
        <w:ind w:left="120" w:right="199" w:firstLine="216"/>
        <w:spacing w:after="0" w:line="288"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69" w:lineRule="exact"/>
        <w:rPr>
          <w:sz w:val="20"/>
          <w:szCs w:val="20"/>
          <w:color w:val="auto"/>
        </w:rPr>
      </w:pPr>
    </w:p>
    <w:p>
      <w:pPr>
        <w:ind w:left="120" w:right="419"/>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81"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83" w:lineRule="exact"/>
        <w:rPr>
          <w:sz w:val="20"/>
          <w:szCs w:val="20"/>
          <w:color w:val="auto"/>
        </w:rPr>
      </w:pPr>
    </w:p>
    <w:p>
      <w:pPr>
        <w:ind w:left="120" w:right="67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47"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184" w:lineRule="exact"/>
        <w:rPr>
          <w:sz w:val="20"/>
          <w:szCs w:val="20"/>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future gross margins and operating expenses;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growth and overall profitability;</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impacts of variability on our future revenues;</w:t>
      </w:r>
    </w:p>
    <w:p>
      <w:pPr>
        <w:spacing w:after="0" w:line="215" w:lineRule="exact"/>
        <w:rPr>
          <w:rFonts w:ascii="Arial" w:cs="Arial" w:eastAsia="Arial" w:hAnsi="Arial"/>
          <w:sz w:val="22"/>
          <w:szCs w:val="22"/>
          <w:color w:val="auto"/>
        </w:rPr>
      </w:pPr>
    </w:p>
    <w:p>
      <w:pPr>
        <w:ind w:left="560" w:right="519" w:hanging="219"/>
        <w:spacing w:after="0" w:line="232" w:lineRule="auto"/>
        <w:tabs>
          <w:tab w:leader="none" w:pos="534"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expand into new product markets;</w:t>
      </w:r>
    </w:p>
    <w:p>
      <w:pPr>
        <w:spacing w:after="0" w:line="204"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1"/>
          <w:szCs w:val="21"/>
          <w:color w:val="auto"/>
        </w:rPr>
      </w:pPr>
      <w:r>
        <w:rPr>
          <w:rFonts w:ascii="Arial" w:cs="Arial" w:eastAsia="Arial" w:hAnsi="Arial"/>
          <w:sz w:val="17"/>
          <w:szCs w:val="17"/>
          <w:color w:val="auto"/>
        </w:rPr>
        <w:t>our plans to continue to invest in research and development to introduce new systems and improved solutions;</w:t>
      </w:r>
    </w:p>
    <w:p>
      <w:pPr>
        <w:spacing w:after="0" w:line="192" w:lineRule="exact"/>
        <w:rPr>
          <w:rFonts w:ascii="Arial" w:cs="Arial" w:eastAsia="Arial" w:hAnsi="Arial"/>
          <w:sz w:val="21"/>
          <w:szCs w:val="21"/>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success of our new products and systems;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tax classifications and reserves;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anticipated cash requirements for the next 12 months;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expand our international operations;</w:t>
      </w:r>
    </w:p>
    <w:p>
      <w:pPr>
        <w:spacing w:after="0" w:line="215" w:lineRule="exact"/>
        <w:rPr>
          <w:rFonts w:ascii="Arial" w:cs="Arial" w:eastAsia="Arial" w:hAnsi="Arial"/>
          <w:sz w:val="22"/>
          <w:szCs w:val="22"/>
          <w:color w:val="auto"/>
        </w:rPr>
      </w:pPr>
    </w:p>
    <w:p>
      <w:pPr>
        <w:ind w:left="560" w:right="859" w:hanging="219"/>
        <w:spacing w:after="0" w:line="232" w:lineRule="auto"/>
        <w:tabs>
          <w:tab w:leader="none" w:pos="534"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p>
    <w:p>
      <w:pPr>
        <w:spacing w:after="0" w:line="206"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1"/>
          <w:szCs w:val="21"/>
          <w:color w:val="auto"/>
        </w:rPr>
      </w:pPr>
      <w:r>
        <w:rPr>
          <w:rFonts w:ascii="Arial" w:cs="Arial" w:eastAsia="Arial" w:hAnsi="Arial"/>
          <w:sz w:val="17"/>
          <w:szCs w:val="17"/>
          <w:color w:val="auto"/>
        </w:rPr>
        <w:t>our plans to pursue strategic acquisitions or invest in complementary companies, products or technologies;</w:t>
      </w:r>
    </w:p>
    <w:p>
      <w:pPr>
        <w:spacing w:after="0" w:line="215" w:lineRule="exact"/>
        <w:rPr>
          <w:rFonts w:ascii="Arial" w:cs="Arial" w:eastAsia="Arial" w:hAnsi="Arial"/>
          <w:sz w:val="21"/>
          <w:szCs w:val="21"/>
          <w:color w:val="auto"/>
        </w:rPr>
      </w:pPr>
    </w:p>
    <w:p>
      <w:pPr>
        <w:ind w:left="560" w:right="399" w:hanging="219"/>
        <w:spacing w:after="0" w:line="232" w:lineRule="auto"/>
        <w:tabs>
          <w:tab w:leader="none" w:pos="534"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use of proceeds from this offering.</w:t>
      </w:r>
    </w:p>
    <w:p>
      <w:pPr>
        <w:spacing w:after="0" w:line="202"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89"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459" w:firstLine="216"/>
        <w:spacing w:after="0" w:line="286" w:lineRule="auto"/>
        <w:rPr>
          <w:sz w:val="20"/>
          <w:szCs w:val="20"/>
          <w:color w:val="auto"/>
        </w:rPr>
      </w:pPr>
      <w:r>
        <w:rPr>
          <w:rFonts w:ascii="Arial" w:cs="Arial" w:eastAsia="Arial" w:hAnsi="Arial"/>
          <w:sz w:val="17"/>
          <w:szCs w:val="17"/>
          <w:color w:val="auto"/>
        </w:rPr>
        <w:t>We estimate that we will receive net proceeds from this offering, after deducting underwriting discounts and commissions and estimated offering expenses payable by us, of approximately $63.5 million, or approximately $73.4 million if the underwriters exercise in full their option to purchase additional ordinary shares.</w:t>
      </w:r>
    </w:p>
    <w:p>
      <w:pPr>
        <w:spacing w:after="0" w:line="166"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The principal purposes of this offering are to obtain additional capital, to increase our financial flexibility and visibility in the marketplace, to create a public market for our ordinary shares and to facilitate our future access to the public equity markets. While we do not currently have specific plans for the net proceeds resulting from this offering, we expect to use the net proceeds for general corporate purposes. We do not currently have any acquisitions or investments planned however we may use a portion of the net proceeds to acquire or invest in complementary companies, products or technologies in the future. We will have broad discretion over the uses of the net proceeds in this offering, and, as of the date of this prospectus, we have not allocated the net proceeds to particular uses. We believe this will afford us significant flexibility to pursue our business strategies. Until we use the net proceeds we receive from this offering, we intend to invest those proceeds in short-term, investment-grade interest-bearing securities.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79" w:firstLine="216"/>
        <w:spacing w:after="0" w:line="273"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78"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capitalization as of December 31, 2014:</w:t>
      </w:r>
    </w:p>
    <w:p>
      <w:pPr>
        <w:spacing w:after="0" w:line="216" w:lineRule="exact"/>
        <w:rPr>
          <w:sz w:val="20"/>
          <w:szCs w:val="20"/>
          <w:color w:val="auto"/>
        </w:rPr>
      </w:pPr>
    </w:p>
    <w:p>
      <w:pPr>
        <w:ind w:left="580" w:hanging="239"/>
        <w:spacing w:after="0"/>
        <w:tabs>
          <w:tab w:leader="none" w:pos="58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an actual basis;</w:t>
      </w:r>
    </w:p>
    <w:p>
      <w:pPr>
        <w:spacing w:after="0" w:line="215" w:lineRule="exact"/>
        <w:rPr>
          <w:rFonts w:ascii="Arial" w:cs="Arial" w:eastAsia="Arial" w:hAnsi="Arial"/>
          <w:sz w:val="22"/>
          <w:szCs w:val="22"/>
          <w:color w:val="auto"/>
        </w:rPr>
      </w:pPr>
    </w:p>
    <w:p>
      <w:pPr>
        <w:ind w:left="560" w:right="159" w:hanging="219"/>
        <w:spacing w:after="0" w:line="232" w:lineRule="auto"/>
        <w:tabs>
          <w:tab w:leader="none" w:pos="581"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 pro forma basis, to give effect to the conversion of all outstanding Series A-1 preferred shares into 12,628,741 ordinary shares immediately prior to the closing of this offering; and</w:t>
      </w:r>
    </w:p>
    <w:p>
      <w:pPr>
        <w:spacing w:after="0" w:line="217" w:lineRule="exact"/>
        <w:rPr>
          <w:rFonts w:ascii="Arial" w:cs="Arial" w:eastAsia="Arial" w:hAnsi="Arial"/>
          <w:sz w:val="22"/>
          <w:szCs w:val="22"/>
          <w:color w:val="auto"/>
        </w:rPr>
      </w:pPr>
    </w:p>
    <w:p>
      <w:pPr>
        <w:ind w:left="560" w:right="239" w:hanging="219"/>
        <w:spacing w:after="0" w:line="241" w:lineRule="auto"/>
        <w:tabs>
          <w:tab w:leader="none" w:pos="581"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 pro forma as adjusted basis, to give further effect to (1) the issuance of ordinary shares in this offering, at the initial public offering price of $10.00 per share, after deducting underwriting discounts and commissions and estimated offering expenses payable by us and (2) the adoption of our amended and restated articles of association to be effective upon the closing of this offering.</w:t>
      </w:r>
    </w:p>
    <w:p>
      <w:pPr>
        <w:spacing w:after="0" w:line="203" w:lineRule="exact"/>
        <w:rPr>
          <w:sz w:val="20"/>
          <w:szCs w:val="20"/>
          <w:color w:val="auto"/>
        </w:rPr>
      </w:pPr>
    </w:p>
    <w:p>
      <w:pPr>
        <w:jc w:val="center"/>
        <w:ind w:left="120" w:right="179"/>
        <w:spacing w:after="0" w:line="342"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and our consolidated financial statements and related notes included elsewhere in this prospectus.</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equity:</w:t>
      </w:r>
    </w:p>
    <w:p>
      <w:pPr>
        <w:spacing w:after="0" w:line="23" w:lineRule="exact"/>
        <w:rPr>
          <w:sz w:val="20"/>
          <w:szCs w:val="20"/>
          <w:color w:val="auto"/>
        </w:rPr>
      </w:pPr>
    </w:p>
    <w:p>
      <w:pPr>
        <w:ind w:left="340" w:hanging="215"/>
        <w:spacing w:after="0" w:line="265" w:lineRule="auto"/>
        <w:rPr>
          <w:sz w:val="20"/>
          <w:szCs w:val="20"/>
          <w:color w:val="auto"/>
        </w:rPr>
      </w:pPr>
      <w:r>
        <w:rPr>
          <w:rFonts w:ascii="Arial" w:cs="Arial" w:eastAsia="Arial" w:hAnsi="Arial"/>
          <w:sz w:val="16"/>
          <w:szCs w:val="16"/>
          <w:color w:val="auto"/>
        </w:rPr>
        <w:t>Ordinary shares, NIS 0.01 par value: 26,345,297 shares authorized (actual and pro forma) and 200,000,000 shares authorized (pro forma as adjusted); 8,973,224 shares issued and outstanding (actual), 21,601,965 shares issued and outstanding (pro forma), and 28,701,965 shares issued and outstanding (pro forma as adjusted)</w:t>
      </w:r>
      <w:r>
        <w:rPr>
          <w:rFonts w:ascii="Arial" w:cs="Arial" w:eastAsia="Arial" w:hAnsi="Arial"/>
          <w:sz w:val="26"/>
          <w:szCs w:val="26"/>
          <w:color w:val="auto"/>
          <w:vertAlign w:val="superscript"/>
        </w:rPr>
        <w:t>(1)</w:t>
      </w:r>
    </w:p>
    <w:p>
      <w:pPr>
        <w:spacing w:after="0" w:line="6" w:lineRule="exact"/>
        <w:rPr>
          <w:sz w:val="20"/>
          <w:szCs w:val="20"/>
          <w:color w:val="auto"/>
        </w:rPr>
      </w:pPr>
    </w:p>
    <w:p>
      <w:pPr>
        <w:ind w:left="340" w:right="20" w:hanging="215"/>
        <w:spacing w:after="0" w:line="264" w:lineRule="auto"/>
        <w:rPr>
          <w:sz w:val="20"/>
          <w:szCs w:val="20"/>
          <w:color w:val="auto"/>
        </w:rPr>
      </w:pPr>
      <w:r>
        <w:rPr>
          <w:rFonts w:ascii="Arial" w:cs="Arial" w:eastAsia="Arial" w:hAnsi="Arial"/>
          <w:sz w:val="17"/>
          <w:szCs w:val="17"/>
          <w:color w:val="auto"/>
        </w:rPr>
        <w:t>Series A-1 preferred shares, NIS 0.01 par value: 1,927,220 shares authorized (actual) and no shares authorized (pro forma and pro forma as adjusted); 1,927,140 shares issued and outstanding (actual) and no shares issued and outstanding (pro forma and pro forma as adjusted)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paid-in capital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Accumulated other comprehensive loss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Retained earnings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shareholders’ equity</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capitalization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As of December 31, 2014</w:t>
      </w:r>
    </w:p>
    <w:p>
      <w:pPr>
        <w:spacing w:after="0" w:line="32"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27870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6" w:lineRule="exact"/>
        <w:rPr>
          <w:sz w:val="20"/>
          <w:szCs w:val="20"/>
          <w:color w:val="auto"/>
        </w:rPr>
      </w:pPr>
    </w:p>
    <w:p>
      <w:pPr>
        <w:ind w:left="380"/>
        <w:spacing w:after="0"/>
        <w:tabs>
          <w:tab w:leader="none" w:pos="1820" w:val="left"/>
          <w:tab w:leader="none" w:pos="3360" w:val="left"/>
        </w:tabs>
        <w:rPr>
          <w:sz w:val="20"/>
          <w:szCs w:val="20"/>
          <w:color w:val="auto"/>
        </w:rPr>
      </w:pPr>
      <w:r>
        <w:rPr>
          <w:rFonts w:ascii="Arial" w:cs="Arial" w:eastAsia="Arial" w:hAnsi="Arial"/>
          <w:sz w:val="16"/>
          <w:szCs w:val="16"/>
          <w:b w:val="1"/>
          <w:bCs w:val="1"/>
          <w:color w:val="auto"/>
        </w:rPr>
        <w:t>Actual</w:t>
      </w:r>
      <w:r>
        <w:rPr>
          <w:sz w:val="20"/>
          <w:szCs w:val="20"/>
          <w:color w:val="auto"/>
        </w:rPr>
        <w:tab/>
      </w:r>
      <w:r>
        <w:rPr>
          <w:rFonts w:ascii="Arial" w:cs="Arial" w:eastAsia="Arial" w:hAnsi="Arial"/>
          <w:sz w:val="16"/>
          <w:szCs w:val="16"/>
          <w:b w:val="1"/>
          <w:bCs w:val="1"/>
          <w:color w:val="auto"/>
        </w:rPr>
        <w:t>Pro forma</w:t>
      </w:r>
      <w:r>
        <w:rPr>
          <w:sz w:val="20"/>
          <w:szCs w:val="20"/>
          <w:color w:val="auto"/>
        </w:rPr>
        <w:tab/>
      </w:r>
      <w:r>
        <w:rPr>
          <w:rFonts w:ascii="Arial" w:cs="Arial" w:eastAsia="Arial" w:hAnsi="Arial"/>
          <w:sz w:val="14"/>
          <w:szCs w:val="14"/>
          <w:b w:val="1"/>
          <w:bCs w:val="1"/>
          <w:color w:val="auto"/>
        </w:rPr>
        <w:t>as adjusted</w:t>
      </w:r>
    </w:p>
    <w:p>
      <w:pPr>
        <w:spacing w:after="0" w:line="2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27870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tabs>
          <w:tab w:leader="none" w:pos="1020" w:val="left"/>
          <w:tab w:leader="none" w:pos="1560" w:val="left"/>
          <w:tab w:leader="none" w:pos="2600" w:val="left"/>
          <w:tab w:leader="none" w:pos="3140" w:val="left"/>
          <w:tab w:leader="none" w:pos="4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12,770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12,770</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75,943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42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(146)</w:t>
            </w:r>
          </w:p>
        </w:tc>
        <w:tc>
          <w:tcPr>
            <w:tcW w:w="4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(146)</w:t>
            </w:r>
          </w:p>
        </w:tc>
      </w:tr>
      <w:tr>
        <w:trPr>
          <w:trHeight w:val="230"/>
        </w:trPr>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3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82,542</w:t>
            </w:r>
          </w:p>
        </w:tc>
        <w:tc>
          <w:tcPr>
            <w:tcW w:w="4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19,351</w:t>
            </w:r>
          </w:p>
        </w:tc>
        <w:tc>
          <w:tcPr>
            <w:tcW w:w="340" w:type="dxa"/>
            <w:vAlign w:val="bottom"/>
          </w:tcPr>
          <w:p>
            <w:pPr>
              <w:spacing w:after="0"/>
              <w:rPr>
                <w:sz w:val="19"/>
                <w:szCs w:val="19"/>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82,542</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2787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5" w:lineRule="exact"/>
        <w:rPr>
          <w:sz w:val="20"/>
          <w:szCs w:val="20"/>
          <w:color w:val="auto"/>
        </w:rPr>
      </w:pPr>
    </w:p>
    <w:p>
      <w:pPr>
        <w:sectPr>
          <w:pgSz w:w="11900" w:h="16838" w:orient="portrait"/>
          <w:cols w:equalWidth="0" w:num="2">
            <w:col w:w="4160" w:space="180"/>
            <w:col w:w="4679"/>
          </w:cols>
          <w:pgMar w:left="1440" w:top="121" w:right="1440" w:bottom="1440" w:gutter="0" w:footer="0" w:header="0"/>
          <w:type w:val="continuous"/>
        </w:sectPr>
      </w:pPr>
    </w:p>
    <w:p>
      <w:pPr>
        <w:ind w:left="120"/>
        <w:spacing w:after="0"/>
        <w:rPr>
          <w:sz w:val="20"/>
          <w:szCs w:val="20"/>
          <w:color w:val="auto"/>
        </w:rPr>
      </w:pPr>
      <w:r>
        <w:rPr>
          <w:rFonts w:ascii="Arial" w:cs="Arial" w:eastAsia="Arial" w:hAnsi="Arial"/>
          <w:sz w:val="22"/>
          <w:szCs w:val="22"/>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-154940</wp:posOffset>
            </wp:positionV>
            <wp:extent cx="2787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440" w:right="319" w:hanging="315"/>
        <w:spacing w:after="0" w:line="254" w:lineRule="auto"/>
        <w:tabs>
          <w:tab w:leader="none" w:pos="4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17, 2015, we effected a 1-for-6.5531 share split by means of a share dividend of 5.5531 ordinary shares for each ordinary share then outstanding. The number of authorized and outstanding shares has been adjusted to reflect this share split.</w:t>
      </w:r>
    </w:p>
    <w:p>
      <w:pPr>
        <w:spacing w:after="0" w:line="191" w:lineRule="exact"/>
        <w:rPr>
          <w:sz w:val="20"/>
          <w:szCs w:val="20"/>
          <w:color w:val="auto"/>
        </w:rPr>
      </w:pPr>
    </w:p>
    <w:p>
      <w:pPr>
        <w:jc w:val="both"/>
        <w:ind w:left="120" w:right="259" w:firstLine="216"/>
        <w:spacing w:after="0" w:line="264" w:lineRule="auto"/>
        <w:rPr>
          <w:sz w:val="20"/>
          <w:szCs w:val="20"/>
          <w:color w:val="auto"/>
        </w:rPr>
      </w:pPr>
      <w:r>
        <w:rPr>
          <w:rFonts w:ascii="Arial" w:cs="Arial" w:eastAsia="Arial" w:hAnsi="Arial"/>
          <w:sz w:val="18"/>
          <w:szCs w:val="18"/>
          <w:color w:val="auto"/>
        </w:rPr>
        <w:t>The preceding table excludes 2,640,564 ordinary shares reserved for issuance under our equity incentive plans as of December 31, 2014 in respect of which we had outstanding options to purchase 2,578,328 ordinary shares at a weighted average exercise price of $1.47 per share.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79" w:firstLine="216"/>
        <w:spacing w:after="0" w:line="257" w:lineRule="auto"/>
        <w:rPr>
          <w:sz w:val="20"/>
          <w:szCs w:val="20"/>
          <w:color w:val="auto"/>
        </w:rPr>
      </w:pPr>
      <w:r>
        <w:rPr>
          <w:rFonts w:ascii="Arial" w:cs="Arial" w:eastAsia="Arial" w:hAnsi="Arial"/>
          <w:sz w:val="18"/>
          <w:szCs w:val="18"/>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On a pro forma basis, our consolidated net tangible book value as of December 31, 2014 was $19.1 million, or $0.88 per ordinary share. Pro forma consolidated net tangible book value per ordinary share was calculated by:</w:t>
      </w:r>
    </w:p>
    <w:p>
      <w:pPr>
        <w:spacing w:after="0" w:line="139" w:lineRule="exact"/>
        <w:rPr>
          <w:sz w:val="20"/>
          <w:szCs w:val="20"/>
          <w:color w:val="auto"/>
        </w:rPr>
      </w:pPr>
    </w:p>
    <w:p>
      <w:pPr>
        <w:ind w:left="540" w:hanging="199"/>
        <w:spacing w:after="0"/>
        <w:tabs>
          <w:tab w:leader="none" w:pos="5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subtracting our consolidated liabilities from our consolidated tangible assets; and</w:t>
      </w:r>
    </w:p>
    <w:p>
      <w:pPr>
        <w:spacing w:after="0" w:line="165" w:lineRule="exact"/>
        <w:rPr>
          <w:rFonts w:ascii="Arial" w:cs="Arial" w:eastAsia="Arial" w:hAnsi="Arial"/>
          <w:sz w:val="22"/>
          <w:szCs w:val="22"/>
          <w:color w:val="auto"/>
        </w:rPr>
      </w:pPr>
    </w:p>
    <w:p>
      <w:pPr>
        <w:ind w:left="540" w:hanging="199"/>
        <w:spacing w:after="0"/>
        <w:tabs>
          <w:tab w:leader="none" w:pos="540" w:val="left"/>
        </w:tabs>
        <w:numPr>
          <w:ilvl w:val="0"/>
          <w:numId w:val="22"/>
        </w:numPr>
        <w:rPr>
          <w:rFonts w:ascii="Arial" w:cs="Arial" w:eastAsia="Arial" w:hAnsi="Arial"/>
          <w:sz w:val="22"/>
          <w:szCs w:val="22"/>
          <w:color w:val="auto"/>
        </w:rPr>
      </w:pPr>
      <w:r>
        <w:rPr>
          <w:rFonts w:ascii="Arial" w:cs="Arial" w:eastAsia="Arial" w:hAnsi="Arial"/>
          <w:sz w:val="18"/>
          <w:szCs w:val="18"/>
          <w:color w:val="auto"/>
        </w:rPr>
        <w:t>dividing the difference by the number of ordinary shares outstanding on a pro forma basis.</w:t>
      </w:r>
    </w:p>
    <w:p>
      <w:pPr>
        <w:spacing w:after="0" w:line="161" w:lineRule="exact"/>
        <w:rPr>
          <w:sz w:val="20"/>
          <w:szCs w:val="20"/>
          <w:color w:val="auto"/>
        </w:rPr>
      </w:pPr>
    </w:p>
    <w:p>
      <w:pPr>
        <w:ind w:left="120" w:right="179" w:firstLine="216"/>
        <w:spacing w:after="0" w:line="289" w:lineRule="auto"/>
        <w:rPr>
          <w:sz w:val="20"/>
          <w:szCs w:val="20"/>
          <w:color w:val="auto"/>
        </w:rPr>
      </w:pPr>
      <w:r>
        <w:rPr>
          <w:rFonts w:ascii="Arial" w:cs="Arial" w:eastAsia="Arial" w:hAnsi="Arial"/>
          <w:sz w:val="16"/>
          <w:szCs w:val="16"/>
          <w:color w:val="auto"/>
        </w:rPr>
        <w:t>After giving effect to adjustments relating to this offering, our pro forma as adjusted consolidated net tangible book value on December 31, 2014 would have been approximately $81.6 million, equivalent to $2.84 per ordinary share. The adjustments made to determine our pro forma as adjusted consolidated net tangible book value are: (1) the conversion of all outstanding Series A-1 preferred shares into 12,628,741 ordinary shares; (2) an increase in consolidated tangible assets to reflect the net proceeds of this offering received by us as described under “Use of Proceeds”; (3) the addition of the 7,100,000 ordinary shares offered in this prospectus to the number of ordinary shares outstanding; (4) a one-time payment in the aggregate amount of $750,000 to our sponsor, Fortissimo Capital, in connection with the termination of our existing management services agreement with them; and (5) a payment of $250,000 in the aggregate to certain of our employees, including some of our executive officers, for their contribution to completing this offering.</w:t>
      </w:r>
    </w:p>
    <w:p>
      <w:pPr>
        <w:spacing w:after="0" w:line="126" w:lineRule="exact"/>
        <w:rPr>
          <w:sz w:val="20"/>
          <w:szCs w:val="20"/>
          <w:color w:val="auto"/>
        </w:rPr>
      </w:pPr>
    </w:p>
    <w:p>
      <w:pPr>
        <w:ind w:left="120" w:right="499" w:firstLine="216"/>
        <w:spacing w:after="0" w:line="308" w:lineRule="auto"/>
        <w:rPr>
          <w:sz w:val="20"/>
          <w:szCs w:val="20"/>
          <w:color w:val="auto"/>
        </w:rPr>
      </w:pPr>
      <w:r>
        <w:rPr>
          <w:rFonts w:ascii="Arial" w:cs="Arial" w:eastAsia="Arial" w:hAnsi="Arial"/>
          <w:sz w:val="17"/>
          <w:szCs w:val="17"/>
          <w:color w:val="auto"/>
        </w:rPr>
        <w:t>The following table illustrates the immediate increase in our pro forma as adjusted consolidated net tangible book value of $1.61 per ordinary share and the immediate pro forma as adjusted dilution to new investors:</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Initial public offering price per ordinary share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3"/>
          </w:tcPr>
          <w:p>
            <w:pPr>
              <w:jc w:val="right"/>
              <w:ind w:right="30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w w:val="95"/>
              </w:rPr>
              <w:t>Pro forma consolidated net tangible book value per ordinary share as of</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December 31, 2014</w:t>
            </w:r>
          </w:p>
        </w:tc>
        <w:tc>
          <w:tcPr>
            <w:tcW w:w="6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0.88</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w w:val="94"/>
              </w:rPr>
              <w:t>Increase in net tangible book value per ordinary share attributable to the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5660" w:type="dxa"/>
            <w:vAlign w:val="bottom"/>
          </w:tcPr>
          <w:p>
            <w:pPr>
              <w:ind w:left="440"/>
              <w:spacing w:after="0"/>
              <w:rPr>
                <w:sz w:val="20"/>
                <w:szCs w:val="20"/>
                <w:color w:val="auto"/>
              </w:rPr>
            </w:pPr>
            <w:r>
              <w:rPr>
                <w:rFonts w:ascii="Arial" w:cs="Arial" w:eastAsia="Arial" w:hAnsi="Arial"/>
                <w:sz w:val="18"/>
                <w:szCs w:val="18"/>
                <w:color w:val="auto"/>
              </w:rPr>
              <w:t>offering</w:t>
            </w:r>
          </w:p>
        </w:tc>
        <w:tc>
          <w:tcPr>
            <w:tcW w:w="1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82"/>
        </w:trPr>
        <w:tc>
          <w:tcPr>
            <w:tcW w:w="5660" w:type="dxa"/>
            <w:vAlign w:val="bottom"/>
          </w:tcPr>
          <w:p>
            <w:pPr>
              <w:spacing w:after="0" w:line="182" w:lineRule="exact"/>
              <w:rPr>
                <w:sz w:val="20"/>
                <w:szCs w:val="20"/>
                <w:color w:val="auto"/>
              </w:rPr>
            </w:pPr>
            <w:r>
              <w:rPr>
                <w:rFonts w:ascii="Arial" w:cs="Arial" w:eastAsia="Arial" w:hAnsi="Arial"/>
                <w:sz w:val="18"/>
                <w:szCs w:val="18"/>
                <w:color w:val="auto"/>
                <w:w w:val="92"/>
              </w:rPr>
              <w:t>Pro forma as adjusted net tangible book value per ordinary share after giving</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5660" w:type="dxa"/>
            <w:vAlign w:val="bottom"/>
          </w:tcPr>
          <w:p>
            <w:pPr>
              <w:ind w:left="220"/>
              <w:spacing w:after="0"/>
              <w:rPr>
                <w:sz w:val="20"/>
                <w:szCs w:val="20"/>
                <w:color w:val="auto"/>
              </w:rPr>
            </w:pPr>
            <w:r>
              <w:rPr>
                <w:rFonts w:ascii="Arial" w:cs="Arial" w:eastAsia="Arial" w:hAnsi="Arial"/>
                <w:sz w:val="18"/>
                <w:szCs w:val="18"/>
                <w:color w:val="auto"/>
              </w:rPr>
              <w:t>effect to the offering</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r>
      <w:tr>
        <w:trPr>
          <w:trHeight w:val="224"/>
        </w:trPr>
        <w:tc>
          <w:tcPr>
            <w:tcW w:w="5660" w:type="dxa"/>
            <w:vAlign w:val="bottom"/>
          </w:tcPr>
          <w:p>
            <w:pPr>
              <w:spacing w:after="0"/>
              <w:rPr>
                <w:sz w:val="20"/>
                <w:szCs w:val="20"/>
                <w:color w:val="auto"/>
              </w:rPr>
            </w:pPr>
            <w:r>
              <w:rPr>
                <w:rFonts w:ascii="Arial" w:cs="Arial" w:eastAsia="Arial" w:hAnsi="Arial"/>
                <w:sz w:val="18"/>
                <w:szCs w:val="18"/>
                <w:color w:val="auto"/>
              </w:rPr>
              <w:t>Dilution per ordinary share to new investors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7.16</w:t>
            </w:r>
          </w:p>
        </w:tc>
      </w:tr>
    </w:tbl>
    <w:p>
      <w:pPr>
        <w:spacing w:after="0" w:line="160" w:lineRule="exact"/>
        <w:rPr>
          <w:sz w:val="20"/>
          <w:szCs w:val="20"/>
          <w:color w:val="auto"/>
        </w:rPr>
      </w:pPr>
    </w:p>
    <w:p>
      <w:pPr>
        <w:ind w:left="120" w:right="259" w:firstLine="216"/>
        <w:spacing w:after="0" w:line="297" w:lineRule="auto"/>
        <w:rPr>
          <w:sz w:val="20"/>
          <w:szCs w:val="20"/>
          <w:color w:val="auto"/>
        </w:rPr>
      </w:pPr>
      <w:r>
        <w:rPr>
          <w:rFonts w:ascii="Arial" w:cs="Arial" w:eastAsia="Arial" w:hAnsi="Arial"/>
          <w:sz w:val="16"/>
          <w:szCs w:val="16"/>
          <w:color w:val="auto"/>
        </w:rPr>
        <w:t>The table below summarizes, as of December 31, 2014, on the pro forma as adjusted basis described above, the differences between the number of ordinary shares purchased from us, the total consideration paid and the weighted average price per ordinary share paid by existing shareholders, on the one hand, and by new investors purchasing our ordinary shares in this offering, on the other hand, at the initial public offering price of $10.00 per ordinary share before deducting underwriting discounts and commissions and estimated offering expenses payable by us.</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5"/>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Shares Purchased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Total Consideration</w:t>
            </w:r>
          </w:p>
        </w:tc>
        <w:tc>
          <w:tcPr>
            <w:tcW w:w="840" w:type="dxa"/>
            <w:vAlign w:val="bottom"/>
          </w:tcPr>
          <w:p>
            <w:pPr>
              <w:jc w:val="center"/>
              <w:ind w:right="35"/>
              <w:spacing w:after="0"/>
              <w:rPr>
                <w:sz w:val="20"/>
                <w:szCs w:val="20"/>
                <w:color w:val="auto"/>
              </w:rPr>
            </w:pPr>
            <w:r>
              <w:rPr>
                <w:rFonts w:ascii="Arial" w:cs="Arial" w:eastAsia="Arial" w:hAnsi="Arial"/>
                <w:sz w:val="16"/>
                <w:szCs w:val="16"/>
                <w:b w:val="1"/>
                <w:bCs w:val="1"/>
                <w:color w:val="auto"/>
                <w:w w:val="91"/>
              </w:rPr>
              <w:t>Price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6"/>
                <w:szCs w:val="16"/>
                <w:b w:val="1"/>
                <w:bCs w:val="1"/>
                <w:color w:val="auto"/>
              </w:rPr>
              <w:t>Number</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6"/>
                <w:szCs w:val="16"/>
                <w:b w:val="1"/>
                <w:bCs w:val="1"/>
                <w:color w:val="auto"/>
              </w:rPr>
              <w:t>%</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5"/>
              <w:spacing w:after="0"/>
              <w:rPr>
                <w:sz w:val="20"/>
                <w:szCs w:val="20"/>
                <w:color w:val="auto"/>
              </w:rPr>
            </w:pPr>
            <w:r>
              <w:rPr>
                <w:rFonts w:ascii="Arial" w:cs="Arial" w:eastAsia="Arial" w:hAnsi="Arial"/>
                <w:sz w:val="16"/>
                <w:szCs w:val="16"/>
                <w:b w:val="1"/>
                <w:bCs w:val="1"/>
                <w:color w:val="auto"/>
                <w:w w:val="89"/>
              </w:rPr>
              <w:t>per Share</w:t>
            </w:r>
          </w:p>
        </w:tc>
        <w:tc>
          <w:tcPr>
            <w:tcW w:w="0" w:type="dxa"/>
            <w:vAlign w:val="bottom"/>
          </w:tcPr>
          <w:p>
            <w:pPr>
              <w:spacing w:after="0"/>
              <w:rPr>
                <w:sz w:val="1"/>
                <w:szCs w:val="1"/>
                <w:color w:val="auto"/>
              </w:rPr>
            </w:pPr>
          </w:p>
        </w:tc>
      </w:tr>
      <w:tr>
        <w:trPr>
          <w:trHeight w:val="195"/>
        </w:trPr>
        <w:tc>
          <w:tcPr>
            <w:tcW w:w="2780" w:type="dxa"/>
            <w:vAlign w:val="bottom"/>
          </w:tcPr>
          <w:p>
            <w:pPr>
              <w:spacing w:after="0" w:line="195" w:lineRule="exact"/>
              <w:rPr>
                <w:sz w:val="20"/>
                <w:szCs w:val="20"/>
                <w:color w:val="auto"/>
              </w:rPr>
            </w:pPr>
            <w:r>
              <w:rPr>
                <w:rFonts w:ascii="Arial" w:cs="Arial" w:eastAsia="Arial" w:hAnsi="Arial"/>
                <w:sz w:val="18"/>
                <w:szCs w:val="18"/>
                <w:color w:val="auto"/>
              </w:rPr>
              <w:t>Existing shareholders</w:t>
            </w:r>
          </w:p>
        </w:tc>
        <w:tc>
          <w:tcPr>
            <w:tcW w:w="100" w:type="dxa"/>
            <w:vAlign w:val="bottom"/>
          </w:tcPr>
          <w:p>
            <w:pPr>
              <w:spacing w:after="0"/>
              <w:rPr>
                <w:sz w:val="16"/>
                <w:szCs w:val="16"/>
                <w:color w:val="auto"/>
              </w:rPr>
            </w:pP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3"/>
              </w:rPr>
              <w:t>21,601,965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75.3%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5"/>
              </w:rPr>
              <w:t>10,734,179</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13.1%  $</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New investors</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7,100,000</w:t>
            </w:r>
          </w:p>
        </w:tc>
        <w:tc>
          <w:tcPr>
            <w:tcW w:w="28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71,000,000</w:t>
            </w:r>
          </w:p>
        </w:tc>
        <w:tc>
          <w:tcPr>
            <w:tcW w:w="30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86.9</w:t>
            </w:r>
          </w:p>
        </w:tc>
        <w:tc>
          <w:tcPr>
            <w:tcW w:w="320" w:type="dxa"/>
            <w:vAlign w:val="bottom"/>
            <w:vMerge w:val="restart"/>
          </w:tcPr>
          <w:p>
            <w:pPr>
              <w:jc w:val="right"/>
              <w:ind w:right="52"/>
              <w:spacing w:after="0"/>
              <w:rPr>
                <w:sz w:val="20"/>
                <w:szCs w:val="20"/>
                <w:color w:val="auto"/>
              </w:rPr>
            </w:pPr>
            <w:r>
              <w:rPr>
                <w:rFonts w:ascii="Arial" w:cs="Arial" w:eastAsia="Arial" w:hAnsi="Arial"/>
                <w:sz w:val="22"/>
                <w:szCs w:val="22"/>
                <w:color w:val="auto"/>
                <w:w w:val="71"/>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3"/>
        </w:trPr>
        <w:tc>
          <w:tcPr>
            <w:tcW w:w="2780" w:type="dxa"/>
            <w:vAlign w:val="bottom"/>
          </w:tcPr>
          <w:p>
            <w:pPr>
              <w:ind w:left="220"/>
              <w:spacing w:after="0"/>
              <w:rPr>
                <w:sz w:val="20"/>
                <w:szCs w:val="20"/>
                <w:color w:val="auto"/>
              </w:rPr>
            </w:pPr>
            <w:r>
              <w:rPr>
                <w:rFonts w:ascii="Arial" w:cs="Arial" w:eastAsia="Arial" w:hAnsi="Arial"/>
                <w:sz w:val="18"/>
                <w:szCs w:val="18"/>
                <w:color w:val="auto"/>
              </w:rPr>
              <w:t>Total</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28,701,965</w:t>
            </w:r>
          </w:p>
        </w:tc>
        <w:tc>
          <w:tcPr>
            <w:tcW w:w="280" w:type="dxa"/>
            <w:vAlign w:val="bottom"/>
          </w:tcPr>
          <w:p>
            <w:pPr>
              <w:spacing w:after="0"/>
              <w:rPr>
                <w:sz w:val="20"/>
                <w:szCs w:val="20"/>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1"/>
              </w:rPr>
              <w:t>$ 81,734,179</w:t>
            </w:r>
          </w:p>
        </w:tc>
        <w:tc>
          <w:tcPr>
            <w:tcW w:w="3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both"/>
        <w:ind w:left="120" w:right="279" w:firstLine="216"/>
        <w:spacing w:after="0" w:line="277" w:lineRule="auto"/>
        <w:rPr>
          <w:sz w:val="20"/>
          <w:szCs w:val="20"/>
          <w:color w:val="auto"/>
        </w:rPr>
      </w:pPr>
      <w:r>
        <w:rPr>
          <w:rFonts w:ascii="Arial" w:cs="Arial" w:eastAsia="Arial" w:hAnsi="Arial"/>
          <w:sz w:val="18"/>
          <w:szCs w:val="18"/>
          <w:color w:val="auto"/>
        </w:rPr>
        <w:t>The above discussion and tables are based on 28,701,965 ordinary shares issued and outstanding as of December 31, 2014, on a pro forma as adjusted basis as described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3" w:name="page34"/>
    <w:bookmarkEnd w:id="33"/>
    <w:p>
      <w:pPr>
        <w:ind w:left="120" w:right="179" w:firstLine="216"/>
        <w:spacing w:after="0" w:line="259" w:lineRule="auto"/>
        <w:rPr>
          <w:sz w:val="20"/>
          <w:szCs w:val="20"/>
          <w:color w:val="auto"/>
        </w:rPr>
      </w:pPr>
      <w:r>
        <w:rPr>
          <w:rFonts w:ascii="Arial" w:cs="Arial" w:eastAsia="Arial" w:hAnsi="Arial"/>
          <w:sz w:val="18"/>
          <w:szCs w:val="18"/>
          <w:color w:val="auto"/>
        </w:rPr>
        <w:t>The discussion and table above assume no exercise of the underwriters’ option to purchase additional ordinary shares. If the underwriters exercise their option to purchase additional ordinary shares in full, the pro forma number of our ordinary shares held by new investors will increase to 8,165,000, or approximately 27.4%, of the total pro forma number of our ordinary shares outstanding after this offering.</w:t>
      </w:r>
    </w:p>
    <w:p>
      <w:pPr>
        <w:spacing w:after="0" w:line="187" w:lineRule="exact"/>
        <w:rPr>
          <w:sz w:val="20"/>
          <w:szCs w:val="20"/>
          <w:color w:val="auto"/>
        </w:rPr>
      </w:pPr>
    </w:p>
    <w:p>
      <w:pPr>
        <w:jc w:val="both"/>
        <w:ind w:left="120" w:right="259" w:firstLine="216"/>
        <w:spacing w:after="0" w:line="264" w:lineRule="auto"/>
        <w:rPr>
          <w:sz w:val="20"/>
          <w:szCs w:val="20"/>
          <w:color w:val="auto"/>
        </w:rPr>
      </w:pPr>
      <w:r>
        <w:rPr>
          <w:rFonts w:ascii="Arial" w:cs="Arial" w:eastAsia="Arial" w:hAnsi="Arial"/>
          <w:sz w:val="18"/>
          <w:szCs w:val="18"/>
          <w:color w:val="auto"/>
        </w:rPr>
        <w:t>The preceding table excludes 2,640,564 ordinary shares reserved for issuance under our equity incentive plans as of December 31, 2014 in respect of which we had outstanding options to purchase 2,578,328 ordinary shares at a weighted average exercise price of $1.47 per share.</w:t>
      </w:r>
    </w:p>
    <w:p>
      <w:pPr>
        <w:spacing w:after="0" w:line="181"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If all of such outstanding options were exercised, pro forma as adjusted consolidated net tangible book value per share would be $2.73, dilution per ordinary share to new investors would be $7.27, the number of shares held by our existing shareholders would increase to 24,180,293, constituting 77.3% of our total issued shares (while new shareholders in this offering would only hold 22.7% of our issued shares), the total consideration amount paid by existing shareholders would increase to $14.5 million, or 17.0% of total consideration received by us for our shares (while the percentage of consideration paid by new shareholders in this offering would decrease to 83.0%) and the average price per share paid by our existing shareholders would instead be $0.60.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The selected consolidated statements of income data for the years ended December 31, 2012, 2013 and 2014 and selected consolidated balance sheet data as of December 31, 2013 and 2014 are derived from our audited consolidated financial statements appearing elsewhere in this prospectus. The selected consolidated balance sheet data as of December 31, 2012 has been derived from our audited consolidated financial statements not appearing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00" w:type="dxa"/>
            <w:vAlign w:val="bottom"/>
            <w:gridSpan w:val="8"/>
          </w:tcPr>
          <w:p>
            <w:pPr>
              <w:jc w:val="right"/>
              <w:ind w:right="90"/>
              <w:spacing w:after="0"/>
              <w:rPr>
                <w:sz w:val="20"/>
                <w:szCs w:val="20"/>
                <w:color w:val="auto"/>
              </w:rPr>
            </w:pPr>
            <w:r>
              <w:rPr>
                <w:rFonts w:ascii="Arial" w:cs="Arial" w:eastAsia="Arial" w:hAnsi="Arial"/>
                <w:sz w:val="16"/>
                <w:szCs w:val="16"/>
                <w:b w:val="1"/>
                <w:bCs w:val="1"/>
                <w:color w:val="auto"/>
                <w:w w:val="94"/>
              </w:rPr>
              <w:t>(in thousands, except share amounts and per share data)</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0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39,167</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49,395</w:t>
            </w:r>
          </w:p>
        </w:tc>
        <w:tc>
          <w:tcPr>
            <w:tcW w:w="340" w:type="dxa"/>
            <w:vAlign w:val="bottom"/>
          </w:tcPr>
          <w:p>
            <w:pPr>
              <w:spacing w:after="0"/>
              <w:rPr>
                <w:sz w:val="18"/>
                <w:szCs w:val="18"/>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line="231"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b w:val="1"/>
                <w:bCs w:val="1"/>
                <w:color w:val="auto"/>
                <w:vertAlign w:val="superscript"/>
              </w:rPr>
              <w:t>(1)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line="21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b w:val="1"/>
                <w:bCs w:val="1"/>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7,443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line="21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b w:val="1"/>
                <w:bCs w:val="1"/>
                <w:color w:val="auto"/>
                <w:vertAlign w:val="superscript"/>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200"/>
              <w:spacing w:after="0" w:line="231"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b w:val="1"/>
                <w:bCs w:val="1"/>
                <w:color w:val="auto"/>
                <w:vertAlign w:val="superscript"/>
              </w:rPr>
              <w:t>(1)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Finance expenses, net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00" w:type="dxa"/>
            <w:vAlign w:val="bottom"/>
            <w:gridSpan w:val="2"/>
          </w:tcPr>
          <w:p>
            <w:pPr>
              <w:spacing w:after="0" w:line="195" w:lineRule="exact"/>
              <w:rPr>
                <w:sz w:val="20"/>
                <w:szCs w:val="20"/>
                <w:color w:val="auto"/>
              </w:rPr>
            </w:pPr>
            <w:r>
              <w:rPr>
                <w:rFonts w:ascii="Arial" w:cs="Arial" w:eastAsia="Arial" w:hAnsi="Arial"/>
                <w:sz w:val="18"/>
                <w:szCs w:val="18"/>
                <w:color w:val="auto"/>
              </w:rPr>
              <w:t>Income before taxes on income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3,542</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2,527</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3,805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235" w:lineRule="exact"/>
              <w:rPr>
                <w:sz w:val="20"/>
                <w:szCs w:val="20"/>
                <w:color w:val="auto"/>
              </w:rPr>
            </w:pPr>
            <w:r>
              <w:rPr>
                <w:rFonts w:ascii="Arial" w:cs="Arial" w:eastAsia="Arial" w:hAnsi="Arial"/>
                <w:sz w:val="18"/>
                <w:szCs w:val="18"/>
                <w:color w:val="auto"/>
              </w:rPr>
              <w:t>Net earnings per ordinary share</w:t>
            </w:r>
            <w:r>
              <w:rPr>
                <w:rFonts w:ascii="Arial" w:cs="Arial" w:eastAsia="Arial" w:hAnsi="Arial"/>
                <w:sz w:val="23"/>
                <w:szCs w:val="23"/>
                <w:b w:val="1"/>
                <w:bCs w:val="1"/>
                <w:color w:val="auto"/>
                <w:vertAlign w:val="superscript"/>
              </w:rPr>
              <w:t>(2)</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0.26</w:t>
            </w:r>
          </w:p>
        </w:tc>
        <w:tc>
          <w:tcPr>
            <w:tcW w:w="60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7"/>
                <w:szCs w:val="17"/>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32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0.24</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3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3"/>
              </w:rPr>
              <w:t>Weighted average number of ordinary shares used in</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line="230"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23"/>
                <w:szCs w:val="23"/>
                <w:b w:val="1"/>
                <w:bCs w:val="1"/>
                <w:color w:val="auto"/>
                <w:vertAlign w:val="superscript"/>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8,953,565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8,953,565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8,969,588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9,649,573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9,880,049</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10,446,353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235" w:lineRule="exact"/>
              <w:rPr>
                <w:sz w:val="20"/>
                <w:szCs w:val="20"/>
                <w:color w:val="auto"/>
              </w:rPr>
            </w:pPr>
            <w:r>
              <w:rPr>
                <w:rFonts w:ascii="Arial" w:cs="Arial" w:eastAsia="Arial" w:hAnsi="Arial"/>
                <w:sz w:val="18"/>
                <w:szCs w:val="18"/>
                <w:color w:val="auto"/>
              </w:rPr>
              <w:t>Pro forma net earnings per ordinary share</w:t>
            </w:r>
            <w:r>
              <w:rPr>
                <w:rFonts w:ascii="Arial" w:cs="Arial" w:eastAsia="Arial" w:hAnsi="Arial"/>
                <w:sz w:val="23"/>
                <w:szCs w:val="23"/>
                <w:b w:val="1"/>
                <w:bCs w:val="1"/>
                <w:color w:val="auto"/>
                <w:vertAlign w:val="superscript"/>
              </w:rPr>
              <w:t>(3)</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gridSpan w:val="2"/>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w w:val="93"/>
              </w:rPr>
              <w:t>Weighted average number of ordinary shares used in</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line="230" w:lineRule="exact"/>
              <w:rPr>
                <w:sz w:val="20"/>
                <w:szCs w:val="20"/>
                <w:color w:val="auto"/>
              </w:rPr>
            </w:pPr>
            <w:r>
              <w:rPr>
                <w:rFonts w:ascii="Arial" w:cs="Arial" w:eastAsia="Arial" w:hAnsi="Arial"/>
                <w:sz w:val="18"/>
                <w:szCs w:val="18"/>
                <w:color w:val="auto"/>
                <w:w w:val="98"/>
              </w:rPr>
              <w:t>computing pro forma income per ordinary share</w:t>
            </w:r>
            <w:r>
              <w:rPr>
                <w:rFonts w:ascii="Arial" w:cs="Arial" w:eastAsia="Arial" w:hAnsi="Arial"/>
                <w:sz w:val="23"/>
                <w:szCs w:val="23"/>
                <w:b w:val="1"/>
                <w:bCs w:val="1"/>
                <w:color w:val="auto"/>
                <w:w w:val="98"/>
                <w:vertAlign w:val="superscript"/>
              </w:rPr>
              <w:t>(3)</w:t>
            </w:r>
            <w:r>
              <w:rPr>
                <w:rFonts w:ascii="Arial" w:cs="Arial" w:eastAsia="Arial" w:hAnsi="Arial"/>
                <w:sz w:val="18"/>
                <w:szCs w:val="18"/>
                <w:color w:val="auto"/>
                <w:w w:val="9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21,598,329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23,075,094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vMerge w:val="restart"/>
          </w:tcPr>
          <w:p>
            <w:pPr>
              <w:jc w:val="right"/>
              <w:ind w:right="912"/>
              <w:spacing w:after="0"/>
              <w:rPr>
                <w:sz w:val="20"/>
                <w:szCs w:val="20"/>
                <w:color w:val="auto"/>
              </w:rPr>
            </w:pPr>
            <w:r>
              <w:rPr>
                <w:rFonts w:ascii="Arial" w:cs="Arial" w:eastAsia="Arial" w:hAnsi="Arial"/>
                <w:sz w:val="14"/>
                <w:szCs w:val="14"/>
                <w:color w:val="auto"/>
                <w:w w:val="76"/>
              </w:rPr>
              <w:t>32</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5" w:name="page36"/>
    <w:bookmarkEnd w:id="3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As of December 31,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89"/>
              </w:rPr>
              <w:t>2013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4,663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5,329</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3420" w:type="dxa"/>
            <w:vAlign w:val="bottom"/>
          </w:tcPr>
          <w:p>
            <w:pPr>
              <w:spacing w:after="0" w:line="216" w:lineRule="exact"/>
              <w:rPr>
                <w:sz w:val="20"/>
                <w:szCs w:val="20"/>
                <w:color w:val="auto"/>
              </w:rPr>
            </w:pPr>
            <w:r>
              <w:rPr>
                <w:rFonts w:ascii="Arial" w:cs="Arial" w:eastAsia="Arial" w:hAnsi="Arial"/>
                <w:sz w:val="18"/>
                <w:szCs w:val="18"/>
                <w:color w:val="auto"/>
              </w:rPr>
              <w:t>Working capital</w:t>
            </w:r>
            <w:r>
              <w:rPr>
                <w:rFonts w:ascii="Arial" w:cs="Arial" w:eastAsia="Arial" w:hAnsi="Arial"/>
                <w:sz w:val="23"/>
                <w:szCs w:val="23"/>
                <w:color w:val="auto"/>
                <w:vertAlign w:val="superscript"/>
              </w:rPr>
              <w:t>(4)</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12,193</w:t>
            </w:r>
          </w:p>
        </w:tc>
        <w:tc>
          <w:tcPr>
            <w:tcW w:w="3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12,881</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15,186</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24,407</w:t>
            </w:r>
          </w:p>
        </w:tc>
        <w:tc>
          <w:tcPr>
            <w:tcW w:w="3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31,627</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34,714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1,372</w:t>
            </w:r>
          </w:p>
        </w:tc>
        <w:tc>
          <w:tcPr>
            <w:tcW w:w="300" w:type="dxa"/>
            <w:vAlign w:val="bottom"/>
          </w:tcPr>
          <w:p>
            <w:pPr>
              <w:spacing w:after="0"/>
              <w:rPr>
                <w:sz w:val="18"/>
                <w:szCs w:val="18"/>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1,617</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14,311</w:t>
            </w:r>
          </w:p>
        </w:tc>
        <w:tc>
          <w:tcPr>
            <w:tcW w:w="300" w:type="dxa"/>
            <w:vAlign w:val="bottom"/>
          </w:tcPr>
          <w:p>
            <w:pPr>
              <w:spacing w:after="0"/>
              <w:rPr>
                <w:sz w:val="20"/>
                <w:szCs w:val="20"/>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15,608</w:t>
            </w: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567"/>
        </w:trPr>
        <w:tc>
          <w:tcPr>
            <w:tcW w:w="3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jc w:val="center"/>
              <w:ind w:right="234"/>
              <w:spacing w:after="0"/>
              <w:rPr>
                <w:sz w:val="20"/>
                <w:szCs w:val="20"/>
                <w:color w:val="auto"/>
              </w:rPr>
            </w:pPr>
            <w:r>
              <w:rPr>
                <w:rFonts w:ascii="Arial" w:cs="Arial" w:eastAsia="Arial" w:hAnsi="Arial"/>
                <w:sz w:val="16"/>
                <w:szCs w:val="16"/>
                <w:b w:val="1"/>
                <w:bCs w:val="1"/>
                <w:color w:val="auto"/>
                <w:w w:val="93"/>
              </w:rPr>
              <w:t>Year Ended</w:t>
            </w: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34"/>
              <w:spacing w:after="0"/>
              <w:rPr>
                <w:sz w:val="20"/>
                <w:szCs w:val="20"/>
                <w:color w:val="auto"/>
              </w:rPr>
            </w:pPr>
            <w:r>
              <w:rPr>
                <w:rFonts w:ascii="Arial" w:cs="Arial" w:eastAsia="Arial" w:hAnsi="Arial"/>
                <w:sz w:val="16"/>
                <w:szCs w:val="16"/>
                <w:b w:val="1"/>
                <w:bCs w:val="1"/>
                <w:color w:val="auto"/>
                <w:w w:val="90"/>
              </w:rPr>
              <w:t>December 31,</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214"/>
              <w:spacing w:after="0"/>
              <w:rPr>
                <w:sz w:val="20"/>
                <w:szCs w:val="20"/>
                <w:color w:val="auto"/>
              </w:rPr>
            </w:pPr>
            <w:r>
              <w:rPr>
                <w:rFonts w:ascii="Arial" w:cs="Arial" w:eastAsia="Arial" w:hAnsi="Arial"/>
                <w:sz w:val="16"/>
                <w:szCs w:val="16"/>
                <w:b w:val="1"/>
                <w:bCs w:val="1"/>
                <w:color w:val="auto"/>
                <w:w w:val="89"/>
              </w:rPr>
              <w:t>2013</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Financial Data:</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(in thousands)</w:t>
            </w: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420" w:type="dxa"/>
            <w:vAlign w:val="bottom"/>
            <w:vMerge w:val="continue"/>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tcPr>
          <w:p>
            <w:pPr>
              <w:spacing w:after="0" w:line="209" w:lineRule="exact"/>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4,690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4,281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6,069</w:t>
            </w: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0"/>
                <w:szCs w:val="20"/>
                <w:color w:val="auto"/>
              </w:rPr>
            </w:pPr>
            <w:r>
              <w:rPr>
                <w:rFonts w:ascii="Arial" w:cs="Arial" w:eastAsia="Arial" w:hAnsi="Arial"/>
                <w:sz w:val="22"/>
                <w:szCs w:val="22"/>
                <w:color w:val="auto"/>
              </w:rPr>
              <w:t>______________</w:t>
            </w: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auto"/>
        </w:rPr>
        <w:t>(1) Includes share-based compensation expense as follows: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34"/>
              <w:spacing w:after="0"/>
              <w:rPr>
                <w:sz w:val="20"/>
                <w:szCs w:val="20"/>
                <w:color w:val="auto"/>
              </w:rPr>
            </w:pPr>
            <w:r>
              <w:rPr>
                <w:rFonts w:ascii="Arial" w:cs="Arial" w:eastAsia="Arial" w:hAnsi="Arial"/>
                <w:sz w:val="16"/>
                <w:szCs w:val="16"/>
                <w:b w:val="1"/>
                <w:bCs w:val="1"/>
                <w:color w:val="auto"/>
                <w:w w:val="93"/>
              </w:rPr>
              <w:t>Year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04"/>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Share-based Compensation Expense:</w:t>
            </w: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34"/>
              <w:spacing w:after="0"/>
              <w:rPr>
                <w:sz w:val="20"/>
                <w:szCs w:val="20"/>
                <w:color w:val="auto"/>
              </w:rPr>
            </w:pPr>
            <w:r>
              <w:rPr>
                <w:rFonts w:ascii="Arial" w:cs="Arial" w:eastAsia="Arial" w:hAnsi="Arial"/>
                <w:sz w:val="16"/>
                <w:szCs w:val="16"/>
                <w:b w:val="1"/>
                <w:bCs w:val="1"/>
                <w:color w:val="auto"/>
                <w:w w:val="88"/>
              </w:rPr>
              <w:t>(in thousands)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5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gridSpan w:val="2"/>
          </w:tcPr>
          <w:p>
            <w:pPr>
              <w:jc w:val="right"/>
              <w:ind w:right="76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4"/>
        </w:trPr>
        <w:tc>
          <w:tcPr>
            <w:tcW w:w="35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640" w:type="dxa"/>
            <w:vAlign w:val="bottom"/>
          </w:tcPr>
          <w:p>
            <w:pPr>
              <w:spacing w:after="0"/>
              <w:rPr>
                <w:sz w:val="19"/>
                <w:szCs w:val="19"/>
                <w:color w:val="auto"/>
              </w:rPr>
            </w:pP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3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-8255</wp:posOffset>
            </wp:positionV>
            <wp:extent cx="2787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22"/>
          <w:szCs w:val="22"/>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2759075</wp:posOffset>
            </wp:positionH>
            <wp:positionV relativeFrom="paragraph">
              <wp:posOffset>-154940</wp:posOffset>
            </wp:positionV>
            <wp:extent cx="2787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ind w:left="440" w:right="499" w:hanging="270"/>
        <w:spacing w:after="0" w:line="276" w:lineRule="auto"/>
        <w:tabs>
          <w:tab w:leader="none" w:pos="416" w:val="left"/>
        </w:tabs>
        <w:numPr>
          <w:ilvl w:val="1"/>
          <w:numId w:val="23"/>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 2v and 10 to our consolidated financial statements included elsewhere in this prospectus.</w:t>
      </w:r>
    </w:p>
    <w:p>
      <w:pPr>
        <w:spacing w:after="0" w:line="173" w:lineRule="exact"/>
        <w:rPr>
          <w:rFonts w:ascii="Arial" w:cs="Arial" w:eastAsia="Arial" w:hAnsi="Arial"/>
          <w:sz w:val="17"/>
          <w:szCs w:val="17"/>
          <w:color w:val="auto"/>
        </w:rPr>
      </w:pPr>
    </w:p>
    <w:p>
      <w:pPr>
        <w:ind w:left="440" w:right="319" w:hanging="315"/>
        <w:spacing w:after="0" w:line="257" w:lineRule="auto"/>
        <w:tabs>
          <w:tab w:leader="none" w:pos="4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2c to our consolidated financial statements included elsewhere in this prospectus.</w:t>
      </w:r>
    </w:p>
    <w:p>
      <w:pPr>
        <w:spacing w:after="0" w:line="188" w:lineRule="exact"/>
        <w:rPr>
          <w:rFonts w:ascii="Arial" w:cs="Arial" w:eastAsia="Arial" w:hAnsi="Arial"/>
          <w:sz w:val="18"/>
          <w:szCs w:val="18"/>
          <w:color w:val="auto"/>
        </w:rPr>
      </w:pPr>
    </w:p>
    <w:p>
      <w:pPr>
        <w:ind w:left="440" w:hanging="315"/>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184" w:lineRule="exact"/>
        <w:rPr>
          <w:rFonts w:ascii="Arial" w:cs="Arial" w:eastAsia="Arial" w:hAnsi="Arial"/>
          <w:sz w:val="18"/>
          <w:szCs w:val="18"/>
          <w:color w:val="auto"/>
        </w:rPr>
      </w:pPr>
    </w:p>
    <w:p>
      <w:pPr>
        <w:ind w:left="440" w:hanging="315"/>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Reconciliation of Net Income to Adjusted EBITDA: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64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2,314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0"/>
                <w:szCs w:val="20"/>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100" w:type="dxa"/>
            <w:vAlign w:val="bottom"/>
            <w:gridSpan w:val="2"/>
          </w:tcPr>
          <w:p>
            <w:pPr>
              <w:spacing w:after="0" w:line="195" w:lineRule="exact"/>
              <w:rPr>
                <w:sz w:val="20"/>
                <w:szCs w:val="20"/>
                <w:color w:val="auto"/>
              </w:rPr>
            </w:pPr>
            <w:r>
              <w:rPr>
                <w:rFonts w:ascii="Arial" w:cs="Arial" w:eastAsia="Arial" w:hAnsi="Arial"/>
                <w:sz w:val="18"/>
                <w:szCs w:val="18"/>
                <w:color w:val="auto"/>
              </w:rPr>
              <w:t>Finance expenses, net</w:t>
            </w: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285</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460</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1,228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1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9"/>
                <w:szCs w:val="19"/>
                <w:color w:val="auto"/>
              </w:rPr>
            </w:pPr>
          </w:p>
        </w:tc>
        <w:tc>
          <w:tcPr>
            <w:tcW w:w="800" w:type="dxa"/>
            <w:vAlign w:val="bottom"/>
          </w:tcPr>
          <w:p>
            <w:pPr>
              <w:jc w:val="right"/>
              <w:ind w:right="642"/>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4,690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4,281</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6,069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2"/>
          </w:tcPr>
          <w:p>
            <w:pPr>
              <w:jc w:val="right"/>
              <w:ind w:right="482"/>
              <w:spacing w:after="0"/>
              <w:rPr>
                <w:sz w:val="20"/>
                <w:szCs w:val="20"/>
                <w:color w:val="auto"/>
              </w:rPr>
            </w:pPr>
            <w:r>
              <w:rPr>
                <w:rFonts w:ascii="Arial" w:cs="Arial" w:eastAsia="Arial" w:hAnsi="Arial"/>
                <w:sz w:val="14"/>
                <w:szCs w:val="14"/>
                <w:color w:val="auto"/>
              </w:rPr>
              <w:t>33</w:t>
            </w:r>
          </w:p>
        </w:tc>
        <w:tc>
          <w:tcPr>
            <w:tcW w:w="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6" w:right="1440" w:bottom="1440" w:gutter="0" w:footer="0" w:header="0"/>
        </w:sectPr>
      </w:pPr>
    </w:p>
    <w:bookmarkStart w:id="36" w:name="page37"/>
    <w:bookmarkEnd w:id="36"/>
    <w:p>
      <w:pPr>
        <w:ind w:left="120" w:right="17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560" w:right="779" w:hanging="219"/>
        <w:spacing w:after="0" w:line="232" w:lineRule="auto"/>
        <w:tabs>
          <w:tab w:leader="none" w:pos="534"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25"/>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34" w:val="left"/>
        </w:tabs>
        <w:numPr>
          <w:ilvl w:val="0"/>
          <w:numId w:val="25"/>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167" w:lineRule="exact"/>
        <w:rPr>
          <w:sz w:val="20"/>
          <w:szCs w:val="20"/>
          <w:color w:val="auto"/>
        </w:rPr>
      </w:pPr>
    </w:p>
    <w:p>
      <w:pPr>
        <w:ind w:left="120" w:right="239" w:firstLine="216"/>
        <w:spacing w:after="0" w:line="288" w:lineRule="auto"/>
        <w:rPr>
          <w:sz w:val="20"/>
          <w:szCs w:val="20"/>
          <w:color w:val="auto"/>
        </w:rPr>
      </w:pPr>
      <w:r>
        <w:rPr>
          <w:rFonts w:ascii="Arial" w:cs="Arial" w:eastAsia="Arial" w:hAnsi="Arial"/>
          <w:sz w:val="16"/>
          <w:szCs w:val="16"/>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169" w:lineRule="exact"/>
        <w:rPr>
          <w:sz w:val="20"/>
          <w:szCs w:val="20"/>
          <w:color w:val="auto"/>
        </w:rPr>
      </w:pPr>
    </w:p>
    <w:p>
      <w:pPr>
        <w:ind w:left="120" w:right="119" w:firstLine="216"/>
        <w:spacing w:after="0" w:line="290" w:lineRule="auto"/>
        <w:rPr>
          <w:sz w:val="20"/>
          <w:szCs w:val="20"/>
          <w:color w:val="auto"/>
        </w:rPr>
      </w:pPr>
      <w:r>
        <w:rPr>
          <w:rFonts w:ascii="Arial" w:cs="Arial" w:eastAsia="Arial" w:hAnsi="Arial"/>
          <w:sz w:val="16"/>
          <w:szCs w:val="16"/>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ind w:left="120" w:right="559" w:firstLine="216"/>
        <w:spacing w:after="0" w:line="286" w:lineRule="auto"/>
        <w:rPr>
          <w:sz w:val="20"/>
          <w:szCs w:val="20"/>
          <w:color w:val="auto"/>
        </w:rPr>
      </w:pPr>
      <w:r>
        <w:rPr>
          <w:rFonts w:ascii="Arial" w:cs="Arial" w:eastAsia="Arial" w:hAnsi="Arial"/>
          <w:sz w:val="17"/>
          <w:szCs w:val="17"/>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66"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82" w:lineRule="exact"/>
        <w:rPr>
          <w:sz w:val="20"/>
          <w:szCs w:val="20"/>
          <w:color w:val="auto"/>
        </w:rPr>
      </w:pPr>
    </w:p>
    <w:p>
      <w:pPr>
        <w:ind w:left="120" w:right="119" w:firstLine="216"/>
        <w:spacing w:after="0" w:line="297" w:lineRule="auto"/>
        <w:rPr>
          <w:sz w:val="20"/>
          <w:szCs w:val="20"/>
          <w:color w:val="auto"/>
        </w:rPr>
      </w:pPr>
      <w:r>
        <w:rPr>
          <w:rFonts w:ascii="Arial" w:cs="Arial" w:eastAsia="Arial" w:hAnsi="Arial"/>
          <w:sz w:val="16"/>
          <w:szCs w:val="16"/>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79"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66"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63% of our revenues in 2013 and approximately 72% in 2014. The balance of our revenues are generated through direct sales.</w:t>
      </w:r>
    </w:p>
    <w:p>
      <w:pPr>
        <w:spacing w:after="0" w:line="181" w:lineRule="exact"/>
        <w:rPr>
          <w:sz w:val="20"/>
          <w:szCs w:val="20"/>
          <w:color w:val="auto"/>
        </w:rPr>
      </w:pPr>
    </w:p>
    <w:p>
      <w:pPr>
        <w:ind w:left="120" w:right="259" w:firstLine="216"/>
        <w:spacing w:after="0" w:line="253"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discounts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120"/>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6"/>
                <w:szCs w:val="16"/>
                <w:b w:val="1"/>
                <w:bCs w:val="1"/>
                <w:color w:val="auto"/>
                <w:w w:val="90"/>
              </w:rPr>
              <w:t>Year Ended December 31,</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2012</w:t>
            </w:r>
          </w:p>
        </w:tc>
        <w:tc>
          <w:tcPr>
            <w:tcW w:w="8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8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96"/>
        </w:trPr>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7"/>
                <w:szCs w:val="17"/>
                <w:color w:val="auto"/>
              </w:rPr>
            </w:pPr>
          </w:p>
        </w:tc>
      </w:tr>
      <w:tr>
        <w:trPr>
          <w:trHeight w:val="182"/>
        </w:trPr>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6"/>
          </w:tcPr>
          <w:p>
            <w:pPr>
              <w:jc w:val="right"/>
              <w:ind w:right="30"/>
              <w:spacing w:after="0" w:line="182" w:lineRule="exact"/>
              <w:rPr>
                <w:sz w:val="20"/>
                <w:szCs w:val="20"/>
                <w:color w:val="auto"/>
              </w:rPr>
            </w:pPr>
            <w:r>
              <w:rPr>
                <w:rFonts w:ascii="Arial" w:cs="Arial" w:eastAsia="Arial" w:hAnsi="Arial"/>
                <w:sz w:val="16"/>
                <w:szCs w:val="16"/>
                <w:b w:val="1"/>
                <w:bCs w:val="1"/>
                <w:color w:val="auto"/>
                <w:w w:val="87"/>
              </w:rPr>
              <w:t>(in thousands except percentages)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United States</w:t>
            </w:r>
          </w:p>
        </w:tc>
        <w:tc>
          <w:tcPr>
            <w:tcW w:w="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16,886</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22,022</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33,188</w:t>
            </w:r>
          </w:p>
        </w:tc>
        <w:tc>
          <w:tcPr>
            <w:tcW w:w="3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9"/>
              </w:rPr>
              <w:t>Americas (non-U.S.)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14,311</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18,004</w:t>
            </w: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rPr>
              <w:t>Asia Pacific</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20"/>
                <w:szCs w:val="20"/>
                <w:color w:val="auto"/>
              </w:rPr>
            </w:pPr>
          </w:p>
        </w:tc>
      </w:tr>
      <w:tr>
        <w:trPr>
          <w:trHeight w:val="210"/>
        </w:trPr>
        <w:tc>
          <w:tcPr>
            <w:tcW w:w="1640" w:type="dxa"/>
            <w:vAlign w:val="bottom"/>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39,167</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49,395</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66,364</w:t>
            </w:r>
          </w:p>
        </w:tc>
        <w:tc>
          <w:tcPr>
            <w:tcW w:w="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1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12" w:lineRule="exact"/>
        <w:rPr>
          <w:sz w:val="20"/>
          <w:szCs w:val="20"/>
          <w:color w:val="auto"/>
        </w:rPr>
      </w:pPr>
    </w:p>
    <w:p>
      <w:pPr>
        <w:ind w:left="120" w:right="219" w:firstLine="216"/>
        <w:spacing w:after="0" w:line="289" w:lineRule="auto"/>
        <w:rPr>
          <w:sz w:val="20"/>
          <w:szCs w:val="20"/>
          <w:color w:val="auto"/>
        </w:rPr>
      </w:pPr>
      <w:r>
        <w:rPr>
          <w:rFonts w:ascii="Arial" w:cs="Arial" w:eastAsia="Arial" w:hAnsi="Arial"/>
          <w:sz w:val="16"/>
          <w:szCs w:val="16"/>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53"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66"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offering, and thereby leverage the fixed cost component associated with it, by increasing sales of post-warranty service contracts and providing other professional services.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120" w:right="119" w:firstLine="216"/>
        <w:spacing w:after="0" w:line="293" w:lineRule="auto"/>
        <w:rPr>
          <w:sz w:val="20"/>
          <w:szCs w:val="20"/>
          <w:color w:val="auto"/>
        </w:rPr>
      </w:pPr>
      <w:r>
        <w:rPr>
          <w:rFonts w:ascii="Arial" w:cs="Arial" w:eastAsia="Arial" w:hAnsi="Arial"/>
          <w:sz w:val="16"/>
          <w:szCs w:val="16"/>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as we hire new employees to support the continued growth of our business. In the medium term, we expect operating expenses to decrease as a percentage of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120" w:right="139" w:firstLine="216"/>
        <w:spacing w:after="0" w:line="26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efforts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142"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largest component of our sales and marketing expenses is salaries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140" w:lineRule="exact"/>
        <w:rPr>
          <w:sz w:val="20"/>
          <w:szCs w:val="20"/>
          <w:color w:val="auto"/>
        </w:rPr>
      </w:pPr>
    </w:p>
    <w:p>
      <w:pPr>
        <w:ind w:left="120" w:right="11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largest component of our general and administrative expenses is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personnel 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Expenses, Net</w:t>
      </w:r>
    </w:p>
    <w:p>
      <w:pPr>
        <w:spacing w:after="0" w:line="185" w:lineRule="exact"/>
        <w:rPr>
          <w:sz w:val="20"/>
          <w:szCs w:val="20"/>
          <w:color w:val="auto"/>
        </w:rPr>
      </w:pPr>
    </w:p>
    <w:p>
      <w:pPr>
        <w:ind w:left="120" w:right="299" w:firstLine="216"/>
        <w:spacing w:after="0" w:line="293" w:lineRule="auto"/>
        <w:rPr>
          <w:sz w:val="20"/>
          <w:szCs w:val="20"/>
          <w:color w:val="auto"/>
        </w:rPr>
      </w:pPr>
      <w:r>
        <w:rPr>
          <w:rFonts w:ascii="Arial" w:cs="Arial" w:eastAsia="Arial" w:hAnsi="Arial"/>
          <w:sz w:val="16"/>
          <w:szCs w:val="16"/>
          <w:color w:val="auto"/>
        </w:rPr>
        <w:t>Finance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December 31,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85"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29" w:lineRule="exact"/>
        <w:rPr>
          <w:sz w:val="20"/>
          <w:szCs w:val="20"/>
          <w:color w:val="auto"/>
        </w:rPr>
      </w:pPr>
    </w:p>
    <w:p>
      <w:pPr>
        <w:ind w:left="120" w:right="439" w:firstLine="216"/>
        <w:spacing w:after="0" w:line="291" w:lineRule="auto"/>
        <w:rPr>
          <w:sz w:val="20"/>
          <w:szCs w:val="20"/>
          <w:color w:val="auto"/>
        </w:rPr>
      </w:pPr>
      <w:r>
        <w:rPr>
          <w:rFonts w:ascii="Arial" w:cs="Arial" w:eastAsia="Arial" w:hAnsi="Arial"/>
          <w:sz w:val="16"/>
          <w:szCs w:val="16"/>
          <w:color w:val="auto"/>
        </w:rPr>
        <w:t>Starting from January 1, 2014, we have consolidated the results of our Israeli operations for tax purposes such that future net operating loss carryforwards of Kornit Technologies can be used to offset Israeli taxable income from</w:t>
      </w:r>
    </w:p>
    <w:p>
      <w:pPr>
        <w:jc w:val="both"/>
        <w:ind w:left="120" w:right="159"/>
        <w:spacing w:after="0" w:line="302" w:lineRule="auto"/>
        <w:rPr>
          <w:sz w:val="20"/>
          <w:szCs w:val="20"/>
          <w:color w:val="auto"/>
        </w:rPr>
      </w:pPr>
      <w:r>
        <w:rPr>
          <w:rFonts w:ascii="Arial" w:cs="Arial" w:eastAsia="Arial" w:hAnsi="Arial"/>
          <w:sz w:val="16"/>
          <w:szCs w:val="16"/>
          <w:color w:val="auto"/>
        </w:rPr>
        <w:t>us. Kornit Technologies currently generates sufficient net operating loss carryforwards to offset the taxable income of the parent. Accordingly, we were not subject to income tax in Israel in 2014 and our effective tax rate was the blended rate of our Israeli tax obligations and those of our non-Israeli subsidiaries in their respective jurisdictions of organization.</w:t>
      </w:r>
    </w:p>
    <w:p>
      <w:pPr>
        <w:spacing w:after="0" w:line="1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120" w:right="279" w:firstLine="216"/>
        <w:spacing w:after="0" w:line="312" w:lineRule="auto"/>
        <w:rPr>
          <w:sz w:val="20"/>
          <w:szCs w:val="20"/>
          <w:color w:val="auto"/>
        </w:rPr>
      </w:pPr>
      <w:r>
        <w:rPr>
          <w:rFonts w:ascii="Arial" w:cs="Arial" w:eastAsia="Arial" w:hAnsi="Arial"/>
          <w:sz w:val="16"/>
          <w:szCs w:val="16"/>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189" w:lineRule="exact"/>
        <w:rPr>
          <w:sz w:val="20"/>
          <w:szCs w:val="20"/>
          <w:color w:val="auto"/>
        </w:rPr>
      </w:pPr>
    </w:p>
    <w:p>
      <w:pPr>
        <w:ind w:left="120" w:right="619" w:firstLine="216"/>
        <w:spacing w:after="0" w:line="277" w:lineRule="auto"/>
        <w:rPr>
          <w:sz w:val="20"/>
          <w:szCs w:val="20"/>
          <w:color w:val="auto"/>
        </w:rPr>
      </w:pPr>
      <w:r>
        <w:rPr>
          <w:rFonts w:ascii="Arial" w:cs="Arial" w:eastAsia="Arial" w:hAnsi="Arial"/>
          <w:sz w:val="18"/>
          <w:szCs w:val="18"/>
          <w:color w:val="auto"/>
        </w:rPr>
        <w:t>The following tables set forth our results of operations in dollars and as a percentage of revenues for the periods indicated:</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99"/>
        </w:trPr>
        <w:tc>
          <w:tcPr>
            <w:tcW w:w="3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r>
      <w:tr>
        <w:trPr>
          <w:trHeight w:val="182"/>
        </w:trPr>
        <w:tc>
          <w:tcPr>
            <w:tcW w:w="3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420"/>
              <w:spacing w:after="0" w:line="182" w:lineRule="exact"/>
              <w:rPr>
                <w:sz w:val="20"/>
                <w:szCs w:val="20"/>
                <w:color w:val="auto"/>
              </w:rPr>
            </w:pPr>
            <w:r>
              <w:rPr>
                <w:rFonts w:ascii="Arial" w:cs="Arial" w:eastAsia="Arial" w:hAnsi="Arial"/>
                <w:sz w:val="16"/>
                <w:szCs w:val="16"/>
                <w:b w:val="1"/>
                <w:bCs w:val="1"/>
                <w:color w:val="auto"/>
                <w:w w:val="88"/>
              </w:rPr>
              <w:t>(in thousands)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2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39,167</w:t>
            </w:r>
          </w:p>
        </w:tc>
        <w:tc>
          <w:tcPr>
            <w:tcW w:w="2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49,395</w:t>
            </w:r>
          </w:p>
        </w:tc>
        <w:tc>
          <w:tcPr>
            <w:tcW w:w="300" w:type="dxa"/>
            <w:vAlign w:val="bottom"/>
          </w:tcPr>
          <w:p>
            <w:pPr>
              <w:spacing w:after="0"/>
              <w:rPr>
                <w:sz w:val="18"/>
                <w:szCs w:val="18"/>
                <w:color w:val="auto"/>
              </w:rPr>
            </w:pPr>
          </w:p>
        </w:tc>
        <w:tc>
          <w:tcPr>
            <w:tcW w:w="300" w:type="dxa"/>
            <w:vAlign w:val="bottom"/>
            <w:gridSpan w:val="2"/>
          </w:tcPr>
          <w:p>
            <w:pPr>
              <w:jc w:val="right"/>
              <w:ind w:right="105"/>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66,364</w:t>
            </w:r>
          </w:p>
        </w:tc>
        <w:tc>
          <w:tcPr>
            <w:tcW w:w="14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14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14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7,734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c>
          <w:tcPr>
            <w:tcW w:w="140" w:type="dxa"/>
            <w:vAlign w:val="bottom"/>
          </w:tcPr>
          <w:p>
            <w:pPr>
              <w:spacing w:after="0"/>
              <w:rPr>
                <w:sz w:val="18"/>
                <w:szCs w:val="18"/>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4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25,357</w:t>
            </w:r>
          </w:p>
        </w:tc>
        <w:tc>
          <w:tcPr>
            <w:tcW w:w="14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4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Finance expenses, net</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Income before taxes on income</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3,542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2,527</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3,805</w:t>
            </w:r>
          </w:p>
        </w:tc>
        <w:tc>
          <w:tcPr>
            <w:tcW w:w="14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Taxes on income</w:t>
            </w: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3,023</w:t>
            </w:r>
          </w:p>
        </w:tc>
        <w:tc>
          <w:tcPr>
            <w:tcW w:w="14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58"/>
        </w:trPr>
        <w:tc>
          <w:tcPr>
            <w:tcW w:w="3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199"/>
        </w:trPr>
        <w:tc>
          <w:tcPr>
            <w:tcW w:w="3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r>
      <w:tr>
        <w:trPr>
          <w:trHeight w:val="182"/>
        </w:trPr>
        <w:tc>
          <w:tcPr>
            <w:tcW w:w="3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4"/>
          </w:tcPr>
          <w:p>
            <w:pPr>
              <w:jc w:val="center"/>
              <w:ind w:right="160"/>
              <w:spacing w:after="0" w:line="182" w:lineRule="exact"/>
              <w:rPr>
                <w:sz w:val="20"/>
                <w:szCs w:val="20"/>
                <w:color w:val="auto"/>
              </w:rPr>
            </w:pPr>
            <w:r>
              <w:rPr>
                <w:rFonts w:ascii="Arial" w:cs="Arial" w:eastAsia="Arial" w:hAnsi="Arial"/>
                <w:sz w:val="16"/>
                <w:szCs w:val="16"/>
                <w:b w:val="1"/>
                <w:bCs w:val="1"/>
                <w:color w:val="auto"/>
                <w:w w:val="90"/>
              </w:rPr>
              <w:t>(as a % of revenues)</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r>
      <w:tr>
        <w:trPr>
          <w:trHeight w:val="216"/>
        </w:trPr>
        <w:tc>
          <w:tcPr>
            <w:tcW w:w="32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8"/>
                <w:szCs w:val="18"/>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4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8"/>
                <w:szCs w:val="18"/>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Finance expenses, net</w:t>
            </w:r>
          </w:p>
        </w:tc>
        <w:tc>
          <w:tcPr>
            <w:tcW w:w="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Income before taxes on income</w:t>
            </w: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9.0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5.1</w:t>
            </w: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5.8</w:t>
            </w:r>
          </w:p>
        </w:tc>
        <w:tc>
          <w:tcPr>
            <w:tcW w:w="140" w:type="dxa"/>
            <w:vAlign w:val="bottom"/>
          </w:tcPr>
          <w:p>
            <w:pPr>
              <w:spacing w:after="0"/>
              <w:rPr>
                <w:sz w:val="16"/>
                <w:szCs w:val="16"/>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Taxes on income</w:t>
            </w:r>
          </w:p>
        </w:tc>
        <w:tc>
          <w:tcPr>
            <w:tcW w:w="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0"/>
                <w:szCs w:val="20"/>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3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4339"/>
        <w:spacing w:after="0" w:line="438" w:lineRule="auto"/>
        <w:rPr>
          <w:sz w:val="20"/>
          <w:szCs w:val="20"/>
          <w:color w:val="auto"/>
        </w:rPr>
      </w:pPr>
      <w:r>
        <w:rPr>
          <w:rFonts w:ascii="Arial" w:cs="Arial" w:eastAsia="Arial" w:hAnsi="Arial"/>
          <w:sz w:val="18"/>
          <w:szCs w:val="18"/>
          <w:b w:val="1"/>
          <w:bCs w:val="1"/>
          <w:i w:val="1"/>
          <w:iCs w:val="1"/>
          <w:color w:val="auto"/>
        </w:rPr>
        <w:t xml:space="preserve">Comparison of the Years Ended December 31, 2013 and 2014 </w:t>
      </w:r>
      <w:r>
        <w:rPr>
          <w:rFonts w:ascii="Arial" w:cs="Arial" w:eastAsia="Arial" w:hAnsi="Arial"/>
          <w:sz w:val="18"/>
          <w:szCs w:val="18"/>
          <w:i w:val="1"/>
          <w:iCs w:val="1"/>
          <w:color w:val="auto"/>
        </w:rPr>
        <w:t>Revenues</w:t>
      </w:r>
    </w:p>
    <w:p>
      <w:pPr>
        <w:spacing w:after="0" w:line="1"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Revenues increased by $17.0 million, or 34.4%, to $66.4 million in 2014 from $49.4 million in 2013. Most of the growth in revenues resulted from a 45.5% increase in system and services revenues to $40.6 million in 2014 from $27.9 million in 2013. The growth in revenues also resulted from a 20.0% increase in sales of ink and other consumables to $25.8 million in 2014 from $21.5 million in 2013. The substantial majority of the $12.7 million growth in system and services revenues was attributable to a change in the mix of systems sold, specifically sales of more high throughput systems in this period, which sell for higher average selling prices than our entry level systems. We believe that the increase in sales of high throughput systems was a result of our coordinated marketing efforts following the introduction of a more advanced high throughput system in mid-2013, positive reception of these products and the growing maturity of the web-to-print business model facilitated by high throughput systems. The $4.3 million increase in ink and other consumables revenues was due to higher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120" w:right="479"/>
        <w:spacing w:after="0" w:line="312" w:lineRule="auto"/>
        <w:rPr>
          <w:sz w:val="20"/>
          <w:szCs w:val="20"/>
          <w:color w:val="auto"/>
        </w:rPr>
      </w:pPr>
      <w:r>
        <w:rPr>
          <w:rFonts w:ascii="Arial" w:cs="Arial" w:eastAsia="Arial" w:hAnsi="Arial"/>
          <w:sz w:val="16"/>
          <w:szCs w:val="16"/>
          <w:color w:val="auto"/>
        </w:rPr>
        <w:t>sales volumes of ink and other consumables. The absolute and percentage increase in ink and other consumables revenues in 2014 compared to 2013 was smaller than in 2013 compared to 2012 because systems sales were lower in 2013 and accordingly drove a smaller increase in sales of ink and other consumables in 2014.</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185" w:lineRule="exact"/>
        <w:rPr>
          <w:sz w:val="20"/>
          <w:szCs w:val="20"/>
          <w:color w:val="auto"/>
        </w:rPr>
      </w:pPr>
    </w:p>
    <w:p>
      <w:pPr>
        <w:ind w:left="120" w:right="139" w:firstLine="216"/>
        <w:spacing w:after="0" w:line="290" w:lineRule="auto"/>
        <w:rPr>
          <w:sz w:val="20"/>
          <w:szCs w:val="20"/>
          <w:color w:val="auto"/>
        </w:rPr>
      </w:pPr>
      <w:r>
        <w:rPr>
          <w:rFonts w:ascii="Arial" w:cs="Arial" w:eastAsia="Arial" w:hAnsi="Arial"/>
          <w:sz w:val="16"/>
          <w:szCs w:val="16"/>
          <w:color w:val="auto"/>
        </w:rPr>
        <w:t>Cost of revenues increased by $9.2 million, or 32.9%, to $37.2 million in 2014 from $28.0 million in 2013. Gross profit increased by $7.8 million, or 36.4%, to $29.2 million in 2014, as compared to $21.4 million in 2013. Gross margin was 44.0% in 2014 compared to 43.4% in 2013. The increase in gross margin is related to a 8.1% increase in systems gross margin partially offset by a 3.0% decrease in gross margin from ink and other consumables in each case compared to the prior year. The increase in system gross margin resulted from an increase in sales of higher margin high throughput systems while the decrease in ink and other consumables gross margin resulted mainly from higher costs of revenues related to increased rent expense due to the expansion of the facility where we manufacture our ink and other consumables and increased headcount expense relating to increased production of ink and other consumables.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Year Ended 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14"/>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jc w:val="right"/>
              <w:ind w:right="213"/>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106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Pr>
          <w:p>
            <w:pPr>
              <w:ind w:left="1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w w:val="93"/>
              </w:rPr>
              <w:t>Operating expenses:</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4"/>
          </w:tcPr>
          <w:p>
            <w:pPr>
              <w:jc w:val="center"/>
              <w:ind w:right="33"/>
              <w:spacing w:after="0"/>
              <w:rPr>
                <w:sz w:val="20"/>
                <w:szCs w:val="20"/>
                <w:color w:val="auto"/>
              </w:rPr>
            </w:pPr>
            <w:r>
              <w:rPr>
                <w:rFonts w:ascii="Arial" w:cs="Arial" w:eastAsia="Arial" w:hAnsi="Arial"/>
                <w:sz w:val="16"/>
                <w:szCs w:val="16"/>
                <w:b w:val="1"/>
                <w:bCs w:val="1"/>
                <w:color w:val="auto"/>
                <w:w w:val="88"/>
              </w:rPr>
              <w:t>($ in thousands)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9,475</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2,032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86"/>
              </w:rPr>
              <w:t>27.3%</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10,616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2,882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37.3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3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w w:val="85"/>
              </w:rPr>
              <w:t>60.6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18,455</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25,357</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6,902</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w w:val="86"/>
              </w:rPr>
              <w:t>37.4%</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399" w:firstLine="216"/>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27.3% in 2014 compared to 2013.</w:t>
      </w:r>
      <w:r>
        <w:rPr>
          <w:rFonts w:ascii="Arial" w:cs="Arial" w:eastAsia="Arial" w:hAnsi="Arial"/>
          <w:sz w:val="18"/>
          <w:szCs w:val="18"/>
          <w:i w:val="1"/>
          <w:iCs w:val="1"/>
          <w:color w:val="auto"/>
        </w:rPr>
        <w:t xml:space="preserve"> </w:t>
      </w:r>
      <w:r>
        <w:rPr>
          <w:rFonts w:ascii="Arial" w:cs="Arial" w:eastAsia="Arial" w:hAnsi="Arial"/>
          <w:sz w:val="18"/>
          <w:szCs w:val="18"/>
          <w:color w:val="auto"/>
        </w:rPr>
        <w:t>This resulted primarily from an increase of $1.3 million in salaries and related personnel expenses due to the hiring of additional personnel. This increase related primarily to an increase in expenses relating to development of our new Vulcan system for the DTG market. As a percentage of total revenues, our research and development expenses slighty decreased in 2014 compared to 2013.</w:t>
      </w:r>
    </w:p>
    <w:p>
      <w:pPr>
        <w:spacing w:after="0" w:line="148" w:lineRule="exact"/>
        <w:rPr>
          <w:sz w:val="20"/>
          <w:szCs w:val="20"/>
          <w:color w:val="auto"/>
        </w:rPr>
      </w:pPr>
    </w:p>
    <w:p>
      <w:pPr>
        <w:ind w:left="120" w:right="119" w:firstLine="216"/>
        <w:spacing w:after="0" w:line="293"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37.3% in 2014 compared to 2013.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an increase of $1.8 million in salaries and related personnel expenses due to the hiring of sales and marketing personnel in 2014, an increase of $0.3 million in marketing activities, including trade shows and online marketing activities.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38" w:lineRule="exact"/>
        <w:rPr>
          <w:sz w:val="20"/>
          <w:szCs w:val="20"/>
          <w:color w:val="auto"/>
        </w:rPr>
      </w:pPr>
    </w:p>
    <w:p>
      <w:pPr>
        <w:jc w:val="both"/>
        <w:ind w:left="120" w:right="339" w:firstLine="216"/>
        <w:spacing w:after="0" w:line="257"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60.6% in 2014 compared to 2013.</w:t>
      </w:r>
      <w:r>
        <w:rPr>
          <w:rFonts w:ascii="Arial" w:cs="Arial" w:eastAsia="Arial" w:hAnsi="Arial"/>
          <w:sz w:val="18"/>
          <w:szCs w:val="18"/>
          <w:i w:val="1"/>
          <w:iCs w:val="1"/>
          <w:color w:val="auto"/>
        </w:rPr>
        <w:t xml:space="preserve"> </w:t>
      </w:r>
      <w:r>
        <w:rPr>
          <w:rFonts w:ascii="Arial" w:cs="Arial" w:eastAsia="Arial" w:hAnsi="Arial"/>
          <w:sz w:val="18"/>
          <w:szCs w:val="18"/>
          <w:color w:val="auto"/>
        </w:rPr>
        <w:t>This resulted primarily from an increase of $1.3 million in salaries and related personnel expenses due to the hiring of additional personnel reflecting an increase in headcount compared to the previous year and management changes. As a percentage of our total revenues in those years, such expenses increased, from 6.6% in 2013 to 7.9% in 2014 reflecting the expansion of our management team.</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ind w:left="120" w:right="199" w:firstLine="216"/>
        <w:spacing w:after="0" w:line="264" w:lineRule="auto"/>
        <w:rPr>
          <w:sz w:val="20"/>
          <w:szCs w:val="20"/>
          <w:color w:val="auto"/>
        </w:rPr>
      </w:pPr>
      <w:r>
        <w:rPr>
          <w:rFonts w:ascii="Arial" w:cs="Arial" w:eastAsia="Arial" w:hAnsi="Arial"/>
          <w:sz w:val="18"/>
          <w:szCs w:val="18"/>
          <w:color w:val="auto"/>
        </w:rPr>
        <w:t>Finance expenses, net decreased from $460,000 in 2013 to $15,000 in 2014. This decrease resulted primarily from the effects of exchange rates on our non-dollar denominated financial assets, specifically the exchange rate of the U.S. dollar to the NIS.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Taxes on income decreased from $1.4 million in 2013 to $0.8 million in 2014. Our effective tax rate was 20.6% for 2014 compared to 55.1% for 2013. Our tax rate in 2013 reflected a full valuation allowance applied against the current loss for tax purposes incurred by our Israeli subsidiary, Kornit Technologies, which was not consolidated for tax purposes with our parent</w:t>
      </w:r>
    </w:p>
    <w:p>
      <w:pPr>
        <w:sectPr>
          <w:pgSz w:w="11900" w:h="16838" w:orient="portrait"/>
          <w:cols w:equalWidth="0" w:num="1">
            <w:col w:w="9019"/>
          </w:cols>
          <w:pgMar w:left="1440" w:top="125" w:right="1440"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3" w:name="page44"/>
    <w:bookmarkEnd w:id="43"/>
    <w:p>
      <w:pPr>
        <w:ind w:left="120" w:right="339"/>
        <w:spacing w:after="0" w:line="308" w:lineRule="auto"/>
        <w:rPr>
          <w:sz w:val="20"/>
          <w:szCs w:val="20"/>
          <w:color w:val="auto"/>
        </w:rPr>
      </w:pPr>
      <w:r>
        <w:rPr>
          <w:rFonts w:ascii="Arial" w:cs="Arial" w:eastAsia="Arial" w:hAnsi="Arial"/>
          <w:sz w:val="17"/>
          <w:szCs w:val="17"/>
          <w:color w:val="auto"/>
        </w:rPr>
        <w:t>entity, Kornit Digital, which generates taxable income. Starting in 2014, we have consolidated Kornit Technologies for tax purposes resulting in significantly lower taxable income and a correspondingly lower effective tax rate.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Revenues increased by $10.2 million, or 26.0%, to $49.4 million in 2013 from $39.2 million in 2012. Most of the growth in revenues resulted from a 41.4% increase in sales of ink and other consumables to $21.5 million in 2013 from $15.2 million in 2012. The growth in revenues also resulted from a 16.3% increase in sales of systems and services to $27.9 million in 2013 from $24.0 million in 2012. The smaller relative increase in revenues from systems and services compared to inks and other consumables resulted from sales of a fewer number of systems particularly in the first half of the year while the larger relative increase in revenues from ink and other consumables was due to the impact of systems sold in the previous year generating demand for such consumables.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79" w:firstLine="216"/>
        <w:spacing w:after="0" w:line="276" w:lineRule="auto"/>
        <w:rPr>
          <w:sz w:val="20"/>
          <w:szCs w:val="20"/>
          <w:color w:val="auto"/>
        </w:rPr>
      </w:pPr>
      <w:r>
        <w:rPr>
          <w:rFonts w:ascii="Arial" w:cs="Arial" w:eastAsia="Arial" w:hAnsi="Arial"/>
          <w:sz w:val="17"/>
          <w:szCs w:val="17"/>
          <w:color w:val="auto"/>
        </w:rPr>
        <w:t>Cost of revenues increased by $5.3 million, or 23.3%, to $28.0 million in 2013, as compared to $22.7 million in 2012. Gross profit increased by $5.0 million, or 30.5%, to $21.4 million in 2013, as compared to $16.4 million in 2012. Gross margin was 43.4% in 2013 compared to 41.9% in 2012. This increase in gross margin was primarily attributable to a 2.3% increase in gross margin from ink and other consumables partially offset by a 2.8% decrease in systems gross margin, which was primarily due to sales of lower margin systems.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6"/>
                <w:szCs w:val="16"/>
                <w:b w:val="1"/>
                <w:bCs w:val="1"/>
                <w:color w:val="auto"/>
                <w:w w:val="98"/>
              </w:rPr>
              <w:t>Year Ended December 31,</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214"/>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jc w:val="right"/>
              <w:ind w:right="213"/>
              <w:spacing w:after="0" w:line="182" w:lineRule="exact"/>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w w:val="95"/>
              </w:rPr>
              <w:t>Amount</w:t>
            </w:r>
          </w:p>
        </w:tc>
        <w:tc>
          <w:tcPr>
            <w:tcW w:w="11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w w:val="95"/>
              </w:rPr>
              <w:t>Amount</w:t>
            </w:r>
          </w:p>
        </w:tc>
        <w:tc>
          <w:tcPr>
            <w:tcW w:w="11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97"/>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80" w:type="dxa"/>
            <w:vAlign w:val="bottom"/>
            <w:vMerge w:val="restart"/>
          </w:tcPr>
          <w:p>
            <w:pPr>
              <w:spacing w:after="0"/>
              <w:rPr>
                <w:sz w:val="20"/>
                <w:szCs w:val="20"/>
                <w:color w:val="auto"/>
              </w:rPr>
            </w:pPr>
            <w:r>
              <w:rPr>
                <w:rFonts w:ascii="Arial" w:cs="Arial" w:eastAsia="Arial" w:hAnsi="Arial"/>
                <w:sz w:val="18"/>
                <w:szCs w:val="18"/>
                <w:b w:val="1"/>
                <w:bCs w:val="1"/>
                <w:color w:val="auto"/>
                <w:w w:val="93"/>
              </w:rPr>
              <w:t>Operating expenses: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4,668</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7,734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2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680" w:type="dxa"/>
            <w:vAlign w:val="bottom"/>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12,599</w:t>
            </w:r>
          </w:p>
        </w:tc>
        <w:tc>
          <w:tcPr>
            <w:tcW w:w="28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5,856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53.8% in 2013 compared to 2012.</w:t>
      </w:r>
      <w:r>
        <w:rPr>
          <w:rFonts w:ascii="Arial" w:cs="Arial" w:eastAsia="Arial" w:hAnsi="Arial"/>
          <w:sz w:val="18"/>
          <w:szCs w:val="18"/>
          <w:i w:val="1"/>
          <w:iCs w:val="1"/>
          <w:color w:val="auto"/>
        </w:rPr>
        <w:t xml:space="preserve"> </w:t>
      </w:r>
      <w:r>
        <w:rPr>
          <w:rFonts w:ascii="Arial" w:cs="Arial" w:eastAsia="Arial" w:hAnsi="Arial"/>
          <w:sz w:val="18"/>
          <w:szCs w:val="18"/>
          <w:color w:val="auto"/>
        </w:rPr>
        <w:t>This resulted primarily from an increase of $1.1 million in salaries and related personnel expenses, of which $0.3 million was due to currency fluctuations, and an increase of $0.7 million primarily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193" w:lineRule="exact"/>
        <w:rPr>
          <w:sz w:val="20"/>
          <w:szCs w:val="20"/>
          <w:color w:val="auto"/>
        </w:rPr>
      </w:pPr>
    </w:p>
    <w:p>
      <w:pPr>
        <w:ind w:left="120" w:right="139" w:firstLine="216"/>
        <w:spacing w:after="0" w:line="285"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expenses increased by 65.7% in 2013 compared to 2012.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$0.7 million in marketing activities, including trade shows and corporate rebranding in 2013. As a percentage of total revenues, our sales and marketing expenses rose during this period, from</w:t>
      </w:r>
    </w:p>
    <w:p>
      <w:pPr>
        <w:spacing w:after="0" w:line="2" w:lineRule="exact"/>
        <w:rPr>
          <w:sz w:val="20"/>
          <w:szCs w:val="20"/>
          <w:color w:val="auto"/>
        </w:rPr>
      </w:pPr>
    </w:p>
    <w:p>
      <w:pPr>
        <w:ind w:left="120" w:right="219"/>
        <w:spacing w:after="0" w:line="302" w:lineRule="auto"/>
        <w:rPr>
          <w:sz w:val="20"/>
          <w:szCs w:val="20"/>
          <w:color w:val="auto"/>
        </w:rPr>
      </w:pPr>
      <w:r>
        <w:rPr>
          <w:rFonts w:ascii="Arial" w:cs="Arial" w:eastAsia="Arial" w:hAnsi="Arial"/>
          <w:sz w:val="16"/>
          <w:szCs w:val="16"/>
          <w:color w:val="auto"/>
        </w:rPr>
        <w:t>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efforts and adding distribution channels.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120" w:right="179" w:firstLine="216"/>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6.0%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efforts to manage our expansion efficiently.</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198"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Finance expenses increased from $0.3 million in 2012 to $0.5 million in 2013. This increase was primarily attributable to expenses arising from foreign currency fluctuations in 2013, as changes in the U.S. dollar in relation to the NIS and other currencies resulted in foreign currency exchange losses.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185"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Taxes on income increased from $1.2 million in 2012 to $1.4 million in 2013. This increase was primarily attributable to the change in our subsidiaries operating on a cost-plus basis to a low-cost distributor basis. This was due to a decision to expand the functions performed by the subsidiaries to include sales and marketing activities, which resulted in the subsidiaries generating more taxable income.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189" w:lineRule="exact"/>
        <w:rPr>
          <w:sz w:val="20"/>
          <w:szCs w:val="20"/>
          <w:color w:val="auto"/>
        </w:rPr>
      </w:pPr>
    </w:p>
    <w:p>
      <w:pPr>
        <w:ind w:left="120" w:right="159" w:firstLine="216"/>
        <w:spacing w:after="0" w:line="302" w:lineRule="auto"/>
        <w:rPr>
          <w:sz w:val="20"/>
          <w:szCs w:val="20"/>
          <w:color w:val="auto"/>
        </w:rPr>
      </w:pPr>
      <w:r>
        <w:rPr>
          <w:rFonts w:ascii="Arial" w:cs="Arial" w:eastAsia="Arial" w:hAnsi="Arial"/>
          <w:sz w:val="16"/>
          <w:szCs w:val="16"/>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114" w:lineRule="exact"/>
        <w:rPr>
          <w:sz w:val="20"/>
          <w:szCs w:val="20"/>
          <w:color w:val="auto"/>
        </w:rPr>
      </w:pPr>
    </w:p>
    <w:p>
      <w:pPr>
        <w:ind w:left="120" w:right="479" w:firstLine="216"/>
        <w:spacing w:after="0" w:line="302" w:lineRule="auto"/>
        <w:rPr>
          <w:sz w:val="20"/>
          <w:szCs w:val="20"/>
          <w:color w:val="auto"/>
        </w:rPr>
      </w:pPr>
      <w:r>
        <w:rPr>
          <w:rFonts w:ascii="Arial" w:cs="Arial" w:eastAsia="Arial" w:hAnsi="Arial"/>
          <w:sz w:val="16"/>
          <w:szCs w:val="16"/>
          <w:color w:val="auto"/>
        </w:rPr>
        <w:t>The quarterly supplemental financial measures below include quarterly Adjusted EBITDA, which is a non-GAAP financial measure. See “Summary—Summary Consolidated Financial Data” for a description of how we calculate Adjusted EBITDA. A reconciliation of this non-GAAP financial measure to the most directly comparable GAAP measure and a discussion about the limitations of this non-GAAP financial measure is provided below.</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right="193"/>
              <w:spacing w:after="0"/>
              <w:rPr>
                <w:sz w:val="20"/>
                <w:szCs w:val="20"/>
                <w:color w:val="auto"/>
              </w:rPr>
            </w:pPr>
            <w:r>
              <w:rPr>
                <w:rFonts w:ascii="Arial" w:cs="Arial" w:eastAsia="Arial" w:hAnsi="Arial"/>
                <w:sz w:val="16"/>
                <w:szCs w:val="16"/>
                <w:b w:val="1"/>
                <w:bCs w:val="1"/>
                <w:color w:val="auto"/>
                <w:w w:val="93"/>
              </w:rPr>
              <w:t>Three Months Ended</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ind w:right="274"/>
              <w:spacing w:after="0"/>
              <w:rPr>
                <w:sz w:val="20"/>
                <w:szCs w:val="20"/>
                <w:color w:val="auto"/>
              </w:rPr>
            </w:pPr>
            <w:r>
              <w:rPr>
                <w:rFonts w:ascii="Arial" w:cs="Arial" w:eastAsia="Arial" w:hAnsi="Arial"/>
                <w:sz w:val="16"/>
                <w:szCs w:val="16"/>
                <w:b w:val="1"/>
                <w:bCs w:val="1"/>
                <w:color w:val="auto"/>
              </w:rPr>
              <w:t>June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center"/>
              <w:ind w:right="253"/>
              <w:spacing w:after="0"/>
              <w:rPr>
                <w:sz w:val="20"/>
                <w:szCs w:val="20"/>
                <w:color w:val="auto"/>
              </w:rPr>
            </w:pPr>
            <w:r>
              <w:rPr>
                <w:rFonts w:ascii="Arial" w:cs="Arial" w:eastAsia="Arial" w:hAnsi="Arial"/>
                <w:sz w:val="16"/>
                <w:szCs w:val="16"/>
                <w:b w:val="1"/>
                <w:bCs w:val="1"/>
                <w:color w:val="auto"/>
                <w:w w:val="97"/>
              </w:rPr>
              <w:t>Mar.</w:t>
            </w:r>
          </w:p>
        </w:tc>
        <w:tc>
          <w:tcPr>
            <w:tcW w:w="200" w:type="dxa"/>
            <w:vAlign w:val="bottom"/>
          </w:tcPr>
          <w:p>
            <w:pPr>
              <w:spacing w:after="0"/>
              <w:rPr>
                <w:sz w:val="17"/>
                <w:szCs w:val="17"/>
                <w:color w:val="auto"/>
              </w:rPr>
            </w:pPr>
          </w:p>
        </w:tc>
        <w:tc>
          <w:tcPr>
            <w:tcW w:w="760" w:type="dxa"/>
            <w:vAlign w:val="bottom"/>
          </w:tcPr>
          <w:p>
            <w:pPr>
              <w:jc w:val="right"/>
              <w:ind w:right="334"/>
              <w:spacing w:after="0"/>
              <w:rPr>
                <w:sz w:val="20"/>
                <w:szCs w:val="20"/>
                <w:color w:val="auto"/>
              </w:rPr>
            </w:pPr>
            <w:r>
              <w:rPr>
                <w:rFonts w:ascii="Arial" w:cs="Arial" w:eastAsia="Arial" w:hAnsi="Arial"/>
                <w:sz w:val="16"/>
                <w:szCs w:val="16"/>
                <w:b w:val="1"/>
                <w:bCs w:val="1"/>
                <w:color w:val="auto"/>
              </w:rPr>
              <w:t>30,</w:t>
            </w:r>
          </w:p>
        </w:tc>
        <w:tc>
          <w:tcPr>
            <w:tcW w:w="960" w:type="dxa"/>
            <w:vAlign w:val="bottom"/>
            <w:gridSpan w:val="2"/>
          </w:tcPr>
          <w:p>
            <w:pPr>
              <w:jc w:val="right"/>
              <w:ind w:right="172"/>
              <w:spacing w:after="0"/>
              <w:rPr>
                <w:sz w:val="20"/>
                <w:szCs w:val="20"/>
                <w:color w:val="auto"/>
              </w:rPr>
            </w:pPr>
            <w:r>
              <w:rPr>
                <w:rFonts w:ascii="Arial" w:cs="Arial" w:eastAsia="Arial" w:hAnsi="Arial"/>
                <w:sz w:val="16"/>
                <w:szCs w:val="16"/>
                <w:b w:val="1"/>
                <w:bCs w:val="1"/>
                <w:color w:val="auto"/>
              </w:rPr>
              <w:t>Sep. 30,</w:t>
            </w:r>
          </w:p>
        </w:tc>
        <w:tc>
          <w:tcPr>
            <w:tcW w:w="980" w:type="dxa"/>
            <w:vAlign w:val="bottom"/>
            <w:gridSpan w:val="2"/>
          </w:tcPr>
          <w:p>
            <w:pPr>
              <w:jc w:val="right"/>
              <w:ind w:right="173"/>
              <w:spacing w:after="0"/>
              <w:rPr>
                <w:sz w:val="20"/>
                <w:szCs w:val="20"/>
                <w:color w:val="auto"/>
              </w:rPr>
            </w:pPr>
            <w:r>
              <w:rPr>
                <w:rFonts w:ascii="Arial" w:cs="Arial" w:eastAsia="Arial" w:hAnsi="Arial"/>
                <w:sz w:val="16"/>
                <w:szCs w:val="16"/>
                <w:b w:val="1"/>
                <w:bCs w:val="1"/>
                <w:color w:val="auto"/>
              </w:rPr>
              <w:t>Dec. 31,</w:t>
            </w:r>
          </w:p>
        </w:tc>
        <w:tc>
          <w:tcPr>
            <w:tcW w:w="200" w:type="dxa"/>
            <w:vAlign w:val="bottom"/>
          </w:tcPr>
          <w:p>
            <w:pPr>
              <w:spacing w:after="0"/>
              <w:rPr>
                <w:sz w:val="17"/>
                <w:szCs w:val="17"/>
                <w:color w:val="auto"/>
              </w:rPr>
            </w:pPr>
          </w:p>
        </w:tc>
        <w:tc>
          <w:tcPr>
            <w:tcW w:w="780" w:type="dxa"/>
            <w:vAlign w:val="bottom"/>
          </w:tcPr>
          <w:p>
            <w:pPr>
              <w:jc w:val="right"/>
              <w:ind w:right="293"/>
              <w:spacing w:after="0"/>
              <w:rPr>
                <w:sz w:val="20"/>
                <w:szCs w:val="20"/>
                <w:color w:val="auto"/>
              </w:rPr>
            </w:pPr>
            <w:r>
              <w:rPr>
                <w:rFonts w:ascii="Arial" w:cs="Arial" w:eastAsia="Arial" w:hAnsi="Arial"/>
                <w:sz w:val="16"/>
                <w:szCs w:val="16"/>
                <w:b w:val="1"/>
                <w:bCs w:val="1"/>
                <w:color w:val="auto"/>
              </w:rPr>
              <w:t>Mar.</w:t>
            </w:r>
          </w:p>
        </w:tc>
        <w:tc>
          <w:tcPr>
            <w:tcW w:w="200" w:type="dxa"/>
            <w:vAlign w:val="bottom"/>
          </w:tcPr>
          <w:p>
            <w:pPr>
              <w:spacing w:after="0"/>
              <w:rPr>
                <w:sz w:val="17"/>
                <w:szCs w:val="17"/>
                <w:color w:val="auto"/>
              </w:rPr>
            </w:pPr>
          </w:p>
        </w:tc>
        <w:tc>
          <w:tcPr>
            <w:tcW w:w="760" w:type="dxa"/>
            <w:vAlign w:val="bottom"/>
          </w:tcPr>
          <w:p>
            <w:pPr>
              <w:jc w:val="right"/>
              <w:ind w:right="273"/>
              <w:spacing w:after="0"/>
              <w:rPr>
                <w:sz w:val="20"/>
                <w:szCs w:val="20"/>
                <w:color w:val="auto"/>
              </w:rPr>
            </w:pPr>
            <w:r>
              <w:rPr>
                <w:rFonts w:ascii="Arial" w:cs="Arial" w:eastAsia="Arial" w:hAnsi="Arial"/>
                <w:sz w:val="16"/>
                <w:szCs w:val="16"/>
                <w:b w:val="1"/>
                <w:bCs w:val="1"/>
                <w:color w:val="auto"/>
              </w:rPr>
              <w:t>June</w:t>
            </w:r>
          </w:p>
        </w:tc>
        <w:tc>
          <w:tcPr>
            <w:tcW w:w="980" w:type="dxa"/>
            <w:vAlign w:val="bottom"/>
            <w:gridSpan w:val="2"/>
          </w:tcPr>
          <w:p>
            <w:pPr>
              <w:jc w:val="right"/>
              <w:ind w:right="172"/>
              <w:spacing w:after="0"/>
              <w:rPr>
                <w:sz w:val="20"/>
                <w:szCs w:val="20"/>
                <w:color w:val="auto"/>
              </w:rPr>
            </w:pPr>
            <w:r>
              <w:rPr>
                <w:rFonts w:ascii="Arial" w:cs="Arial" w:eastAsia="Arial" w:hAnsi="Arial"/>
                <w:sz w:val="16"/>
                <w:szCs w:val="16"/>
                <w:b w:val="1"/>
                <w:bCs w:val="1"/>
                <w:color w:val="auto"/>
              </w:rPr>
              <w:t>Sep. 30,</w:t>
            </w:r>
          </w:p>
        </w:tc>
        <w:tc>
          <w:tcPr>
            <w:tcW w:w="88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940" w:type="dxa"/>
            <w:vAlign w:val="bottom"/>
            <w:gridSpan w:val="3"/>
          </w:tcPr>
          <w:p>
            <w:pPr>
              <w:jc w:val="center"/>
              <w:ind w:right="53"/>
              <w:spacing w:after="0"/>
              <w:rPr>
                <w:sz w:val="20"/>
                <w:szCs w:val="20"/>
                <w:color w:val="auto"/>
              </w:rPr>
            </w:pPr>
            <w:r>
              <w:rPr>
                <w:rFonts w:ascii="Arial" w:cs="Arial" w:eastAsia="Arial" w:hAnsi="Arial"/>
                <w:sz w:val="16"/>
                <w:szCs w:val="16"/>
                <w:b w:val="1"/>
                <w:bCs w:val="1"/>
                <w:color w:val="auto"/>
                <w:w w:val="89"/>
              </w:rPr>
              <w:t>31, 2013</w:t>
            </w:r>
          </w:p>
        </w:tc>
        <w:tc>
          <w:tcPr>
            <w:tcW w:w="200" w:type="dxa"/>
            <w:vAlign w:val="bottom"/>
          </w:tcPr>
          <w:p>
            <w:pPr>
              <w:spacing w:after="0"/>
              <w:rPr>
                <w:sz w:val="18"/>
                <w:szCs w:val="18"/>
                <w:color w:val="auto"/>
              </w:rPr>
            </w:pPr>
          </w:p>
        </w:tc>
        <w:tc>
          <w:tcPr>
            <w:tcW w:w="760" w:type="dxa"/>
            <w:vAlign w:val="bottom"/>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780" w:type="dxa"/>
            <w:vAlign w:val="bottom"/>
          </w:tcPr>
          <w:p>
            <w:pPr>
              <w:jc w:val="right"/>
              <w:ind w:right="293"/>
              <w:spacing w:after="0"/>
              <w:rPr>
                <w:sz w:val="20"/>
                <w:szCs w:val="20"/>
                <w:color w:val="auto"/>
              </w:rPr>
            </w:pPr>
            <w:r>
              <w:rPr>
                <w:rFonts w:ascii="Arial" w:cs="Arial" w:eastAsia="Arial" w:hAnsi="Arial"/>
                <w:sz w:val="16"/>
                <w:szCs w:val="16"/>
                <w:b w:val="1"/>
                <w:bCs w:val="1"/>
                <w:color w:val="auto"/>
              </w:rPr>
              <w:t>2013</w:t>
            </w:r>
          </w:p>
        </w:tc>
        <w:tc>
          <w:tcPr>
            <w:tcW w:w="980" w:type="dxa"/>
            <w:vAlign w:val="bottom"/>
            <w:gridSpan w:val="2"/>
          </w:tcPr>
          <w:p>
            <w:pPr>
              <w:jc w:val="right"/>
              <w:ind w:right="173"/>
              <w:spacing w:after="0"/>
              <w:rPr>
                <w:sz w:val="20"/>
                <w:szCs w:val="20"/>
                <w:color w:val="auto"/>
              </w:rPr>
            </w:pPr>
            <w:r>
              <w:rPr>
                <w:rFonts w:ascii="Arial" w:cs="Arial" w:eastAsia="Arial" w:hAnsi="Arial"/>
                <w:sz w:val="16"/>
                <w:szCs w:val="16"/>
                <w:b w:val="1"/>
                <w:bCs w:val="1"/>
                <w:color w:val="auto"/>
              </w:rPr>
              <w:t>31, 2014</w:t>
            </w:r>
          </w:p>
        </w:tc>
        <w:tc>
          <w:tcPr>
            <w:tcW w:w="960" w:type="dxa"/>
            <w:vAlign w:val="bottom"/>
            <w:gridSpan w:val="2"/>
          </w:tcPr>
          <w:p>
            <w:pPr>
              <w:jc w:val="right"/>
              <w:ind w:right="153"/>
              <w:spacing w:after="0"/>
              <w:rPr>
                <w:sz w:val="20"/>
                <w:szCs w:val="20"/>
                <w:color w:val="auto"/>
              </w:rPr>
            </w:pPr>
            <w:r>
              <w:rPr>
                <w:rFonts w:ascii="Arial" w:cs="Arial" w:eastAsia="Arial" w:hAnsi="Arial"/>
                <w:sz w:val="16"/>
                <w:szCs w:val="16"/>
                <w:b w:val="1"/>
                <w:bCs w:val="1"/>
                <w:color w:val="auto"/>
              </w:rPr>
              <w:t>30, 2014</w:t>
            </w:r>
          </w:p>
        </w:tc>
        <w:tc>
          <w:tcPr>
            <w:tcW w:w="2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520" w:type="dxa"/>
            <w:vAlign w:val="bottom"/>
          </w:tcPr>
          <w:p>
            <w:pPr>
              <w:jc w:val="right"/>
              <w:ind w:right="52"/>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w w:val="94"/>
              </w:rPr>
              <w:t>Consolidated</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center"/>
              <w:ind w:right="193"/>
              <w:spacing w:after="0"/>
              <w:rPr>
                <w:sz w:val="20"/>
                <w:szCs w:val="20"/>
                <w:color w:val="auto"/>
              </w:rPr>
            </w:pPr>
            <w:r>
              <w:rPr>
                <w:rFonts w:ascii="Arial" w:cs="Arial" w:eastAsia="Arial" w:hAnsi="Arial"/>
                <w:sz w:val="16"/>
                <w:szCs w:val="16"/>
                <w:b w:val="1"/>
                <w:bCs w:val="1"/>
                <w:color w:val="auto"/>
                <w:w w:val="90"/>
              </w:rPr>
              <w:t>(in thousands)</w:t>
            </w: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b w:val="1"/>
                <w:bCs w:val="1"/>
                <w:color w:val="auto"/>
              </w:rPr>
              <w:t>Statements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b w:val="1"/>
                <w:bCs w:val="1"/>
                <w:color w:val="auto"/>
              </w:rPr>
              <w:t>of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Arial" w:cs="Arial" w:eastAsia="Arial" w:hAnsi="Arial"/>
                <w:sz w:val="18"/>
                <w:szCs w:val="18"/>
                <w:b w:val="1"/>
                <w:bCs w:val="1"/>
                <w:color w:val="auto"/>
              </w:rPr>
              <w:t>Data: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Revenues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8,478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11,807</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13,900</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15,210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13,262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15,739</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18,494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18,869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13"/>
              <w:spacing w:after="0"/>
              <w:rPr>
                <w:sz w:val="20"/>
                <w:szCs w:val="20"/>
                <w:color w:val="auto"/>
              </w:rPr>
            </w:pPr>
            <w:r>
              <w:rPr>
                <w:rFonts w:ascii="Arial" w:cs="Arial" w:eastAsia="Arial" w:hAnsi="Arial"/>
                <w:sz w:val="18"/>
                <w:szCs w:val="18"/>
                <w:color w:val="auto"/>
              </w:rPr>
              <w:t>3,014</w:t>
            </w:r>
          </w:p>
        </w:tc>
        <w:tc>
          <w:tcPr>
            <w:tcW w:w="20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5,574</w:t>
            </w:r>
          </w:p>
        </w:tc>
        <w:tc>
          <w:tcPr>
            <w:tcW w:w="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5,945</w:t>
            </w:r>
          </w:p>
        </w:tc>
        <w:tc>
          <w:tcPr>
            <w:tcW w:w="2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6,909</w:t>
            </w:r>
          </w:p>
        </w:tc>
        <w:tc>
          <w:tcPr>
            <w:tcW w:w="2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4,499</w:t>
            </w:r>
          </w:p>
        </w:tc>
        <w:tc>
          <w:tcPr>
            <w:tcW w:w="2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6,843</w:t>
            </w:r>
          </w:p>
        </w:tc>
        <w:tc>
          <w:tcPr>
            <w:tcW w:w="2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9,298</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8,537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8"/>
                <w:szCs w:val="18"/>
                <w:color w:val="auto"/>
              </w:rPr>
            </w:pP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1,055</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(1,586)</w:t>
            </w:r>
          </w:p>
        </w:tc>
        <w:tc>
          <w:tcPr>
            <w:tcW w:w="20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643</w:t>
            </w:r>
          </w:p>
        </w:tc>
        <w:tc>
          <w:tcPr>
            <w:tcW w:w="220" w:type="dxa"/>
            <w:vAlign w:val="bottom"/>
          </w:tcPr>
          <w:p>
            <w:pPr>
              <w:spacing w:after="0"/>
              <w:rPr>
                <w:sz w:val="18"/>
                <w:szCs w:val="18"/>
                <w:color w:val="auto"/>
              </w:rPr>
            </w:pP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3,447</w:t>
            </w:r>
          </w:p>
        </w:tc>
        <w:tc>
          <w:tcPr>
            <w:tcW w:w="2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(loss)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(1,091)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683</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994</w:t>
            </w:r>
          </w:p>
        </w:tc>
        <w:tc>
          <w:tcPr>
            <w:tcW w:w="200" w:type="dxa"/>
            <w:vAlign w:val="bottom"/>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548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(1,713)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372</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rPr>
              <w:t>3,170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8"/>
        </w:trPr>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center"/>
              <w:ind w:right="13"/>
              <w:spacing w:after="0"/>
              <w:rPr>
                <w:sz w:val="20"/>
                <w:szCs w:val="20"/>
                <w:color w:val="auto"/>
              </w:rPr>
            </w:pPr>
            <w:r>
              <w:rPr>
                <w:rFonts w:ascii="Arial" w:cs="Arial" w:eastAsia="Arial" w:hAnsi="Arial"/>
                <w:sz w:val="16"/>
                <w:szCs w:val="16"/>
                <w:b w:val="1"/>
                <w:bCs w:val="1"/>
                <w:color w:val="auto"/>
                <w:w w:val="92"/>
              </w:rPr>
              <w:t>Three Months Ended</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center"/>
              <w:ind w:right="273"/>
              <w:spacing w:after="0"/>
              <w:rPr>
                <w:sz w:val="20"/>
                <w:szCs w:val="20"/>
                <w:color w:val="auto"/>
              </w:rPr>
            </w:pPr>
            <w:r>
              <w:rPr>
                <w:rFonts w:ascii="Arial" w:cs="Arial" w:eastAsia="Arial" w:hAnsi="Arial"/>
                <w:sz w:val="16"/>
                <w:szCs w:val="16"/>
                <w:b w:val="1"/>
                <w:bCs w:val="1"/>
                <w:color w:val="auto"/>
              </w:rPr>
              <w:t>Mar.</w:t>
            </w:r>
          </w:p>
        </w:tc>
        <w:tc>
          <w:tcPr>
            <w:tcW w:w="200" w:type="dxa"/>
            <w:vAlign w:val="bottom"/>
          </w:tcPr>
          <w:p>
            <w:pPr>
              <w:spacing w:after="0"/>
              <w:rPr>
                <w:sz w:val="16"/>
                <w:szCs w:val="16"/>
                <w:color w:val="auto"/>
              </w:rPr>
            </w:pPr>
          </w:p>
        </w:tc>
        <w:tc>
          <w:tcPr>
            <w:tcW w:w="760" w:type="dxa"/>
            <w:vAlign w:val="bottom"/>
          </w:tcPr>
          <w:p>
            <w:pPr>
              <w:jc w:val="right"/>
              <w:ind w:right="314"/>
              <w:spacing w:after="0"/>
              <w:rPr>
                <w:sz w:val="20"/>
                <w:szCs w:val="20"/>
                <w:color w:val="auto"/>
              </w:rPr>
            </w:pPr>
            <w:r>
              <w:rPr>
                <w:rFonts w:ascii="Arial" w:cs="Arial" w:eastAsia="Arial" w:hAnsi="Arial"/>
                <w:sz w:val="16"/>
                <w:szCs w:val="16"/>
                <w:b w:val="1"/>
                <w:bCs w:val="1"/>
                <w:color w:val="auto"/>
                <w:w w:val="90"/>
              </w:rPr>
              <w:t>June</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333"/>
              <w:spacing w:after="0"/>
              <w:rPr>
                <w:sz w:val="20"/>
                <w:szCs w:val="20"/>
                <w:color w:val="auto"/>
              </w:rPr>
            </w:pPr>
            <w:r>
              <w:rPr>
                <w:rFonts w:ascii="Arial" w:cs="Arial" w:eastAsia="Arial" w:hAnsi="Arial"/>
                <w:sz w:val="16"/>
                <w:szCs w:val="16"/>
                <w:b w:val="1"/>
                <w:bCs w:val="1"/>
                <w:color w:val="auto"/>
              </w:rPr>
              <w:t>Mar.</w:t>
            </w:r>
          </w:p>
        </w:tc>
        <w:tc>
          <w:tcPr>
            <w:tcW w:w="200" w:type="dxa"/>
            <w:vAlign w:val="bottom"/>
          </w:tcPr>
          <w:p>
            <w:pPr>
              <w:spacing w:after="0"/>
              <w:rPr>
                <w:sz w:val="16"/>
                <w:szCs w:val="16"/>
                <w:color w:val="auto"/>
              </w:rPr>
            </w:pPr>
          </w:p>
        </w:tc>
        <w:tc>
          <w:tcPr>
            <w:tcW w:w="760" w:type="dxa"/>
            <w:vAlign w:val="bottom"/>
          </w:tcPr>
          <w:p>
            <w:pPr>
              <w:jc w:val="right"/>
              <w:ind w:right="313"/>
              <w:spacing w:after="0"/>
              <w:rPr>
                <w:sz w:val="20"/>
                <w:szCs w:val="20"/>
                <w:color w:val="auto"/>
              </w:rPr>
            </w:pPr>
            <w:r>
              <w:rPr>
                <w:rFonts w:ascii="Arial" w:cs="Arial" w:eastAsia="Arial" w:hAnsi="Arial"/>
                <w:sz w:val="16"/>
                <w:szCs w:val="16"/>
                <w:b w:val="1"/>
                <w:bCs w:val="1"/>
                <w:color w:val="auto"/>
                <w:w w:val="90"/>
              </w:rPr>
              <w:t>June</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353"/>
              <w:spacing w:after="0"/>
              <w:rPr>
                <w:sz w:val="20"/>
                <w:szCs w:val="20"/>
                <w:color w:val="auto"/>
              </w:rPr>
            </w:pPr>
            <w:r>
              <w:rPr>
                <w:rFonts w:ascii="Arial" w:cs="Arial" w:eastAsia="Arial" w:hAnsi="Arial"/>
                <w:sz w:val="16"/>
                <w:szCs w:val="16"/>
                <w:b w:val="1"/>
                <w:bCs w:val="1"/>
                <w:color w:val="auto"/>
              </w:rPr>
              <w:t>31,</w:t>
            </w:r>
          </w:p>
        </w:tc>
        <w:tc>
          <w:tcPr>
            <w:tcW w:w="200" w:type="dxa"/>
            <w:vAlign w:val="bottom"/>
          </w:tcPr>
          <w:p>
            <w:pPr>
              <w:spacing w:after="0"/>
              <w:rPr>
                <w:sz w:val="17"/>
                <w:szCs w:val="17"/>
                <w:color w:val="auto"/>
              </w:rPr>
            </w:pPr>
          </w:p>
        </w:tc>
        <w:tc>
          <w:tcPr>
            <w:tcW w:w="760" w:type="dxa"/>
            <w:vAlign w:val="bottom"/>
          </w:tcPr>
          <w:p>
            <w:pPr>
              <w:jc w:val="right"/>
              <w:ind w:right="374"/>
              <w:spacing w:after="0"/>
              <w:rPr>
                <w:sz w:val="20"/>
                <w:szCs w:val="20"/>
                <w:color w:val="auto"/>
              </w:rPr>
            </w:pPr>
            <w:r>
              <w:rPr>
                <w:rFonts w:ascii="Arial" w:cs="Arial" w:eastAsia="Arial" w:hAnsi="Arial"/>
                <w:sz w:val="16"/>
                <w:szCs w:val="16"/>
                <w:b w:val="1"/>
                <w:bCs w:val="1"/>
                <w:color w:val="auto"/>
              </w:rPr>
              <w:t>30,</w:t>
            </w:r>
          </w:p>
        </w:tc>
        <w:tc>
          <w:tcPr>
            <w:tcW w:w="96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 30,</w:t>
            </w: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Dec. 31,</w:t>
            </w:r>
          </w:p>
        </w:tc>
        <w:tc>
          <w:tcPr>
            <w:tcW w:w="200" w:type="dxa"/>
            <w:vAlign w:val="bottom"/>
          </w:tcPr>
          <w:p>
            <w:pPr>
              <w:spacing w:after="0"/>
              <w:rPr>
                <w:sz w:val="17"/>
                <w:szCs w:val="17"/>
                <w:color w:val="auto"/>
              </w:rPr>
            </w:pPr>
          </w:p>
        </w:tc>
        <w:tc>
          <w:tcPr>
            <w:tcW w:w="780" w:type="dxa"/>
            <w:vAlign w:val="bottom"/>
          </w:tcPr>
          <w:p>
            <w:pPr>
              <w:jc w:val="right"/>
              <w:ind w:right="393"/>
              <w:spacing w:after="0"/>
              <w:rPr>
                <w:sz w:val="20"/>
                <w:szCs w:val="20"/>
                <w:color w:val="auto"/>
              </w:rPr>
            </w:pPr>
            <w:r>
              <w:rPr>
                <w:rFonts w:ascii="Arial" w:cs="Arial" w:eastAsia="Arial" w:hAnsi="Arial"/>
                <w:sz w:val="16"/>
                <w:szCs w:val="16"/>
                <w:b w:val="1"/>
                <w:bCs w:val="1"/>
                <w:color w:val="auto"/>
              </w:rPr>
              <w:t>31,</w:t>
            </w:r>
          </w:p>
        </w:tc>
        <w:tc>
          <w:tcPr>
            <w:tcW w:w="200" w:type="dxa"/>
            <w:vAlign w:val="bottom"/>
          </w:tcPr>
          <w:p>
            <w:pPr>
              <w:spacing w:after="0"/>
              <w:rPr>
                <w:sz w:val="17"/>
                <w:szCs w:val="17"/>
                <w:color w:val="auto"/>
              </w:rPr>
            </w:pPr>
          </w:p>
        </w:tc>
        <w:tc>
          <w:tcPr>
            <w:tcW w:w="760" w:type="dxa"/>
            <w:vAlign w:val="bottom"/>
          </w:tcPr>
          <w:p>
            <w:pPr>
              <w:jc w:val="right"/>
              <w:ind w:right="393"/>
              <w:spacing w:after="0"/>
              <w:rPr>
                <w:sz w:val="20"/>
                <w:szCs w:val="20"/>
                <w:color w:val="auto"/>
              </w:rPr>
            </w:pPr>
            <w:r>
              <w:rPr>
                <w:rFonts w:ascii="Arial" w:cs="Arial" w:eastAsia="Arial" w:hAnsi="Arial"/>
                <w:sz w:val="16"/>
                <w:szCs w:val="16"/>
                <w:b w:val="1"/>
                <w:bCs w:val="1"/>
                <w:color w:val="auto"/>
              </w:rPr>
              <w:t>30,</w:t>
            </w:r>
          </w:p>
        </w:tc>
        <w:tc>
          <w:tcPr>
            <w:tcW w:w="980" w:type="dxa"/>
            <w:vAlign w:val="bottom"/>
            <w:gridSpan w:val="2"/>
          </w:tcPr>
          <w:p>
            <w:pPr>
              <w:ind w:left="120"/>
              <w:spacing w:after="0"/>
              <w:rPr>
                <w:sz w:val="20"/>
                <w:szCs w:val="20"/>
                <w:color w:val="auto"/>
              </w:rPr>
            </w:pPr>
            <w:r>
              <w:rPr>
                <w:rFonts w:ascii="Arial" w:cs="Arial" w:eastAsia="Arial" w:hAnsi="Arial"/>
                <w:sz w:val="16"/>
                <w:szCs w:val="16"/>
                <w:b w:val="1"/>
                <w:bCs w:val="1"/>
                <w:color w:val="auto"/>
              </w:rPr>
              <w:t>Sep. 30,</w:t>
            </w:r>
          </w:p>
        </w:tc>
        <w:tc>
          <w:tcPr>
            <w:tcW w:w="8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Dec. 31,</w:t>
            </w:r>
          </w:p>
        </w:tc>
        <w:tc>
          <w:tcPr>
            <w:tcW w:w="0" w:type="dxa"/>
            <w:vAlign w:val="bottom"/>
          </w:tcPr>
          <w:p>
            <w:pPr>
              <w:spacing w:after="0"/>
              <w:rPr>
                <w:sz w:val="1"/>
                <w:szCs w:val="1"/>
                <w:color w:val="auto"/>
              </w:rPr>
            </w:pPr>
          </w:p>
        </w:tc>
      </w:tr>
      <w:tr>
        <w:trPr>
          <w:trHeight w:val="213"/>
        </w:trPr>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w w:val="95"/>
              </w:rPr>
              <w:t>2013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w w:val="95"/>
              </w:rPr>
              <w:t>2013</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w w:val="95"/>
              </w:rPr>
              <w:t>2013</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5"/>
              </w:rPr>
              <w:t>2013</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95"/>
              </w:rPr>
              <w:t>2014</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w w:val="89"/>
              </w:rPr>
              <w:t>2014</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w w:val="89"/>
              </w:rPr>
              <w:t>2014</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w w:val="89"/>
              </w:rPr>
              <w:t>2014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w w:val="94"/>
              </w:rPr>
              <w:t>Consolidated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gridSpan w:val="3"/>
          </w:tcPr>
          <w:p>
            <w:pPr>
              <w:jc w:val="center"/>
              <w:ind w:right="233"/>
              <w:spacing w:after="0"/>
              <w:rPr>
                <w:sz w:val="20"/>
                <w:szCs w:val="20"/>
                <w:color w:val="auto"/>
              </w:rPr>
            </w:pPr>
            <w:r>
              <w:rPr>
                <w:rFonts w:ascii="Arial" w:cs="Arial" w:eastAsia="Arial" w:hAnsi="Arial"/>
                <w:sz w:val="16"/>
                <w:szCs w:val="16"/>
                <w:b w:val="1"/>
                <w:bCs w:val="1"/>
                <w:color w:val="auto"/>
                <w:w w:val="90"/>
              </w:rPr>
              <w:t>(as a % of revenues)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b w:val="1"/>
                <w:bCs w:val="1"/>
                <w:color w:val="auto"/>
              </w:rPr>
              <w:t>Statements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b w:val="1"/>
                <w:bCs w:val="1"/>
                <w:color w:val="auto"/>
              </w:rPr>
              <w:t>of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00" w:type="dxa"/>
            <w:vAlign w:val="bottom"/>
          </w:tcPr>
          <w:p>
            <w:pPr>
              <w:spacing w:after="0"/>
              <w:rPr>
                <w:sz w:val="20"/>
                <w:szCs w:val="20"/>
                <w:color w:val="auto"/>
              </w:rPr>
            </w:pPr>
            <w:r>
              <w:rPr>
                <w:rFonts w:ascii="Arial" w:cs="Arial" w:eastAsia="Arial" w:hAnsi="Arial"/>
                <w:sz w:val="18"/>
                <w:szCs w:val="18"/>
                <w:b w:val="1"/>
                <w:bCs w:val="1"/>
                <w:color w:val="auto"/>
              </w:rPr>
              <w:t>Data:</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Revenues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53"/>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47.2</w:t>
            </w:r>
          </w:p>
        </w:tc>
        <w:tc>
          <w:tcPr>
            <w:tcW w:w="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42.8</w:t>
            </w:r>
          </w:p>
        </w:tc>
        <w:tc>
          <w:tcPr>
            <w:tcW w:w="20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45.4</w:t>
            </w:r>
          </w:p>
        </w:tc>
        <w:tc>
          <w:tcPr>
            <w:tcW w:w="200" w:type="dxa"/>
            <w:vAlign w:val="bottom"/>
          </w:tcPr>
          <w:p>
            <w:pPr>
              <w:spacing w:after="0"/>
              <w:rPr>
                <w:sz w:val="18"/>
                <w:szCs w:val="18"/>
                <w:color w:val="auto"/>
              </w:rPr>
            </w:pPr>
          </w:p>
        </w:tc>
        <w:tc>
          <w:tcPr>
            <w:tcW w:w="780" w:type="dxa"/>
            <w:vAlign w:val="bottom"/>
          </w:tcPr>
          <w:p>
            <w:pPr>
              <w:jc w:val="right"/>
              <w:ind w:right="173"/>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43.5</w:t>
            </w:r>
          </w:p>
        </w:tc>
        <w:tc>
          <w:tcPr>
            <w:tcW w:w="22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50.3</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Operating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income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93"/>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20"/>
                <w:szCs w:val="20"/>
                <w:color w:val="auto"/>
              </w:rPr>
            </w:pP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20"/>
                <w:szCs w:val="20"/>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780" w:type="dxa"/>
            <w:vAlign w:val="bottom"/>
          </w:tcPr>
          <w:p>
            <w:pPr>
              <w:jc w:val="right"/>
              <w:ind w:right="113"/>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ectPr>
          <w:pgSz w:w="11900" w:h="16838" w:orient="portrait"/>
          <w:cols w:equalWidth="0" w:num="1">
            <w:col w:w="9019"/>
          </w:cols>
          <w:pgMar w:left="1440" w:top="125" w:right="1440" w:bottom="1440" w:gutter="0" w:footer="0" w:header="0"/>
        </w:sect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5" w:name="page46"/>
    <w:bookmarkEnd w:id="45"/>
    <w:tbl>
      <w:tblPr>
        <w:tblLayout w:type="fixed"/>
        <w:tblInd w:w="120" w:type="dxa"/>
        <w:tblCellMar>
          <w:top w:w="0" w:type="dxa"/>
          <w:left w:w="0" w:type="dxa"/>
          <w:bottom w:w="0" w:type="dxa"/>
          <w:right w:w="0" w:type="dxa"/>
        </w:tblCellMar>
      </w:tblPr>
      <w:tr>
        <w:trPr>
          <w:trHeight w:val="210"/>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73"/>
              <w:spacing w:after="0"/>
              <w:rPr>
                <w:sz w:val="20"/>
                <w:szCs w:val="20"/>
                <w:color w:val="auto"/>
              </w:rPr>
            </w:pPr>
            <w:r>
              <w:rPr>
                <w:rFonts w:ascii="Arial" w:cs="Arial" w:eastAsia="Arial" w:hAnsi="Arial"/>
                <w:sz w:val="16"/>
                <w:szCs w:val="16"/>
                <w:b w:val="1"/>
                <w:bCs w:val="1"/>
                <w:color w:val="auto"/>
                <w:w w:val="96"/>
              </w:rPr>
              <w:t>June</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Dec.</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ind w:right="93"/>
              <w:spacing w:after="0"/>
              <w:rPr>
                <w:sz w:val="20"/>
                <w:szCs w:val="20"/>
                <w:color w:val="auto"/>
              </w:rPr>
            </w:pPr>
            <w:r>
              <w:rPr>
                <w:rFonts w:ascii="Arial" w:cs="Arial" w:eastAsia="Arial" w:hAnsi="Arial"/>
                <w:sz w:val="16"/>
                <w:szCs w:val="16"/>
                <w:b w:val="1"/>
                <w:bCs w:val="1"/>
                <w:color w:val="auto"/>
                <w:w w:val="90"/>
              </w:rPr>
              <w:t>June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93"/>
              <w:spacing w:after="0"/>
              <w:rPr>
                <w:sz w:val="20"/>
                <w:szCs w:val="20"/>
                <w:color w:val="auto"/>
              </w:rPr>
            </w:pPr>
            <w:r>
              <w:rPr>
                <w:rFonts w:ascii="Arial" w:cs="Arial" w:eastAsia="Arial" w:hAnsi="Arial"/>
                <w:sz w:val="16"/>
                <w:szCs w:val="16"/>
                <w:b w:val="1"/>
                <w:bCs w:val="1"/>
                <w:color w:val="auto"/>
                <w:w w:val="94"/>
              </w:rPr>
              <w:t>Dec.</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53"/>
              <w:spacing w:after="0"/>
              <w:rPr>
                <w:sz w:val="20"/>
                <w:szCs w:val="20"/>
                <w:color w:val="auto"/>
              </w:rPr>
            </w:pPr>
            <w:r>
              <w:rPr>
                <w:rFonts w:ascii="Arial" w:cs="Arial" w:eastAsia="Arial" w:hAnsi="Arial"/>
                <w:sz w:val="16"/>
                <w:szCs w:val="16"/>
                <w:b w:val="1"/>
                <w:bCs w:val="1"/>
                <w:color w:val="auto"/>
              </w:rPr>
              <w:t>30,</w:t>
            </w:r>
          </w:p>
        </w:tc>
        <w:tc>
          <w:tcPr>
            <w:tcW w:w="3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Sep. 30,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33"/>
              <w:spacing w:after="0"/>
              <w:rPr>
                <w:sz w:val="20"/>
                <w:szCs w:val="20"/>
                <w:color w:val="auto"/>
              </w:rPr>
            </w:pPr>
            <w:r>
              <w:rPr>
                <w:rFonts w:ascii="Arial" w:cs="Arial" w:eastAsia="Arial" w:hAnsi="Arial"/>
                <w:sz w:val="16"/>
                <w:szCs w:val="16"/>
                <w:b w:val="1"/>
                <w:bCs w:val="1"/>
                <w:color w:val="auto"/>
              </w:rPr>
              <w:t>31,</w:t>
            </w:r>
          </w:p>
        </w:tc>
        <w:tc>
          <w:tcPr>
            <w:tcW w:w="300" w:type="dxa"/>
            <w:vAlign w:val="bottom"/>
          </w:tcPr>
          <w:p>
            <w:pPr>
              <w:spacing w:after="0"/>
              <w:rPr>
                <w:sz w:val="17"/>
                <w:szCs w:val="17"/>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ind w:right="153"/>
              <w:spacing w:after="0"/>
              <w:rPr>
                <w:sz w:val="20"/>
                <w:szCs w:val="20"/>
                <w:color w:val="auto"/>
              </w:rPr>
            </w:pPr>
            <w:r>
              <w:rPr>
                <w:rFonts w:ascii="Arial" w:cs="Arial" w:eastAsia="Arial" w:hAnsi="Arial"/>
                <w:sz w:val="16"/>
                <w:szCs w:val="16"/>
                <w:b w:val="1"/>
                <w:bCs w:val="1"/>
                <w:color w:val="auto"/>
              </w:rPr>
              <w:t>30,</w:t>
            </w:r>
          </w:p>
        </w:tc>
        <w:tc>
          <w:tcPr>
            <w:tcW w:w="2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Sep. 30,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133"/>
              <w:spacing w:after="0"/>
              <w:rPr>
                <w:sz w:val="20"/>
                <w:szCs w:val="20"/>
                <w:color w:val="auto"/>
              </w:rPr>
            </w:pPr>
            <w:r>
              <w:rPr>
                <w:rFonts w:ascii="Arial" w:cs="Arial" w:eastAsia="Arial" w:hAnsi="Arial"/>
                <w:sz w:val="16"/>
                <w:szCs w:val="16"/>
                <w:b w:val="1"/>
                <w:bCs w:val="1"/>
                <w:color w:val="auto"/>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w w:val="95"/>
              </w:rPr>
              <w:t>2014</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6"/>
                <w:szCs w:val="16"/>
                <w:b w:val="1"/>
                <w:bCs w:val="1"/>
                <w:color w:val="auto"/>
                <w:w w:val="95"/>
              </w:rPr>
              <w:t>2014</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w w:val="95"/>
              </w:rPr>
              <w:t>2014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80" w:type="dxa"/>
            <w:vAlign w:val="bottom"/>
            <w:vMerge w:val="restart"/>
          </w:tcPr>
          <w:p>
            <w:pPr>
              <w:spacing w:after="0"/>
              <w:rPr>
                <w:sz w:val="20"/>
                <w:szCs w:val="20"/>
                <w:color w:val="auto"/>
              </w:rPr>
            </w:pPr>
            <w:r>
              <w:rPr>
                <w:rFonts w:ascii="Arial" w:cs="Arial" w:eastAsia="Arial" w:hAnsi="Arial"/>
                <w:sz w:val="18"/>
                <w:szCs w:val="18"/>
                <w:b w:val="1"/>
                <w:bCs w:val="1"/>
                <w:color w:val="auto"/>
                <w:w w:val="98"/>
              </w:rPr>
              <w:t>Supplemental</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Financial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20"/>
                <w:szCs w:val="20"/>
                <w:color w:val="auto"/>
              </w:rPr>
            </w:pPr>
            <w:r>
              <w:rPr>
                <w:rFonts w:ascii="Arial" w:cs="Arial" w:eastAsia="Arial" w:hAnsi="Arial"/>
                <w:sz w:val="18"/>
                <w:szCs w:val="18"/>
                <w:b w:val="1"/>
                <w:bCs w:val="1"/>
                <w:color w:val="auto"/>
              </w:rPr>
              <w:t>Data:</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Adjusted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180" w:type="dxa"/>
            <w:vAlign w:val="bottom"/>
          </w:tcPr>
          <w:p>
            <w:pPr>
              <w:spacing w:after="0"/>
              <w:rPr>
                <w:sz w:val="20"/>
                <w:szCs w:val="20"/>
                <w:color w:val="auto"/>
              </w:rPr>
            </w:pPr>
            <w:r>
              <w:rPr>
                <w:rFonts w:ascii="Arial" w:cs="Arial" w:eastAsia="Arial" w:hAnsi="Arial"/>
                <w:sz w:val="18"/>
                <w:szCs w:val="18"/>
                <w:color w:val="auto"/>
              </w:rPr>
              <w:t>EBITDA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w w:val="94"/>
              </w:rPr>
              <w:t>Reconciliation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w w:val="99"/>
              </w:rPr>
              <w:t>of 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(loss) to</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b w:val="1"/>
                <w:bCs w:val="1"/>
                <w:color w:val="auto"/>
              </w:rPr>
              <w:t>Adjusted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8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(loss)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994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(1,713)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3,170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Finance</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expenses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(income), net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Taxes 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and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amortization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Share-based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expense</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Adjusted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EBITDA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1,378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1,736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1,366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4,058</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2,048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59" w:firstLine="216"/>
        <w:spacing w:after="0" w:line="288" w:lineRule="auto"/>
        <w:rPr>
          <w:sz w:val="20"/>
          <w:szCs w:val="20"/>
          <w:color w:val="auto"/>
        </w:rPr>
      </w:pPr>
      <w:r>
        <w:rPr>
          <w:rFonts w:ascii="Arial" w:cs="Arial" w:eastAsia="Arial" w:hAnsi="Arial"/>
          <w:sz w:val="16"/>
          <w:szCs w:val="16"/>
          <w:i w:val="1"/>
          <w:iCs w:val="1"/>
          <w:color w:val="auto"/>
        </w:rPr>
        <w:t xml:space="preserve">Quarterly Revenue Trends. </w:t>
      </w:r>
      <w:r>
        <w:rPr>
          <w:rFonts w:ascii="Arial" w:cs="Arial" w:eastAsia="Arial" w:hAnsi="Arial"/>
          <w:sz w:val="16"/>
          <w:szCs w:val="16"/>
          <w:color w:val="auto"/>
        </w:rPr>
        <w:t>Our quarterly revenues increased year-over-year for all periods presented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169" w:lineRule="exact"/>
        <w:rPr>
          <w:sz w:val="20"/>
          <w:szCs w:val="20"/>
          <w:color w:val="auto"/>
        </w:rPr>
      </w:pPr>
    </w:p>
    <w:p>
      <w:pPr>
        <w:ind w:left="120" w:right="299" w:firstLine="216"/>
        <w:spacing w:after="0" w:line="279" w:lineRule="auto"/>
        <w:rPr>
          <w:sz w:val="20"/>
          <w:szCs w:val="20"/>
          <w:color w:val="auto"/>
        </w:rPr>
      </w:pPr>
      <w:r>
        <w:rPr>
          <w:rFonts w:ascii="Arial" w:cs="Arial" w:eastAsia="Arial" w:hAnsi="Arial"/>
          <w:sz w:val="17"/>
          <w:szCs w:val="17"/>
          <w:i w:val="1"/>
          <w:iCs w:val="1"/>
          <w:color w:val="auto"/>
        </w:rPr>
        <w:t>Quarterly Gross Profit and Margin Trends</w:t>
      </w:r>
      <w:r>
        <w:rPr>
          <w:rFonts w:ascii="Arial" w:cs="Arial" w:eastAsia="Arial" w:hAnsi="Arial"/>
          <w:sz w:val="17"/>
          <w:szCs w:val="17"/>
          <w:color w:val="auto"/>
        </w:rPr>
        <w:t>. Our quarterly gross profit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71"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i w:val="1"/>
          <w:iCs w:val="1"/>
          <w:color w:val="auto"/>
        </w:rPr>
        <w:t xml:space="preserve">Quarterly Operating Expense Trends. </w:t>
      </w:r>
      <w:r>
        <w:rPr>
          <w:rFonts w:ascii="Arial" w:cs="Arial" w:eastAsia="Arial" w:hAnsi="Arial"/>
          <w:sz w:val="17"/>
          <w:szCs w:val="17"/>
          <w:color w:val="auto"/>
        </w:rPr>
        <w:t>Our quarterly operating expenses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We had $5.0 million of cash and cash equivalents as of December 31, 2014 and $5.3 million as of December 31, 2013. We fund our operations with cash generated from operating activities. In the past, we have also raised capital through the sale of equity securities to investors in private placements.</w:t>
      </w:r>
    </w:p>
    <w:p>
      <w:pPr>
        <w:spacing w:after="0" w:line="181"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ectPr>
          <w:pgSz w:w="11900" w:h="16838" w:orient="portrait"/>
          <w:cols w:equalWidth="0" w:num="1">
            <w:col w:w="9019"/>
          </w:cols>
          <w:pgMar w:left="1440" w:top="126" w:right="1440" w:bottom="538"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538" w:gutter="0" w:footer="0" w:header="0"/>
          <w:type w:val="continuous"/>
        </w:sectPr>
      </w:pPr>
    </w:p>
    <w:bookmarkStart w:id="46" w:name="page47"/>
    <w:bookmarkEnd w:id="46"/>
    <w:p>
      <w:pPr>
        <w:ind w:left="120" w:right="319"/>
        <w:spacing w:after="0" w:line="277" w:lineRule="auto"/>
        <w:rPr>
          <w:sz w:val="20"/>
          <w:szCs w:val="20"/>
          <w:color w:val="auto"/>
        </w:rPr>
      </w:pPr>
      <w:r>
        <w:rPr>
          <w:rFonts w:ascii="Arial" w:cs="Arial" w:eastAsia="Arial" w:hAnsi="Arial"/>
          <w:sz w:val="18"/>
          <w:szCs w:val="18"/>
          <w:color w:val="auto"/>
        </w:rPr>
        <w:t>included improvements and expansion of our distribution and corporate facilities to support our growth and investment and improvements in our information technology.</w:t>
      </w:r>
    </w:p>
    <w:p>
      <w:pPr>
        <w:spacing w:after="0" w:line="170"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191"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As of December 31, 2014, we had two lines of credit with Israeli banks for total borrowings of up to $3.0 million, all of which was undrawn. These lines of credit are unsecured and available subject to our maintenance of a 30% ratio of total shareholders' equity to total assets. One line of credit also requires our maintenance of a minimum of $1.0 million cash and cash equivalents at the end of each fiscal quarter. Interest rates across our credit lines varied from 2.2% to 5.3% as of December 31, 2014. Each line of credit prohibits us and our subsidiaries from encumbering our assets and requires that we obtain the consent of the bank, or repay any amounts borrowed, in the event that we undergo a change of control. Specifically, we would typically be considered to be in default under one of our lines of credit if our controlling shareholder, Fortissimo Capital, ceases to control us. However, we do not expect to be considered in default for such a cease of control that occurs as a result of this offering because the agreement provides an exception for changes of control that occur as a result of a listing on a stock exchange, such as the NASDAQ. Following the completion of this offering, any borrowings under our second line of credit would become repayable if Fortissimo Capital ceases to hold 25.0% or more of our issued and outstanding shares and no longer has the right to appoint 25% or more of our directors.</w:t>
      </w:r>
    </w:p>
    <w:p>
      <w:pPr>
        <w:spacing w:after="0" w:line="196"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the net proceeds from this offering. Our future capital requirements will depend on many factors, including our rate of revenue growth, the expansion of our sales and marketing activities and expansion into new geographic locations, the timing and extent of spending to support product development efforts, the timing of introductions of new solutions and the continuing market acceptance of our solutions as well as other business development efforts.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0"/>
              </w:rPr>
              <w:t>Year Ended December 31,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3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Borders>
              <w:bottom w:val="single" w:sz="8" w:color="auto"/>
            </w:tcBorders>
          </w:tcPr>
          <w:p>
            <w:pPr>
              <w:spacing w:after="0"/>
              <w:rPr>
                <w:sz w:val="17"/>
                <w:szCs w:val="17"/>
                <w:color w:val="auto"/>
              </w:rPr>
            </w:pPr>
          </w:p>
        </w:tc>
      </w:tr>
      <w:tr>
        <w:trPr>
          <w:trHeight w:val="182"/>
        </w:trPr>
        <w:tc>
          <w:tcPr>
            <w:tcW w:w="3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jc w:val="right"/>
              <w:ind w:right="254"/>
              <w:spacing w:after="0" w:line="182" w:lineRule="exact"/>
              <w:rPr>
                <w:sz w:val="20"/>
                <w:szCs w:val="20"/>
                <w:color w:val="auto"/>
              </w:rPr>
            </w:pPr>
            <w:r>
              <w:rPr>
                <w:rFonts w:ascii="Arial" w:cs="Arial" w:eastAsia="Arial" w:hAnsi="Arial"/>
                <w:sz w:val="16"/>
                <w:szCs w:val="16"/>
                <w:b w:val="1"/>
                <w:bCs w:val="1"/>
                <w:color w:val="auto"/>
                <w:w w:val="94"/>
              </w:rPr>
              <w:t>(in thousands)</w:t>
            </w: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7"/>
              </w:rPr>
              <w:t>Net cash provided by (used in) operating activities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(1,042)</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2,738</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(337)</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w w:val="98"/>
              </w:rPr>
              <w:t>Net cash provided by (used in) investing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(3,121)</w:t>
            </w:r>
          </w:p>
        </w:tc>
        <w:tc>
          <w:tcPr>
            <w:tcW w:w="420" w:type="dxa"/>
            <w:vAlign w:val="bottom"/>
          </w:tcPr>
          <w:p>
            <w:pPr>
              <w:spacing w:after="0"/>
              <w:rPr>
                <w:sz w:val="18"/>
                <w:szCs w:val="18"/>
                <w:color w:val="auto"/>
              </w:rPr>
            </w:pP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(2,103)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40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2014</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 in 2014 was $0.3 million.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cash used in operating activities consisted of a net income of $3.0 million and a decrease of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$1.6 million in trade payables from the year ended December 31, 2013 to the year ended December 31, 2014. This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primarily due to the mix of products sold in 2014, which led to a shift of production to a third-party manufacturer with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shorter payment terms as well as obtaining components from suppliers with shorter payment terms.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120" w:right="139" w:firstLine="216"/>
        <w:spacing w:after="0" w:line="271" w:lineRule="auto"/>
        <w:rPr>
          <w:sz w:val="20"/>
          <w:szCs w:val="20"/>
          <w:color w:val="auto"/>
        </w:rPr>
      </w:pPr>
      <w:r>
        <w:rPr>
          <w:rFonts w:ascii="Arial" w:cs="Arial" w:eastAsia="Arial" w:hAnsi="Arial"/>
          <w:sz w:val="17"/>
          <w:szCs w:val="17"/>
          <w:color w:val="auto"/>
        </w:rPr>
        <w:t>During the same period, we experienced an increase of $4.4 million in trade receivables due to the growth in our business. Our days sales’ outstanding, or DSO, for the year ended December 31, 2014 was 54 compared to 42 for the year ended December 31, 2013.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the year ended December 31, 2014 reflected the increased activity in the fourth quarter of that year compared to the previous year.</w:t>
      </w:r>
    </w:p>
    <w:p>
      <w:pPr>
        <w:spacing w:after="0" w:line="192"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Our operating cash flows to fund the above activities were driven by our net income of $3.0 million (adjusted upward to reflect $2.2 million of non-cash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during 2013 was $2.7 million.</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Our inventory balance on December 31, 2013 was $12 million, representing a $3.4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188"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Primarily as a result of the increase in inventory, trade payables increased by $2.8 million from December 31, 2012 to December 31, 2013 due to the timing of purchases for such inventory. During the same period, we experienced an increase of only $1.2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167" w:lineRule="exact"/>
        <w:rPr>
          <w:sz w:val="20"/>
          <w:szCs w:val="20"/>
          <w:color w:val="auto"/>
        </w:rPr>
      </w:pPr>
    </w:p>
    <w:p>
      <w:pPr>
        <w:jc w:val="both"/>
        <w:ind w:left="120" w:right="219" w:firstLine="216"/>
        <w:spacing w:after="0" w:line="302" w:lineRule="auto"/>
        <w:rPr>
          <w:sz w:val="20"/>
          <w:szCs w:val="20"/>
          <w:color w:val="auto"/>
        </w:rPr>
      </w:pPr>
      <w:r>
        <w:rPr>
          <w:rFonts w:ascii="Arial" w:cs="Arial" w:eastAsia="Arial" w:hAnsi="Arial"/>
          <w:sz w:val="16"/>
          <w:szCs w:val="16"/>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Net cash provided by investing activities was $0.7 million in 2014, which was primarily attributable to the redemption of short-term bank deposits of $2.6 million offset by the purchase of property and equipment of $1.9 million. Net cash used in investing activities was $2.1 million in 2013, the majority of which consisted of purchase of property and equipment, and investments in short-term deposits as well as the purchase of a license to a digital R2R printer and all related technology, software and other intellectual property related to the printer from a third party.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Net cash used in financing activities was $0.7 million in 2014, which was attributable to payment of deferred issuance cost.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obligations as of December 31, 2014 are summarized in the following table: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6"/>
                <w:szCs w:val="16"/>
                <w:b w:val="1"/>
                <w:bCs w:val="1"/>
                <w:color w:val="auto"/>
                <w:w w:val="90"/>
              </w:rPr>
              <w:t>Payments Due by Period</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52"/>
              <w:spacing w:after="0"/>
              <w:rPr>
                <w:sz w:val="20"/>
                <w:szCs w:val="20"/>
                <w:color w:val="auto"/>
              </w:rPr>
            </w:pPr>
            <w:r>
              <w:rPr>
                <w:rFonts w:ascii="Arial" w:cs="Arial" w:eastAsia="Arial" w:hAnsi="Arial"/>
                <w:sz w:val="16"/>
                <w:szCs w:val="16"/>
                <w:b w:val="1"/>
                <w:bCs w:val="1"/>
                <w:color w:val="auto"/>
                <w:w w:val="90"/>
              </w:rPr>
              <w:t>2019 and</w:t>
            </w:r>
          </w:p>
        </w:tc>
        <w:tc>
          <w:tcPr>
            <w:tcW w:w="0" w:type="dxa"/>
            <w:vAlign w:val="bottom"/>
          </w:tcPr>
          <w:p>
            <w:pPr>
              <w:spacing w:after="0"/>
              <w:rPr>
                <w:sz w:val="1"/>
                <w:szCs w:val="1"/>
                <w:color w:val="auto"/>
              </w:rPr>
            </w:pPr>
          </w:p>
        </w:tc>
      </w:tr>
      <w:tr>
        <w:trPr>
          <w:trHeight w:val="213"/>
        </w:trPr>
        <w:tc>
          <w:tcPr>
            <w:tcW w:w="1720" w:type="dxa"/>
            <w:vAlign w:val="bottom"/>
            <w:vMerge w:val="restart"/>
          </w:tcPr>
          <w:p>
            <w:pPr>
              <w:spacing w:after="0"/>
              <w:rPr>
                <w:sz w:val="20"/>
                <w:szCs w:val="20"/>
                <w:color w:val="auto"/>
              </w:rPr>
            </w:pPr>
            <w:r>
              <w:rPr>
                <w:rFonts w:ascii="Arial" w:cs="Arial" w:eastAsia="Arial" w:hAnsi="Arial"/>
                <w:sz w:val="18"/>
                <w:szCs w:val="18"/>
                <w:color w:val="auto"/>
              </w:rPr>
              <w:t>Operating lease</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2018</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185"/>
        </w:trPr>
        <w:tc>
          <w:tcPr>
            <w:tcW w:w="17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line="216" w:lineRule="exact"/>
              <w:rPr>
                <w:sz w:val="20"/>
                <w:szCs w:val="20"/>
                <w:color w:val="auto"/>
              </w:rPr>
            </w:pPr>
            <w:r>
              <w:rPr>
                <w:rFonts w:ascii="Arial" w:cs="Arial" w:eastAsia="Arial" w:hAnsi="Arial"/>
                <w:sz w:val="18"/>
                <w:szCs w:val="18"/>
                <w:color w:val="auto"/>
              </w:rPr>
              <w:t>obligations</w:t>
            </w:r>
            <w:r>
              <w:rPr>
                <w:rFonts w:ascii="Arial" w:cs="Arial" w:eastAsia="Arial" w:hAnsi="Arial"/>
                <w:sz w:val="23"/>
                <w:szCs w:val="23"/>
                <w:color w:val="auto"/>
                <w:vertAlign w:val="superscript"/>
              </w:rPr>
              <w:t>(1)</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2,982</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1,215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985</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619</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Uncertain tax</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line="216" w:lineRule="exact"/>
              <w:rPr>
                <w:sz w:val="20"/>
                <w:szCs w:val="20"/>
                <w:color w:val="auto"/>
              </w:rPr>
            </w:pPr>
            <w:r>
              <w:rPr>
                <w:rFonts w:ascii="Arial" w:cs="Arial" w:eastAsia="Arial" w:hAnsi="Arial"/>
                <w:sz w:val="18"/>
                <w:szCs w:val="18"/>
                <w:color w:val="auto"/>
              </w:rPr>
              <w:t>positions</w:t>
            </w:r>
            <w:r>
              <w:rPr>
                <w:rFonts w:ascii="Arial" w:cs="Arial" w:eastAsia="Arial" w:hAnsi="Arial"/>
                <w:sz w:val="23"/>
                <w:szCs w:val="23"/>
                <w:color w:val="auto"/>
                <w:vertAlign w:val="superscript"/>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rPr>
              <w:t>Purchase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line="216" w:lineRule="exact"/>
              <w:rPr>
                <w:sz w:val="20"/>
                <w:szCs w:val="20"/>
                <w:color w:val="auto"/>
              </w:rPr>
            </w:pPr>
            <w:r>
              <w:rPr>
                <w:rFonts w:ascii="Arial" w:cs="Arial" w:eastAsia="Arial" w:hAnsi="Arial"/>
                <w:sz w:val="18"/>
                <w:szCs w:val="18"/>
                <w:color w:val="auto"/>
              </w:rPr>
              <w:t>commitments</w:t>
            </w:r>
            <w:r>
              <w:rPr>
                <w:rFonts w:ascii="Arial" w:cs="Arial" w:eastAsia="Arial" w:hAnsi="Arial"/>
                <w:sz w:val="23"/>
                <w:szCs w:val="23"/>
                <w:color w:val="auto"/>
                <w:vertAlign w:val="superscript"/>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8,859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line="216" w:lineRule="exact"/>
              <w:rPr>
                <w:sz w:val="20"/>
                <w:szCs w:val="20"/>
                <w:color w:val="auto"/>
              </w:rPr>
            </w:pPr>
            <w:r>
              <w:rPr>
                <w:rFonts w:ascii="Arial" w:cs="Arial" w:eastAsia="Arial" w:hAnsi="Arial"/>
                <w:sz w:val="18"/>
                <w:szCs w:val="18"/>
                <w:color w:val="auto"/>
                <w:w w:val="95"/>
              </w:rPr>
              <w:t>Severance payment</w:t>
            </w:r>
            <w:r>
              <w:rPr>
                <w:rFonts w:ascii="Arial" w:cs="Arial" w:eastAsia="Arial" w:hAnsi="Arial"/>
                <w:sz w:val="23"/>
                <w:szCs w:val="23"/>
                <w:color w:val="auto"/>
                <w:w w:val="95"/>
                <w:vertAlign w:val="superscript"/>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Arial" w:cs="Arial" w:eastAsia="Arial" w:hAnsi="Arial"/>
                <w:sz w:val="18"/>
                <w:szCs w:val="18"/>
                <w:color w:val="auto"/>
                <w:w w:val="96"/>
              </w:rPr>
              <w:t>Management services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line="231" w:lineRule="exact"/>
              <w:rPr>
                <w:sz w:val="20"/>
                <w:szCs w:val="20"/>
                <w:color w:val="auto"/>
              </w:rPr>
            </w:pPr>
            <w:r>
              <w:rPr>
                <w:rFonts w:ascii="Arial" w:cs="Arial" w:eastAsia="Arial" w:hAnsi="Arial"/>
                <w:sz w:val="18"/>
                <w:szCs w:val="18"/>
                <w:color w:val="auto"/>
              </w:rPr>
              <w:t>fees</w:t>
            </w:r>
            <w:r>
              <w:rPr>
                <w:rFonts w:ascii="Arial" w:cs="Arial" w:eastAsia="Arial" w:hAnsi="Arial"/>
                <w:sz w:val="23"/>
                <w:szCs w:val="23"/>
                <w:color w:val="auto"/>
                <w:vertAlign w:val="superscript"/>
              </w:rPr>
              <w:t>(5)</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88"/>
        </w:trPr>
        <w:tc>
          <w:tcPr>
            <w:tcW w:w="1720" w:type="dxa"/>
            <w:vAlign w:val="bottom"/>
          </w:tcPr>
          <w:p>
            <w:pPr>
              <w:spacing w:after="0" w:line="189"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15,531</w:t>
            </w:r>
          </w:p>
        </w:tc>
        <w:tc>
          <w:tcPr>
            <w:tcW w:w="3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10,194</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1,105</w:t>
            </w:r>
          </w:p>
        </w:tc>
        <w:tc>
          <w:tcPr>
            <w:tcW w:w="3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739</w:t>
            </w:r>
          </w:p>
        </w:tc>
        <w:tc>
          <w:tcPr>
            <w:tcW w:w="3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283</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66"/>
        </w:trPr>
        <w:tc>
          <w:tcPr>
            <w:tcW w:w="1720" w:type="dxa"/>
            <w:vAlign w:val="bottom"/>
          </w:tcPr>
          <w:p>
            <w:pPr>
              <w:spacing w:after="0"/>
              <w:rPr>
                <w:sz w:val="20"/>
                <w:szCs w:val="20"/>
                <w:color w:val="auto"/>
              </w:rPr>
            </w:pPr>
            <w:r>
              <w:rPr>
                <w:rFonts w:ascii="Arial" w:cs="Arial" w:eastAsia="Arial" w:hAnsi="Arial"/>
                <w:sz w:val="22"/>
                <w:szCs w:val="22"/>
                <w:color w:val="auto"/>
                <w:w w:val="99"/>
              </w:rPr>
              <w:t>______________</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80" w:hanging="255"/>
        <w:spacing w:after="0"/>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lease obligations consist of our contractual rental expenses under operating leases of facilities and vehicles.</w:t>
      </w:r>
    </w:p>
    <w:p>
      <w:pPr>
        <w:spacing w:after="0" w:line="30" w:lineRule="exact"/>
        <w:rPr>
          <w:rFonts w:ascii="Arial" w:cs="Arial" w:eastAsia="Arial" w:hAnsi="Arial"/>
          <w:sz w:val="16"/>
          <w:szCs w:val="16"/>
          <w:color w:val="auto"/>
        </w:rPr>
      </w:pPr>
    </w:p>
    <w:p>
      <w:pPr>
        <w:ind w:left="440" w:right="179" w:hanging="315"/>
        <w:spacing w:after="0" w:line="281"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accruals for certain income tax positions under ASC 740 that are paid upon settlement, and for which we are unable to reasonably estimate the ultimate amount and timing of settlement. See Note 11(h) to our consolidated financial statements included elsewhere in this prospectus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3" w:lineRule="exact"/>
        <w:rPr>
          <w:rFonts w:ascii="Arial" w:cs="Arial" w:eastAsia="Arial" w:hAnsi="Arial"/>
          <w:sz w:val="16"/>
          <w:szCs w:val="16"/>
          <w:color w:val="auto"/>
        </w:rPr>
      </w:pPr>
    </w:p>
    <w:p>
      <w:pPr>
        <w:ind w:left="440" w:hanging="315"/>
        <w:spacing w:after="0"/>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commitments to purchase inventory through the end of 2015.</w:t>
      </w:r>
    </w:p>
    <w:p>
      <w:pPr>
        <w:spacing w:after="0" w:line="9" w:lineRule="exact"/>
        <w:rPr>
          <w:rFonts w:ascii="Arial" w:cs="Arial" w:eastAsia="Arial" w:hAnsi="Arial"/>
          <w:sz w:val="18"/>
          <w:szCs w:val="18"/>
          <w:color w:val="auto"/>
        </w:rPr>
      </w:pPr>
    </w:p>
    <w:p>
      <w:pPr>
        <w:jc w:val="both"/>
        <w:ind w:left="440" w:right="119" w:hanging="315"/>
        <w:spacing w:after="0" w:line="250" w:lineRule="auto"/>
        <w:tabs>
          <w:tab w:leader="none" w:pos="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Severance payments of $1.9 million are payable only upon termination, retirement or death of our employees. Of this amount, $0.7 million is unfunded as of December 31, 2014. Since we are unable to reasonably estimate the timing of settlement, the timing of such payments is not specified in the table. See also Note 2(s) to our consolidated financial statements appearing elsewhere in this prospectus.</w:t>
      </w:r>
    </w:p>
    <w:p>
      <w:pPr>
        <w:spacing w:after="0" w:line="1" w:lineRule="exact"/>
        <w:rPr>
          <w:rFonts w:ascii="Arial" w:cs="Arial" w:eastAsia="Arial" w:hAnsi="Arial"/>
          <w:sz w:val="18"/>
          <w:szCs w:val="18"/>
          <w:color w:val="auto"/>
        </w:rPr>
      </w:pPr>
    </w:p>
    <w:p>
      <w:pPr>
        <w:ind w:left="440" w:right="259" w:hanging="315"/>
        <w:spacing w:after="0" w:line="270" w:lineRule="auto"/>
        <w:tabs>
          <w:tab w:leader="none" w:pos="4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management services fees payable to Fortissimo Capital pursuant to a management services agreement. The amount payable annually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2019. We and Fortissimo Capital have agreed to terminate the management services agreement upon the consummation of this offering.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right="199" w:firstLine="216"/>
        <w:spacing w:after="0" w:line="288"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w:t>
      </w:r>
    </w:p>
    <w:p>
      <w:pPr>
        <w:ind w:left="120" w:right="239"/>
        <w:spacing w:after="0" w:line="267" w:lineRule="auto"/>
        <w:rPr>
          <w:sz w:val="20"/>
          <w:szCs w:val="20"/>
          <w:color w:val="auto"/>
        </w:rPr>
      </w:pPr>
      <w:r>
        <w:rPr>
          <w:rFonts w:ascii="Arial" w:cs="Arial" w:eastAsia="Arial" w:hAnsi="Arial"/>
          <w:sz w:val="17"/>
          <w:szCs w:val="17"/>
          <w:color w:val="auto"/>
        </w:rPr>
        <w:t>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color w:val="auto"/>
        </w:rPr>
        <w:t>We generate revenues from the sale of our systems, ink and other consumables and value added services. We generate revenues from sale of our solutions directly to customers and indirectly through independent distributors.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769" w:right="1440" w:bottom="1440" w:gutter="0" w:footer="0" w:header="0"/>
        </w:sectPr>
      </w:pPr>
    </w:p>
    <w:bookmarkStart w:id="49" w:name="page50"/>
    <w:bookmarkEnd w:id="49"/>
    <w:p>
      <w:pPr>
        <w:ind w:left="120" w:right="219" w:firstLine="216"/>
        <w:spacing w:after="0" w:line="297" w:lineRule="auto"/>
        <w:rPr>
          <w:sz w:val="20"/>
          <w:szCs w:val="20"/>
          <w:color w:val="auto"/>
        </w:rPr>
      </w:pPr>
      <w:r>
        <w:rPr>
          <w:rFonts w:ascii="Arial" w:cs="Arial" w:eastAsia="Arial" w:hAnsi="Arial"/>
          <w:sz w:val="16"/>
          <w:szCs w:val="16"/>
          <w:color w:val="auto"/>
        </w:rPr>
        <w:t>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58"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65"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43"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57"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75"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58"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As of December 31, 2014, we had $12.0 million of inventory of which $6.4 million consisted of raw materials and components and $5.6 million consisted of completed systems, ink and other consumables. We recorded inventory write-offs in a total amount of $0.1 million, $0.4 million and $0.3 million for the years ended December 31, 2012, 2013 and 2014, respectively.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Valuations</w:t>
      </w:r>
    </w:p>
    <w:p>
      <w:pPr>
        <w:spacing w:after="0" w:line="212"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54"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75" w:lineRule="exact"/>
        <w:rPr>
          <w:sz w:val="20"/>
          <w:szCs w:val="20"/>
          <w:color w:val="auto"/>
        </w:rPr>
      </w:pPr>
    </w:p>
    <w:p>
      <w:pPr>
        <w:ind w:left="120" w:right="479" w:firstLine="216"/>
        <w:spacing w:after="0" w:line="264" w:lineRule="auto"/>
        <w:rPr>
          <w:sz w:val="20"/>
          <w:szCs w:val="20"/>
          <w:color w:val="auto"/>
        </w:rPr>
      </w:pPr>
      <w:r>
        <w:rPr>
          <w:rFonts w:ascii="Arial" w:cs="Arial" w:eastAsia="Arial" w:hAnsi="Arial"/>
          <w:sz w:val="18"/>
          <w:szCs w:val="18"/>
          <w:color w:val="auto"/>
        </w:rPr>
        <w:t>The determination of the grant date fair value of options using the binomial option pricing model is affected by estimates and assumptions regarding a number of complex and subjective variables. These variables are estimated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560" w:right="199" w:hanging="219"/>
        <w:spacing w:after="0" w:line="232" w:lineRule="auto"/>
        <w:tabs>
          <w:tab w:leader="none" w:pos="534"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Fair Value of our Ordinary Shares</w:t>
      </w:r>
      <w:r>
        <w:rPr>
          <w:rFonts w:ascii="Arial" w:cs="Arial" w:eastAsia="Arial" w:hAnsi="Arial"/>
          <w:sz w:val="18"/>
          <w:szCs w:val="18"/>
          <w:color w:val="auto"/>
        </w:rPr>
        <w:t>. Because our shares are not publicly traded, we must estimate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as discussed in “—Ordinary Share Valuations” below.</w:t>
      </w:r>
    </w:p>
    <w:p>
      <w:pPr>
        <w:spacing w:after="0" w:line="230" w:lineRule="exact"/>
        <w:rPr>
          <w:rFonts w:ascii="Arial" w:cs="Arial" w:eastAsia="Arial" w:hAnsi="Arial"/>
          <w:sz w:val="22"/>
          <w:szCs w:val="22"/>
          <w:i w:val="1"/>
          <w:iCs w:val="1"/>
          <w:color w:val="auto"/>
        </w:rPr>
      </w:pPr>
    </w:p>
    <w:p>
      <w:pPr>
        <w:jc w:val="both"/>
        <w:ind w:left="560" w:right="359" w:hanging="219"/>
        <w:spacing w:after="0" w:line="241" w:lineRule="auto"/>
        <w:tabs>
          <w:tab w:leader="none" w:pos="534"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Sub-Optimal Exercise Multiple</w:t>
      </w:r>
      <w:r>
        <w:rPr>
          <w:rFonts w:ascii="Arial" w:cs="Arial" w:eastAsia="Arial" w:hAnsi="Arial"/>
          <w:sz w:val="18"/>
          <w:szCs w:val="18"/>
          <w:color w:val="auto"/>
        </w:rPr>
        <w:t>. The sub-optimal exercise multiple represents an estimate of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229" w:lineRule="exact"/>
        <w:rPr>
          <w:rFonts w:ascii="Arial" w:cs="Arial" w:eastAsia="Arial" w:hAnsi="Arial"/>
          <w:sz w:val="22"/>
          <w:szCs w:val="22"/>
          <w:i w:val="1"/>
          <w:iCs w:val="1"/>
          <w:color w:val="auto"/>
        </w:rPr>
      </w:pPr>
    </w:p>
    <w:p>
      <w:pPr>
        <w:ind w:left="560" w:right="459" w:hanging="219"/>
        <w:spacing w:after="0" w:line="232" w:lineRule="auto"/>
        <w:tabs>
          <w:tab w:leader="none" w:pos="534" w:val="left"/>
        </w:tabs>
        <w:numPr>
          <w:ilvl w:val="0"/>
          <w:numId w:val="27"/>
        </w:numPr>
        <w:rPr>
          <w:rFonts w:ascii="Arial" w:cs="Arial" w:eastAsia="Arial" w:hAnsi="Arial"/>
          <w:sz w:val="22"/>
          <w:szCs w:val="22"/>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from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 equivalent to the contractual life of the options.</w:t>
      </w:r>
    </w:p>
    <w:p>
      <w:pPr>
        <w:spacing w:after="0" w:line="230" w:lineRule="exact"/>
        <w:rPr>
          <w:rFonts w:ascii="Arial" w:cs="Arial" w:eastAsia="Arial" w:hAnsi="Arial"/>
          <w:sz w:val="22"/>
          <w:szCs w:val="22"/>
          <w:i w:val="1"/>
          <w:iCs w:val="1"/>
          <w:color w:val="auto"/>
        </w:rPr>
      </w:pPr>
    </w:p>
    <w:p>
      <w:pPr>
        <w:ind w:left="560" w:right="139" w:hanging="219"/>
        <w:spacing w:after="0" w:line="251" w:lineRule="auto"/>
        <w:tabs>
          <w:tab w:leader="none" w:pos="534" w:val="left"/>
        </w:tabs>
        <w:numPr>
          <w:ilvl w:val="0"/>
          <w:numId w:val="27"/>
        </w:numPr>
        <w:rPr>
          <w:rFonts w:ascii="Arial" w:cs="Arial" w:eastAsia="Arial" w:hAnsi="Arial"/>
          <w:sz w:val="21"/>
          <w:szCs w:val="21"/>
          <w:i w:val="1"/>
          <w:iCs w:val="1"/>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equity volatility of the ordinary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companies that are publicly traded with adjustments to reflect our capital structure.</w:t>
      </w:r>
    </w:p>
    <w:p>
      <w:pPr>
        <w:spacing w:after="0" w:line="218" w:lineRule="exact"/>
        <w:rPr>
          <w:rFonts w:ascii="Arial" w:cs="Arial" w:eastAsia="Arial" w:hAnsi="Arial"/>
          <w:sz w:val="21"/>
          <w:szCs w:val="21"/>
          <w:i w:val="1"/>
          <w:iCs w:val="1"/>
          <w:color w:val="auto"/>
        </w:rPr>
      </w:pPr>
    </w:p>
    <w:p>
      <w:pPr>
        <w:ind w:left="560" w:right="799" w:hanging="219"/>
        <w:spacing w:after="0" w:line="251" w:lineRule="auto"/>
        <w:tabs>
          <w:tab w:leader="none" w:pos="534" w:val="left"/>
        </w:tabs>
        <w:numPr>
          <w:ilvl w:val="0"/>
          <w:numId w:val="27"/>
        </w:numPr>
        <w:rPr>
          <w:rFonts w:ascii="Arial" w:cs="Arial" w:eastAsia="Arial" w:hAnsi="Arial"/>
          <w:sz w:val="21"/>
          <w:szCs w:val="21"/>
          <w:i w:val="1"/>
          <w:iCs w:val="1"/>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 We have never declared or paid any cash dividends and do not presently plan to pay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in the foreseeable future. Consequently, we used an expected dividend yield of zero.</w:t>
      </w:r>
    </w:p>
    <w:p>
      <w:pPr>
        <w:spacing w:after="0" w:line="218" w:lineRule="exact"/>
        <w:rPr>
          <w:rFonts w:ascii="Arial" w:cs="Arial" w:eastAsia="Arial" w:hAnsi="Arial"/>
          <w:sz w:val="21"/>
          <w:szCs w:val="21"/>
          <w:i w:val="1"/>
          <w:iCs w:val="1"/>
          <w:color w:val="auto"/>
        </w:rPr>
      </w:pPr>
    </w:p>
    <w:p>
      <w:pPr>
        <w:ind w:left="540" w:hanging="199"/>
        <w:spacing w:after="0"/>
        <w:tabs>
          <w:tab w:leader="none" w:pos="540" w:val="left"/>
        </w:tabs>
        <w:numPr>
          <w:ilvl w:val="0"/>
          <w:numId w:val="27"/>
        </w:numPr>
        <w:rPr>
          <w:rFonts w:ascii="Arial" w:cs="Arial" w:eastAsia="Arial" w:hAnsi="Arial"/>
          <w:sz w:val="19"/>
          <w:szCs w:val="19"/>
          <w:i w:val="1"/>
          <w:iCs w:val="1"/>
          <w:color w:val="auto"/>
        </w:rPr>
      </w:pPr>
      <w:r>
        <w:rPr>
          <w:rFonts w:ascii="Arial" w:cs="Arial" w:eastAsia="Arial" w:hAnsi="Arial"/>
          <w:sz w:val="16"/>
          <w:szCs w:val="16"/>
          <w:i w:val="1"/>
          <w:iCs w:val="1"/>
          <w:color w:val="auto"/>
        </w:rPr>
        <w:t>Expected forfeiture rates</w:t>
      </w:r>
      <w:r>
        <w:rPr>
          <w:rFonts w:ascii="Arial" w:cs="Arial" w:eastAsia="Arial" w:hAnsi="Arial"/>
          <w:sz w:val="16"/>
          <w:szCs w:val="16"/>
          <w:color w:val="auto"/>
        </w:rPr>
        <w:t>.  The expected forfeiture rates were based on an analysis of our historical forfeiture rates.</w:t>
      </w:r>
    </w:p>
    <w:p>
      <w:pPr>
        <w:spacing w:after="0" w:line="187"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If any of the assumptions used in the binomial option pricing model change significantly, share-based compensation for future awards may differ materially compared with the awards granted previously.</w:t>
      </w:r>
    </w:p>
    <w:p>
      <w:pPr>
        <w:spacing w:after="0" w:line="170" w:lineRule="exact"/>
        <w:rPr>
          <w:sz w:val="20"/>
          <w:szCs w:val="20"/>
          <w:color w:val="auto"/>
        </w:rPr>
      </w:pPr>
    </w:p>
    <w:p>
      <w:pPr>
        <w:ind w:left="120" w:right="359" w:firstLine="216"/>
        <w:spacing w:after="0" w:line="342" w:lineRule="auto"/>
        <w:rPr>
          <w:sz w:val="20"/>
          <w:szCs w:val="20"/>
          <w:color w:val="auto"/>
        </w:rPr>
      </w:pPr>
      <w:r>
        <w:rPr>
          <w:rFonts w:ascii="Arial" w:cs="Arial" w:eastAsia="Arial" w:hAnsi="Arial"/>
          <w:sz w:val="16"/>
          <w:szCs w:val="16"/>
          <w:color w:val="auto"/>
        </w:rPr>
        <w:t>The following table presents the weighted-average assumptions used to estimate the fair value of options granted to employees during the periods presented. The number of options granted to non-employees was immaterial.</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3"/>
              </w:rPr>
              <w:t>Year Ended December 31,</w:t>
            </w:r>
          </w:p>
        </w:tc>
        <w:tc>
          <w:tcPr>
            <w:tcW w:w="1240" w:type="dxa"/>
            <w:vAlign w:val="bottom"/>
            <w:tcBorders>
              <w:bottom w:val="single" w:sz="8" w:color="auto"/>
            </w:tcBorders>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r>
      <w:tr>
        <w:trPr>
          <w:trHeight w:val="398"/>
        </w:trPr>
        <w:tc>
          <w:tcPr>
            <w:tcW w:w="4220" w:type="dxa"/>
            <w:vAlign w:val="bottom"/>
          </w:tcPr>
          <w:p>
            <w:pPr>
              <w:spacing w:after="0"/>
              <w:rPr>
                <w:sz w:val="20"/>
                <w:szCs w:val="20"/>
                <w:color w:val="auto"/>
              </w:rPr>
            </w:pPr>
            <w:r>
              <w:rPr>
                <w:rFonts w:ascii="Arial" w:cs="Arial" w:eastAsia="Arial" w:hAnsi="Arial"/>
                <w:sz w:val="18"/>
                <w:szCs w:val="18"/>
                <w:color w:val="auto"/>
              </w:rPr>
              <w:t>Sub-optimal exercise multiple</w:t>
            </w:r>
          </w:p>
        </w:tc>
        <w:tc>
          <w:tcPr>
            <w:tcW w:w="1240" w:type="dxa"/>
            <w:vAlign w:val="bottom"/>
          </w:tcPr>
          <w:p>
            <w:pPr>
              <w:jc w:val="right"/>
              <w:spacing w:after="0"/>
              <w:rPr>
                <w:sz w:val="20"/>
                <w:szCs w:val="20"/>
                <w:color w:val="auto"/>
              </w:rPr>
            </w:pPr>
            <w:r>
              <w:rPr>
                <w:rFonts w:ascii="Arial" w:cs="Arial" w:eastAsia="Arial" w:hAnsi="Arial"/>
                <w:sz w:val="18"/>
                <w:szCs w:val="18"/>
                <w:color w:val="auto"/>
              </w:rPr>
              <w:t>3.0-3.5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3.0-10.0</w:t>
            </w:r>
          </w:p>
        </w:tc>
        <w:tc>
          <w:tcPr>
            <w:tcW w:w="3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tcPr>
          <w:p>
            <w:pPr>
              <w:jc w:val="right"/>
              <w:spacing w:after="0"/>
              <w:rPr>
                <w:sz w:val="20"/>
                <w:szCs w:val="20"/>
                <w:color w:val="auto"/>
              </w:rPr>
            </w:pPr>
            <w:r>
              <w:rPr>
                <w:rFonts w:ascii="Arial" w:cs="Arial" w:eastAsia="Arial" w:hAnsi="Arial"/>
                <w:sz w:val="18"/>
                <w:szCs w:val="18"/>
                <w:color w:val="auto"/>
              </w:rPr>
              <w:t>0.1%-1.8%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0.1%-2.5 %</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0.1%-2.5%</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Volatility</w:t>
            </w:r>
          </w:p>
        </w:tc>
        <w:tc>
          <w:tcPr>
            <w:tcW w:w="1240" w:type="dxa"/>
            <w:vAlign w:val="bottom"/>
          </w:tcPr>
          <w:p>
            <w:pPr>
              <w:jc w:val="right"/>
              <w:spacing w:after="0"/>
              <w:rPr>
                <w:sz w:val="20"/>
                <w:szCs w:val="20"/>
                <w:color w:val="auto"/>
              </w:rPr>
            </w:pPr>
            <w:r>
              <w:rPr>
                <w:rFonts w:ascii="Arial" w:cs="Arial" w:eastAsia="Arial" w:hAnsi="Arial"/>
                <w:sz w:val="18"/>
                <w:szCs w:val="18"/>
                <w:color w:val="auto"/>
              </w:rPr>
              <w:t>55%-71%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50-55%</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50%-55%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 Valuations</w:t>
      </w:r>
    </w:p>
    <w:p>
      <w:pPr>
        <w:spacing w:after="0" w:line="198"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presents the share options grants made between January 1, 2014 and the date of this prospectus and the related exercise price and estimated fair value per ordinary share at the grant date:</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Arial" w:cs="Arial" w:eastAsia="Arial" w:hAnsi="Arial"/>
                <w:sz w:val="16"/>
                <w:szCs w:val="16"/>
                <w:b w:val="1"/>
                <w:bCs w:val="1"/>
                <w:color w:val="auto"/>
                <w:w w:val="92"/>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4"/>
              <w:spacing w:after="0"/>
              <w:rPr>
                <w:sz w:val="20"/>
                <w:szCs w:val="20"/>
                <w:color w:val="auto"/>
              </w:rPr>
            </w:pPr>
            <w:r>
              <w:rPr>
                <w:rFonts w:ascii="Arial" w:cs="Arial" w:eastAsia="Arial" w:hAnsi="Arial"/>
                <w:sz w:val="16"/>
                <w:szCs w:val="16"/>
                <w:b w:val="1"/>
                <w:bCs w:val="1"/>
                <w:color w:val="auto"/>
                <w:w w:val="94"/>
              </w:rPr>
              <w:t>Estimated Fair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Shares Subject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94"/>
              <w:spacing w:after="0"/>
              <w:rPr>
                <w:sz w:val="20"/>
                <w:szCs w:val="20"/>
                <w:color w:val="auto"/>
              </w:rPr>
            </w:pPr>
            <w:r>
              <w:rPr>
                <w:rFonts w:ascii="Arial" w:cs="Arial" w:eastAsia="Arial" w:hAnsi="Arial"/>
                <w:sz w:val="16"/>
                <w:szCs w:val="16"/>
                <w:b w:val="1"/>
                <w:bCs w:val="1"/>
                <w:color w:val="auto"/>
                <w:w w:val="93"/>
              </w:rPr>
              <w:t>Value Per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center"/>
              <w:ind w:right="117"/>
              <w:spacing w:after="0"/>
              <w:rPr>
                <w:sz w:val="20"/>
                <w:szCs w:val="20"/>
                <w:color w:val="auto"/>
              </w:rPr>
            </w:pPr>
            <w:r>
              <w:rPr>
                <w:rFonts w:ascii="Arial" w:cs="Arial" w:eastAsia="Arial" w:hAnsi="Arial"/>
                <w:sz w:val="16"/>
                <w:szCs w:val="16"/>
                <w:b w:val="1"/>
                <w:bCs w:val="1"/>
                <w:color w:val="auto"/>
                <w:w w:val="90"/>
              </w:rPr>
              <w:t>to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4"/>
              <w:spacing w:after="0"/>
              <w:rPr>
                <w:sz w:val="20"/>
                <w:szCs w:val="20"/>
                <w:color w:val="auto"/>
              </w:rPr>
            </w:pPr>
            <w:r>
              <w:rPr>
                <w:rFonts w:ascii="Arial" w:cs="Arial" w:eastAsia="Arial" w:hAnsi="Arial"/>
                <w:sz w:val="16"/>
                <w:szCs w:val="16"/>
                <w:b w:val="1"/>
                <w:bCs w:val="1"/>
                <w:color w:val="auto"/>
                <w:w w:val="89"/>
              </w:rPr>
              <w:t>Exercise Price</w:t>
            </w:r>
          </w:p>
        </w:tc>
        <w:tc>
          <w:tcPr>
            <w:tcW w:w="34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5"/>
              </w:rPr>
              <w:t>Ordinary Share</w:t>
            </w:r>
          </w:p>
        </w:tc>
      </w:tr>
      <w:tr>
        <w:trPr>
          <w:trHeight w:val="230"/>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Date of Grant</w:t>
            </w:r>
          </w:p>
        </w:tc>
        <w:tc>
          <w:tcPr>
            <w:tcW w:w="180" w:type="dxa"/>
            <w:vAlign w:val="bottom"/>
          </w:tcPr>
          <w:p>
            <w:pPr>
              <w:spacing w:after="0"/>
              <w:rPr>
                <w:sz w:val="19"/>
                <w:szCs w:val="19"/>
                <w:color w:val="auto"/>
              </w:rPr>
            </w:pPr>
          </w:p>
        </w:tc>
        <w:tc>
          <w:tcPr>
            <w:tcW w:w="106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Granted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94"/>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4"/>
              <w:spacing w:after="0"/>
              <w:rPr>
                <w:sz w:val="20"/>
                <w:szCs w:val="20"/>
                <w:color w:val="auto"/>
              </w:rPr>
            </w:pPr>
            <w:r>
              <w:rPr>
                <w:rFonts w:ascii="Arial" w:cs="Arial" w:eastAsia="Arial" w:hAnsi="Arial"/>
                <w:sz w:val="16"/>
                <w:szCs w:val="16"/>
                <w:b w:val="1"/>
                <w:bCs w:val="1"/>
                <w:color w:val="auto"/>
                <w:w w:val="95"/>
              </w:rPr>
              <w:t>at Grant Date</w:t>
            </w:r>
          </w:p>
        </w:tc>
      </w:tr>
      <w:tr>
        <w:trPr>
          <w:trHeight w:val="195"/>
        </w:trPr>
        <w:tc>
          <w:tcPr>
            <w:tcW w:w="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January 2014</w:t>
            </w: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203,147</w:t>
            </w:r>
          </w:p>
        </w:tc>
        <w:tc>
          <w:tcPr>
            <w:tcW w:w="3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1.60</w:t>
            </w:r>
          </w:p>
        </w:tc>
        <w:tc>
          <w:tcPr>
            <w:tcW w:w="3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4.08</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April 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650,992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4.86</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July 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137,556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6.31</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October 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141,921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8.29</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November 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248,109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9.31</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February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60,436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9.97</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March 2015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153,972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9.97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bl>
    <w:p>
      <w:pPr>
        <w:spacing w:after="0" w:line="161" w:lineRule="exact"/>
        <w:rPr>
          <w:sz w:val="20"/>
          <w:szCs w:val="20"/>
          <w:color w:val="auto"/>
        </w:rPr>
      </w:pPr>
    </w:p>
    <w:p>
      <w:pPr>
        <w:jc w:val="both"/>
        <w:ind w:left="120" w:right="659" w:firstLine="216"/>
        <w:spacing w:after="0" w:line="264" w:lineRule="auto"/>
        <w:rPr>
          <w:sz w:val="20"/>
          <w:szCs w:val="20"/>
          <w:color w:val="auto"/>
        </w:rPr>
      </w:pPr>
      <w:r>
        <w:rPr>
          <w:rFonts w:ascii="Arial" w:cs="Arial" w:eastAsia="Arial" w:hAnsi="Arial"/>
          <w:sz w:val="18"/>
          <w:szCs w:val="18"/>
          <w:color w:val="auto"/>
        </w:rPr>
        <w:t>Based on the initial public offering price of $10.00 per share, the intrinsic value of the awards outstanding as of December 31, 2014 was $22.0 million, of which $9.4 million related to vested options and $12.6 million related to unvested options.</w:t>
      </w:r>
    </w:p>
    <w:p>
      <w:pPr>
        <w:spacing w:after="0" w:line="181" w:lineRule="exact"/>
        <w:rPr>
          <w:sz w:val="20"/>
          <w:szCs w:val="20"/>
          <w:color w:val="auto"/>
        </w:rPr>
      </w:pPr>
    </w:p>
    <w:p>
      <w:pPr>
        <w:ind w:left="120" w:right="379" w:firstLine="216"/>
        <w:spacing w:after="0" w:line="259" w:lineRule="auto"/>
        <w:rPr>
          <w:sz w:val="20"/>
          <w:szCs w:val="20"/>
          <w:color w:val="auto"/>
        </w:rPr>
      </w:pPr>
      <w:r>
        <w:rPr>
          <w:rFonts w:ascii="Arial" w:cs="Arial" w:eastAsia="Arial" w:hAnsi="Arial"/>
          <w:sz w:val="18"/>
          <w:szCs w:val="18"/>
          <w:color w:val="auto"/>
        </w:rPr>
        <w:t xml:space="preserve">In the absence of a public trading market for our ordinary shares, with respect to each grant date, we develop an estimate of the fair value of our ordinary shares in order to determine an exercise price for each share-based award. We have determined the fair value of our ordinary shares using methodologies, approaches and assumptions consistent with the </w:t>
      </w:r>
      <w:r>
        <w:rPr>
          <w:rFonts w:ascii="Arial" w:cs="Arial" w:eastAsia="Arial" w:hAnsi="Arial"/>
          <w:sz w:val="18"/>
          <w:szCs w:val="18"/>
          <w:i w:val="1"/>
          <w:iCs w:val="1"/>
          <w:color w:val="auto"/>
        </w:rPr>
        <w:t>American Institute</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52" w:right="1440" w:bottom="1440" w:gutter="0" w:footer="0" w:header="0"/>
        </w:sectPr>
      </w:pPr>
    </w:p>
    <w:bookmarkStart w:id="51" w:name="page52"/>
    <w:bookmarkEnd w:id="51"/>
    <w:p>
      <w:pPr>
        <w:ind w:left="120" w:right="179"/>
        <w:spacing w:after="0" w:line="255" w:lineRule="auto"/>
        <w:rPr>
          <w:sz w:val="20"/>
          <w:szCs w:val="20"/>
          <w:color w:val="auto"/>
        </w:rPr>
      </w:pPr>
      <w:r>
        <w:rPr>
          <w:rFonts w:ascii="Arial" w:cs="Arial" w:eastAsia="Arial" w:hAnsi="Arial"/>
          <w:sz w:val="18"/>
          <w:szCs w:val="18"/>
          <w:i w:val="1"/>
          <w:iCs w:val="1"/>
          <w:color w:val="auto"/>
        </w:rPr>
        <w:t xml:space="preserve">of Certified Public Accountants Practice Aid, Valuation of Privately-Held-Company Equity Securities Issued as Compensation. </w:t>
      </w:r>
      <w:r>
        <w:rPr>
          <w:rFonts w:ascii="Arial" w:cs="Arial" w:eastAsia="Arial" w:hAnsi="Arial"/>
          <w:sz w:val="18"/>
          <w:szCs w:val="18"/>
          <w:color w:val="auto"/>
        </w:rPr>
        <w:t>Our board of directors exercised judgment and considered a number of objective and subjective factors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153"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167"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We allocated the estimated enterprise value among different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167" w:lineRule="exact"/>
        <w:rPr>
          <w:sz w:val="20"/>
          <w:szCs w:val="20"/>
          <w:color w:val="auto"/>
        </w:rPr>
      </w:pPr>
    </w:p>
    <w:p>
      <w:pPr>
        <w:ind w:left="120" w:right="379" w:firstLine="216"/>
        <w:spacing w:after="0" w:line="264" w:lineRule="auto"/>
        <w:rPr>
          <w:sz w:val="20"/>
          <w:szCs w:val="20"/>
          <w:color w:val="auto"/>
        </w:rPr>
      </w:pPr>
      <w:r>
        <w:rPr>
          <w:rFonts w:ascii="Arial" w:cs="Arial" w:eastAsia="Arial" w:hAnsi="Arial"/>
          <w:sz w:val="18"/>
          <w:szCs w:val="18"/>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9" w:lineRule="exact"/>
        <w:rPr>
          <w:sz w:val="20"/>
          <w:szCs w:val="20"/>
          <w:color w:val="auto"/>
        </w:rPr>
      </w:pPr>
    </w:p>
    <w:p>
      <w:pPr>
        <w:ind w:left="120" w:right="239" w:firstLine="216"/>
        <w:spacing w:after="0" w:line="293" w:lineRule="auto"/>
        <w:rPr>
          <w:sz w:val="20"/>
          <w:szCs w:val="20"/>
          <w:color w:val="auto"/>
        </w:rPr>
      </w:pPr>
      <w:r>
        <w:rPr>
          <w:rFonts w:ascii="Arial" w:cs="Arial" w:eastAsia="Arial" w:hAnsi="Arial"/>
          <w:sz w:val="16"/>
          <w:szCs w:val="16"/>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120" w:right="199" w:firstLine="216"/>
        <w:spacing w:after="0" w:line="291" w:lineRule="auto"/>
        <w:rPr>
          <w:sz w:val="20"/>
          <w:szCs w:val="20"/>
          <w:color w:val="auto"/>
        </w:rPr>
      </w:pPr>
      <w:r>
        <w:rPr>
          <w:rFonts w:ascii="Arial" w:cs="Arial" w:eastAsia="Arial" w:hAnsi="Arial"/>
          <w:sz w:val="16"/>
          <w:szCs w:val="16"/>
          <w:color w:val="auto"/>
        </w:rPr>
        <w:t>While we believe the resulting tax balances as of December 31, 2012, 2013 and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279" w:firstLine="216"/>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2014, approximately 85% of our revenues were denominated in U.S. dollars and 15% of our revenues were denominated in Euros. Conversely, in 2014, approximately 78%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information about the changes in the exchange rates of the NIS and the Euro against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U.S. dollar:</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7"/>
              </w:rPr>
              <w:t>Change in Average Exchange Rate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rPr>
              <w:t>U.S. Dollar</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U.S. Dollar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against the NIS</w:t>
            </w:r>
          </w:p>
        </w:tc>
        <w:tc>
          <w:tcPr>
            <w:tcW w:w="1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7"/>
              </w:rPr>
              <w:t>against the</w:t>
            </w:r>
          </w:p>
        </w:tc>
        <w:tc>
          <w:tcPr>
            <w:tcW w:w="0" w:type="dxa"/>
            <w:vAlign w:val="bottom"/>
          </w:tcPr>
          <w:p>
            <w:pPr>
              <w:spacing w:after="0"/>
              <w:rPr>
                <w:sz w:val="1"/>
                <w:szCs w:val="1"/>
                <w:color w:val="auto"/>
              </w:rPr>
            </w:pPr>
          </w:p>
        </w:tc>
      </w:tr>
      <w:tr>
        <w:trPr>
          <w:trHeight w:val="210"/>
        </w:trPr>
        <w:tc>
          <w:tcPr>
            <w:tcW w:w="5800" w:type="dxa"/>
            <w:vAlign w:val="bottom"/>
            <w:gridSpan w:val="3"/>
          </w:tcPr>
          <w:p>
            <w:pPr>
              <w:spacing w:after="0"/>
              <w:rPr>
                <w:sz w:val="20"/>
                <w:szCs w:val="20"/>
                <w:color w:val="auto"/>
              </w:rPr>
            </w:pPr>
            <w:r>
              <w:rPr>
                <w:rFonts w:ascii="Arial" w:cs="Arial" w:eastAsia="Arial" w:hAnsi="Arial"/>
                <w:sz w:val="16"/>
                <w:szCs w:val="16"/>
                <w:b w:val="1"/>
                <w:bCs w:val="1"/>
                <w:color w:val="auto"/>
              </w:rPr>
              <w:t>Period</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Euro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5600" w:type="dxa"/>
            <w:vAlign w:val="bottom"/>
          </w:tcPr>
          <w:p>
            <w:pPr>
              <w:jc w:val="right"/>
              <w:ind w:right="5170"/>
              <w:spacing w:after="0" w:line="201" w:lineRule="exact"/>
              <w:rPr>
                <w:sz w:val="20"/>
                <w:szCs w:val="20"/>
                <w:color w:val="auto"/>
              </w:rPr>
            </w:pPr>
            <w:r>
              <w:rPr>
                <w:rFonts w:ascii="Arial" w:cs="Arial" w:eastAsia="Arial" w:hAnsi="Arial"/>
                <w:sz w:val="18"/>
                <w:szCs w:val="18"/>
                <w:color w:val="auto"/>
                <w:w w:val="79"/>
              </w:rPr>
              <w:t>2012</w:t>
            </w:r>
          </w:p>
        </w:tc>
        <w:tc>
          <w:tcPr>
            <w:tcW w:w="180" w:type="dxa"/>
            <w:vAlign w:val="bottom"/>
            <w:vMerge w:val="continue"/>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7.8</w:t>
            </w:r>
          </w:p>
        </w:tc>
        <w:tc>
          <w:tcPr>
            <w:tcW w:w="340" w:type="dxa"/>
            <w:vAlign w:val="bottom"/>
            <w:vMerge w:val="continue"/>
          </w:tcPr>
          <w:p>
            <w:pPr>
              <w:spacing w:after="0"/>
              <w:rPr>
                <w:sz w:val="17"/>
                <w:szCs w:val="17"/>
                <w:color w:val="auto"/>
              </w:rPr>
            </w:pPr>
          </w:p>
        </w:tc>
        <w:tc>
          <w:tcPr>
            <w:tcW w:w="12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620" w:type="dxa"/>
            <w:vAlign w:val="bottom"/>
            <w:gridSpan w:val="2"/>
          </w:tcPr>
          <w:p>
            <w:pPr>
              <w:jc w:val="right"/>
              <w:ind w:right="5170"/>
              <w:spacing w:after="0"/>
              <w:rPr>
                <w:sz w:val="20"/>
                <w:szCs w:val="20"/>
                <w:color w:val="auto"/>
              </w:rPr>
            </w:pPr>
            <w:r>
              <w:rPr>
                <w:rFonts w:ascii="Arial" w:cs="Arial" w:eastAsia="Arial" w:hAnsi="Arial"/>
                <w:sz w:val="18"/>
                <w:szCs w:val="18"/>
                <w:color w:val="auto"/>
                <w:w w:val="84"/>
              </w:rPr>
              <w:t>2013</w:t>
            </w:r>
          </w:p>
        </w:tc>
        <w:tc>
          <w:tcPr>
            <w:tcW w:w="18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2"/>
          </w:tcPr>
          <w:p>
            <w:pPr>
              <w:jc w:val="right"/>
              <w:ind w:right="5170"/>
              <w:spacing w:after="0"/>
              <w:rPr>
                <w:sz w:val="20"/>
                <w:szCs w:val="20"/>
                <w:color w:val="auto"/>
              </w:rPr>
            </w:pPr>
            <w:r>
              <w:rPr>
                <w:rFonts w:ascii="Arial" w:cs="Arial" w:eastAsia="Arial" w:hAnsi="Arial"/>
                <w:sz w:val="18"/>
                <w:szCs w:val="18"/>
                <w:color w:val="auto"/>
                <w:w w:val="84"/>
              </w:rPr>
              <w:t>2014</w:t>
            </w:r>
          </w:p>
        </w:tc>
        <w:tc>
          <w:tcPr>
            <w:tcW w:w="18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A 10% increase or decrease in the value of the NIS against the U.S. dollar would have decreased or increased our net income by approximately $2.8 million in 2013 and by approximately $3.6 million in 2014. A 10% increase or decrease in the value of the Euro against the U.S. dollar would have decreased or increased our net income by approximately $0.6 million in 2013 and by approximately $1.1 million in 2014.</w:t>
      </w:r>
    </w:p>
    <w:p>
      <w:pPr>
        <w:spacing w:after="0" w:line="189"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7"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8" w:lineRule="exact"/>
        <w:rPr>
          <w:sz w:val="20"/>
          <w:szCs w:val="20"/>
          <w:color w:val="auto"/>
        </w:rPr>
      </w:pPr>
    </w:p>
    <w:p>
      <w:pPr>
        <w:ind w:left="120" w:right="259" w:firstLine="216"/>
        <w:spacing w:after="0" w:line="255" w:lineRule="auto"/>
        <w:rPr>
          <w:sz w:val="20"/>
          <w:szCs w:val="20"/>
          <w:color w:val="auto"/>
        </w:rPr>
      </w:pPr>
      <w:r>
        <w:rPr>
          <w:rFonts w:ascii="Arial" w:cs="Arial" w:eastAsia="Arial" w:hAnsi="Arial"/>
          <w:sz w:val="18"/>
          <w:szCs w:val="18"/>
          <w:color w:val="auto"/>
        </w:rPr>
        <w:t>To protect against an increase the dollar-denominated value of expenses paid in NIS during the year, we plan to institute a foreign currency cash flow hedging program, which will seek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once</w:t>
      </w:r>
    </w:p>
    <w:p>
      <w:pPr>
        <w:sectPr>
          <w:pgSz w:w="11900" w:h="16838" w:orient="portrait"/>
          <w:cols w:equalWidth="0" w:num="1">
            <w:col w:w="9019"/>
          </w:cols>
          <w:pgMar w:left="1440" w:top="125" w:right="1440"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53" w:name="page54"/>
    <w:bookmarkEnd w:id="53"/>
    <w:p>
      <w:pPr>
        <w:ind w:left="120" w:right="299"/>
        <w:spacing w:after="0" w:line="312" w:lineRule="auto"/>
        <w:rPr>
          <w:sz w:val="20"/>
          <w:szCs w:val="20"/>
          <w:color w:val="auto"/>
        </w:rPr>
      </w:pPr>
      <w:r>
        <w:rPr>
          <w:rFonts w:ascii="Arial" w:cs="Arial" w:eastAsia="Arial" w:hAnsi="Arial"/>
          <w:sz w:val="16"/>
          <w:szCs w:val="16"/>
          <w:color w:val="auto"/>
        </w:rPr>
        <w:t>implemented,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120" w:right="699" w:firstLine="216"/>
        <w:spacing w:after="0" w:line="277" w:lineRule="auto"/>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179" w:firstLine="216"/>
        <w:spacing w:after="0" w:line="342" w:lineRule="auto"/>
        <w:rPr>
          <w:sz w:val="20"/>
          <w:szCs w:val="20"/>
          <w:color w:val="auto"/>
        </w:rPr>
      </w:pPr>
      <w:r>
        <w:rPr>
          <w:rFonts w:ascii="Arial" w:cs="Arial" w:eastAsia="Arial" w:hAnsi="Arial"/>
          <w:sz w:val="16"/>
          <w:szCs w:val="16"/>
          <w:color w:val="auto"/>
        </w:rPr>
        <w:t>Since our inception, except for standard operating leases, we have not engaged in any off-balance sheet arrangements, such as the use of unconsolidated subsidiaries, structured finance, special purpose entities or variable interest entities.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229" w:lineRule="exact"/>
        <w:rPr>
          <w:sz w:val="20"/>
          <w:szCs w:val="20"/>
          <w:color w:val="auto"/>
        </w:rPr>
      </w:pPr>
    </w:p>
    <w:p>
      <w:pPr>
        <w:jc w:val="both"/>
        <w:ind w:left="120" w:right="199" w:firstLine="21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53"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38"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color w:val="auto"/>
        </w:rPr>
        <w:t>The global printed textile industry can be categorized into clothing, household, technical and displays. We estimate that the vast majority of the approximately 33 billion square meters of projected annual output of the global printed textile industry in 2015 will be produced using analog print methods, specifically screen printing, carousels for printing on garments and rotary screen printers for printing on rolls of fabric. Our assessment is based on data provided in a 2014 report by Smithers Pira, a provider of market intelligence on the printed textile industry. The Pira report provides digital printing output estimates for 2014 and projects the analog printing output for 2015 as well as the annual digital textile printing growth rate through 2019, which we used to calculate a projected digital output of approximately 780 million square meters for 2015, representing approximately 2% of total projected annual global printed textile output in 2015. According to the Pira report, initial growth rates in the digital textile printing market were more than 45% between 2004 and 2009, declining to an average compound annual growth rate of 25.0% between 2009 and 2012 and an average compound annual growth rate of 19.4% between 2012 and 2014 as the market became more mature and, in part, due to the impact of the global economic slowdown. Digital textile printing output is forecasted to grow at approximately 20% per year globally for the foreseeable future driven by projected compound annual growth rates from 2014 to 2019 of approximately 15% in North America, 20% in Western Europe, 20% in Eastern Europe and 21%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137"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estimate that global revenue from digital textile printing equipment and ink will grow at a 17% compound annual growth rate between 2014 and 2019 based on the estimate of such revenue for 2014 and the projection for 2019, in each case, contained in the Pira report. There is currently a global installed base of approximately 35,000 digital textile printers.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9" w:lineRule="exact"/>
        <w:rPr>
          <w:sz w:val="20"/>
          <w:szCs w:val="20"/>
          <w:color w:val="auto"/>
        </w:rPr>
      </w:pPr>
    </w:p>
    <w:p>
      <w:pPr>
        <w:ind w:left="120" w:right="559" w:firstLine="216"/>
        <w:spacing w:after="0" w:line="302" w:lineRule="auto"/>
        <w:rPr>
          <w:sz w:val="20"/>
          <w:szCs w:val="20"/>
          <w:color w:val="auto"/>
        </w:rPr>
      </w:pPr>
      <w:r>
        <w:rPr>
          <w:rFonts w:ascii="Arial" w:cs="Arial" w:eastAsia="Arial" w:hAnsi="Arial"/>
          <w:sz w:val="16"/>
          <w:szCs w:val="16"/>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27" w:lineRule="exact"/>
        <w:rPr>
          <w:sz w:val="20"/>
          <w:szCs w:val="20"/>
          <w:color w:val="auto"/>
        </w:rPr>
      </w:pPr>
    </w:p>
    <w:p>
      <w:pPr>
        <w:ind w:left="120" w:right="259" w:firstLine="216"/>
        <w:spacing w:after="0" w:line="255" w:lineRule="auto"/>
        <w:rPr>
          <w:sz w:val="20"/>
          <w:szCs w:val="20"/>
          <w:color w:val="auto"/>
        </w:rPr>
      </w:pPr>
      <w:r>
        <w:rPr>
          <w:rFonts w:ascii="Arial" w:cs="Arial" w:eastAsia="Arial" w:hAnsi="Arial"/>
          <w:sz w:val="18"/>
          <w:szCs w:val="18"/>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176" w:lineRule="exact"/>
        <w:rPr>
          <w:sz w:val="20"/>
          <w:szCs w:val="20"/>
          <w:color w:val="auto"/>
        </w:rPr>
      </w:pPr>
    </w:p>
    <w:p>
      <w:pPr>
        <w:ind w:left="560" w:right="139" w:hanging="219"/>
        <w:spacing w:after="0" w:line="238" w:lineRule="auto"/>
        <w:tabs>
          <w:tab w:leader="none" w:pos="534"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 distinguish themselves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masses, consumers demand, and brand owners seek to supply, a wide range of styles that are innovative and diverse.</w:t>
      </w:r>
    </w:p>
    <w:p>
      <w:pPr>
        <w:spacing w:after="0" w:line="229" w:lineRule="exact"/>
        <w:rPr>
          <w:rFonts w:ascii="Arial" w:cs="Arial" w:eastAsia="Arial" w:hAnsi="Arial"/>
          <w:sz w:val="22"/>
          <w:szCs w:val="22"/>
          <w:b w:val="1"/>
          <w:bCs w:val="1"/>
          <w:i w:val="1"/>
          <w:iCs w:val="1"/>
          <w:color w:val="auto"/>
        </w:rPr>
      </w:pPr>
    </w:p>
    <w:p>
      <w:pPr>
        <w:ind w:left="560" w:right="179" w:hanging="219"/>
        <w:spacing w:after="0" w:line="238" w:lineRule="auto"/>
        <w:tabs>
          <w:tab w:leader="none" w:pos="534"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Mass customization and personalization.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w:t>
      </w:r>
    </w:p>
    <w:p>
      <w:pPr>
        <w:sectPr>
          <w:pgSz w:w="11900" w:h="16838" w:orient="portrait"/>
          <w:cols w:equalWidth="0" w:num="1">
            <w:col w:w="9019"/>
          </w:cols>
          <w:pgMar w:left="1440" w:top="337"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5" w:name="page56"/>
    <w:bookmarkEnd w:id="55"/>
    <w:p>
      <w:pPr>
        <w:ind w:left="560" w:right="359" w:hanging="219"/>
        <w:spacing w:after="0" w:line="238" w:lineRule="auto"/>
        <w:tabs>
          <w:tab w:leader="none" w:pos="534"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Reduced time between design and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textile printing process allows for samples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produced, evaluated, and modified, which permits brand owners to increase the frequency and variety of replenishment cycles in response to fashion trends.</w:t>
      </w:r>
    </w:p>
    <w:p>
      <w:pPr>
        <w:spacing w:after="0" w:line="229" w:lineRule="exact"/>
        <w:rPr>
          <w:rFonts w:ascii="Arial" w:cs="Arial" w:eastAsia="Arial" w:hAnsi="Arial"/>
          <w:sz w:val="22"/>
          <w:szCs w:val="22"/>
          <w:b w:val="1"/>
          <w:bCs w:val="1"/>
          <w:i w:val="1"/>
          <w:iCs w:val="1"/>
          <w:color w:val="auto"/>
        </w:rPr>
      </w:pPr>
    </w:p>
    <w:p>
      <w:pPr>
        <w:ind w:left="560" w:right="159" w:hanging="219"/>
        <w:spacing w:after="0" w:line="241" w:lineRule="auto"/>
        <w:tabs>
          <w:tab w:leader="none" w:pos="534"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 setup required in analog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methods is avoided when using digital printing technologies. Therefore, digital printing enables the cost efficient production of a smaller quantity of garments which mitigates excess inventory risk and improves profitability.</w:t>
      </w:r>
    </w:p>
    <w:p>
      <w:pPr>
        <w:spacing w:after="0" w:line="189" w:lineRule="exact"/>
        <w:rPr>
          <w:rFonts w:ascii="Arial" w:cs="Arial" w:eastAsia="Arial" w:hAnsi="Arial"/>
          <w:sz w:val="22"/>
          <w:szCs w:val="22"/>
          <w:b w:val="1"/>
          <w:bCs w:val="1"/>
          <w:i w:val="1"/>
          <w:iCs w:val="1"/>
          <w:color w:val="auto"/>
        </w:rPr>
      </w:pPr>
    </w:p>
    <w:p>
      <w:pPr>
        <w:ind w:left="560" w:right="179" w:hanging="219"/>
        <w:spacing w:after="0" w:line="262" w:lineRule="auto"/>
        <w:tabs>
          <w:tab w:leader="none" w:pos="534" w:val="left"/>
        </w:tabs>
        <w:numPr>
          <w:ilvl w:val="0"/>
          <w:numId w:val="29"/>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Environmentally friendly production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bodies and consumers are increasingly focused on social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84" w:lineRule="exact"/>
        <w:rPr>
          <w:rFonts w:ascii="Arial" w:cs="Arial" w:eastAsia="Arial" w:hAnsi="Arial"/>
          <w:sz w:val="21"/>
          <w:szCs w:val="21"/>
          <w:b w:val="1"/>
          <w:bCs w:val="1"/>
          <w:i w:val="1"/>
          <w:iCs w:val="1"/>
          <w:color w:val="auto"/>
        </w:rPr>
      </w:pPr>
    </w:p>
    <w:p>
      <w:pPr>
        <w:ind w:left="560" w:right="259" w:hanging="219"/>
        <w:spacing w:after="0" w:line="261" w:lineRule="auto"/>
        <w:tabs>
          <w:tab w:leader="none" w:pos="534" w:val="left"/>
        </w:tabs>
        <w:numPr>
          <w:ilvl w:val="0"/>
          <w:numId w:val="29"/>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 xml:space="preserve">Reduced labor and physical space requirements. </w:t>
      </w:r>
      <w:r>
        <w:rPr>
          <w:rFonts w:ascii="Arial" w:cs="Arial" w:eastAsia="Arial" w:hAnsi="Arial"/>
          <w:sz w:val="17"/>
          <w:szCs w:val="17"/>
          <w:color w:val="auto"/>
        </w:rPr>
        <w:t>Digital textile printing requires significantly less labor to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135255</wp:posOffset>
            </wp:positionV>
            <wp:extent cx="4185285" cy="17151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85285" cy="1715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152400</wp:posOffset>
            </wp:positionV>
            <wp:extent cx="5591175" cy="7543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9117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right="319" w:hanging="219"/>
        <w:spacing w:after="0" w:line="297" w:lineRule="auto"/>
        <w:tabs>
          <w:tab w:leader="none" w:pos="534" w:val="left"/>
        </w:tabs>
        <w:numPr>
          <w:ilvl w:val="0"/>
          <w:numId w:val="30"/>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 xml:space="preserve">Rotary screen printing. </w:t>
      </w:r>
      <w:r>
        <w:rPr>
          <w:rFonts w:ascii="Arial" w:cs="Arial" w:eastAsia="Arial" w:hAnsi="Arial"/>
          <w:sz w:val="16"/>
          <w:szCs w:val="16"/>
          <w:color w:val="auto"/>
        </w:rPr>
        <w:t>Rotary screen printing is commonly used to print on outerwear, underwear, sportswear,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upholstery and linens. It involves multiple, time-consuming process steps. Rolls of fabric pass through rotating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6" w:name="page57"/>
    <w:bookmarkEnd w:id="56"/>
    <w:p>
      <w:pPr>
        <w:ind w:left="560" w:right="159"/>
        <w:spacing w:after="0" w:line="255" w:lineRule="auto"/>
        <w:rPr>
          <w:sz w:val="20"/>
          <w:szCs w:val="20"/>
          <w:color w:val="auto"/>
        </w:rPr>
      </w:pPr>
      <w:r>
        <w:rPr>
          <w:rFonts w:ascii="Arial" w:cs="Arial" w:eastAsia="Arial" w:hAnsi="Arial"/>
          <w:sz w:val="18"/>
          <w:szCs w:val="18"/>
          <w:color w:val="auto"/>
        </w:rPr>
        <w:t>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152400</wp:posOffset>
            </wp:positionV>
            <wp:extent cx="1741170" cy="16205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41170"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0" w:right="119" w:hanging="219"/>
        <w:spacing w:after="0" w:line="264" w:lineRule="auto"/>
        <w:tabs>
          <w:tab w:leader="none" w:pos="538" w:val="left"/>
        </w:tabs>
        <w:numPr>
          <w:ilvl w:val="0"/>
          <w:numId w:val="31"/>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Automated carousel screen printing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Automated carousel screen printing is commonly used to print on t-shirts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jeans. In automated 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152400</wp:posOffset>
            </wp:positionV>
            <wp:extent cx="1655445" cy="19723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55445" cy="1972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7" w:name="page58"/>
    <w:bookmarkEnd w:id="57"/>
    <w:p>
      <w:pPr>
        <w:ind w:left="12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left="120" w:right="279" w:firstLine="216"/>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7"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52" w:lineRule="exact"/>
        <w:rPr>
          <w:sz w:val="20"/>
          <w:szCs w:val="20"/>
          <w:color w:val="auto"/>
        </w:rPr>
      </w:pPr>
    </w:p>
    <w:p>
      <w:pPr>
        <w:ind w:left="560" w:right="259" w:hanging="215"/>
        <w:spacing w:after="0" w:line="238" w:lineRule="auto"/>
        <w:tabs>
          <w:tab w:leader="none" w:pos="568" w:val="left"/>
        </w:tabs>
        <w:numPr>
          <w:ilvl w:val="0"/>
          <w:numId w:val="32"/>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 DTG printing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348" w:lineRule="exact"/>
        <w:rPr>
          <w:rFonts w:ascii="Arial" w:cs="Arial" w:eastAsia="Arial" w:hAnsi="Arial"/>
          <w:sz w:val="22"/>
          <w:szCs w:val="22"/>
          <w:b w:val="1"/>
          <w:bCs w:val="1"/>
          <w:i w:val="1"/>
          <w:iCs w:val="1"/>
          <w:color w:val="auto"/>
        </w:rPr>
      </w:pPr>
    </w:p>
    <w:p>
      <w:pPr>
        <w:jc w:val="both"/>
        <w:ind w:left="560" w:right="559" w:hanging="215"/>
        <w:spacing w:after="0" w:line="238" w:lineRule="auto"/>
        <w:tabs>
          <w:tab w:leader="none" w:pos="568" w:val="left"/>
        </w:tabs>
        <w:numPr>
          <w:ilvl w:val="0"/>
          <w:numId w:val="32"/>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 printers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1352550</wp:posOffset>
            </wp:positionH>
            <wp:positionV relativeFrom="paragraph">
              <wp:posOffset>-1010285</wp:posOffset>
            </wp:positionV>
            <wp:extent cx="3035935"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35935" cy="44577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137795</wp:posOffset>
            </wp:positionV>
            <wp:extent cx="3662045" cy="4457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662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139" w:firstLine="216"/>
        <w:spacing w:after="0" w:line="290" w:lineRule="auto"/>
        <w:rPr>
          <w:sz w:val="20"/>
          <w:szCs w:val="20"/>
          <w:color w:val="auto"/>
        </w:rPr>
      </w:pPr>
      <w:r>
        <w:rPr>
          <w:rFonts w:ascii="Arial" w:cs="Arial" w:eastAsia="Arial" w:hAnsi="Arial"/>
          <w:sz w:val="16"/>
          <w:szCs w:val="16"/>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8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80" w:lineRule="exact"/>
        <w:rPr>
          <w:sz w:val="20"/>
          <w:szCs w:val="20"/>
          <w:color w:val="auto"/>
        </w:rPr>
      </w:pPr>
    </w:p>
    <w:p>
      <w:pPr>
        <w:ind w:left="120" w:right="199" w:firstLine="216"/>
        <w:spacing w:after="0" w:line="288"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offer us a significant opportunity for growth.</w:t>
      </w:r>
    </w:p>
    <w:p>
      <w:pPr>
        <w:spacing w:after="0" w:line="16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We were founded in 2002 in Israel, shipped our first system in 2005 and, as of December 31, 2014, had an installed base of over 1,200 systems globally. As of December 31, 2014, we had 251 employees located across four regions: Israel, the United States, Europe and the Asia Pacific region. In 2014, we generated revenues of $66.4 million, representing an increase of 34.4% over the prior fiscal year, and recorded net income of $3.0 million. In 2014, we generated 55.4% of our revenues from the Americas, 27.1% from EMEA and 17.5% from the Asia Pacific region.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 w:name="page60"/>
    <w:bookmarkEnd w:id="59"/>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key competitive strengths:</w:t>
      </w:r>
    </w:p>
    <w:p>
      <w:pPr>
        <w:spacing w:after="0" w:line="248" w:lineRule="exact"/>
        <w:rPr>
          <w:sz w:val="20"/>
          <w:szCs w:val="20"/>
          <w:color w:val="auto"/>
        </w:rPr>
      </w:pPr>
    </w:p>
    <w:p>
      <w:pPr>
        <w:ind w:left="560" w:right="119" w:hanging="219"/>
        <w:spacing w:after="0" w:line="283" w:lineRule="auto"/>
        <w:tabs>
          <w:tab w:leader="none" w:pos="534"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Leading player in fast-growing digital DTG printing market</w:t>
      </w:r>
      <w:r>
        <w:rPr>
          <w:rFonts w:ascii="Arial" w:cs="Arial" w:eastAsia="Arial" w:hAnsi="Arial"/>
          <w:sz w:val="16"/>
          <w:szCs w:val="16"/>
          <w:color w:val="auto"/>
        </w:rPr>
        <w:t>. We are a leading player in the fast-growing</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printing market based on our sales and installed base of more than 1,200 systems globally. We estimate that global revenue from digital textile printing equipment and ink will grow at a 17% compound annual growth rate between 2014 and 2019 based on the estimate of such revenue for 2014 and the projection for 2019, in each case, contained in the Pira report. In 2013, we grew our revenues 26.0% compared to 2012 and, in 2014, we grew our revenues 34.4% compared to 2013. We believe that high throughput DTG and R2R applications in the textile printing market are positioned to grow at a rate greater than the 17% projected industry growth rate between 2014 and 2019. The Pira report estimates that the DTG market has an addressable opportunity of five to 10 billion garments a year, with over 300,000 sites globally printing primarily t-shirts and other apparel.</w:t>
      </w:r>
    </w:p>
    <w:p>
      <w:pPr>
        <w:spacing w:after="0" w:line="194" w:lineRule="exact"/>
        <w:rPr>
          <w:rFonts w:ascii="Arial" w:cs="Arial" w:eastAsia="Arial" w:hAnsi="Arial"/>
          <w:sz w:val="19"/>
          <w:szCs w:val="19"/>
          <w:b w:val="1"/>
          <w:bCs w:val="1"/>
          <w:color w:val="auto"/>
        </w:rPr>
      </w:pPr>
    </w:p>
    <w:p>
      <w:pPr>
        <w:ind w:left="560" w:right="159" w:hanging="219"/>
        <w:spacing w:after="0" w:line="283" w:lineRule="auto"/>
        <w:tabs>
          <w:tab w:leader="none" w:pos="541"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Disruptive technology that enables our customers to adopt new or improve existing business models.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flexibility that our digital 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92" w:lineRule="exact"/>
        <w:rPr>
          <w:rFonts w:ascii="Arial" w:cs="Arial" w:eastAsia="Arial" w:hAnsi="Arial"/>
          <w:sz w:val="19"/>
          <w:szCs w:val="19"/>
          <w:b w:val="1"/>
          <w:bCs w:val="1"/>
          <w:color w:val="auto"/>
        </w:rPr>
      </w:pPr>
    </w:p>
    <w:p>
      <w:pPr>
        <w:ind w:left="560" w:right="159" w:hanging="219"/>
        <w:spacing w:after="0" w:line="262" w:lineRule="auto"/>
        <w:tabs>
          <w:tab w:leader="none" w:pos="534"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Attractive business model. </w:t>
      </w:r>
      <w:r>
        <w:rPr>
          <w:rFonts w:ascii="Arial" w:cs="Arial" w:eastAsia="Arial" w:hAnsi="Arial"/>
          <w:sz w:val="17"/>
          <w:szCs w:val="17"/>
          <w:color w:val="auto"/>
        </w:rPr>
        <w:t>We currently offer a broad portfolio of differentiated digital printing solutions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DTG market. Our existing and growing installed base of systems results in recurring sales of ink and other consumables, which are specially formulated to enable our systems to operate at the highest throughput level.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211" w:lineRule="exact"/>
        <w:rPr>
          <w:rFonts w:ascii="Arial" w:cs="Arial" w:eastAsia="Arial" w:hAnsi="Arial"/>
          <w:sz w:val="21"/>
          <w:szCs w:val="21"/>
          <w:b w:val="1"/>
          <w:bCs w:val="1"/>
          <w:color w:val="auto"/>
        </w:rPr>
      </w:pPr>
    </w:p>
    <w:p>
      <w:pPr>
        <w:ind w:left="560" w:right="219" w:hanging="219"/>
        <w:spacing w:after="0" w:line="247" w:lineRule="auto"/>
        <w:tabs>
          <w:tab w:leader="none" w:pos="534" w:val="left"/>
        </w:tabs>
        <w:numPr>
          <w:ilvl w:val="0"/>
          <w:numId w:val="3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 We have developed a strong base of technology know-how, backed by our portfolio of intellectual property, featuring 17 issued patents and seven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220" w:lineRule="exact"/>
        <w:rPr>
          <w:rFonts w:ascii="Arial" w:cs="Arial" w:eastAsia="Arial" w:hAnsi="Arial"/>
          <w:sz w:val="22"/>
          <w:szCs w:val="22"/>
          <w:b w:val="1"/>
          <w:bCs w:val="1"/>
          <w:color w:val="auto"/>
        </w:rPr>
      </w:pPr>
    </w:p>
    <w:p>
      <w:pPr>
        <w:ind w:left="560" w:right="199" w:hanging="219"/>
        <w:spacing w:after="0" w:line="283" w:lineRule="auto"/>
        <w:tabs>
          <w:tab w:leader="none" w:pos="534" w:val="left"/>
        </w:tabs>
        <w:numPr>
          <w:ilvl w:val="0"/>
          <w:numId w:val="33"/>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With throughputs ranging from 40 to 300</w:t>
      </w:r>
      <w:r>
        <w:rPr>
          <w:rFonts w:ascii="Arial" w:cs="Arial" w:eastAsia="Arial" w:hAnsi="Arial"/>
          <w:sz w:val="16"/>
          <w:szCs w:val="16"/>
          <w:b w:val="1"/>
          <w:bCs w:val="1"/>
          <w:color w:val="auto"/>
        </w:rPr>
        <w:t xml:space="preserve"> </w:t>
      </w:r>
      <w:r>
        <w:rPr>
          <w:rFonts w:ascii="Arial" w:cs="Arial" w:eastAsia="Arial" w:hAnsi="Arial"/>
          <w:sz w:val="16"/>
          <w:szCs w:val="16"/>
          <w:color w:val="auto"/>
        </w:rPr>
        <w:t>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cost-effective digital substitution for carousel screen printing that enables mass production of customized garments for the DTG market, in the next 24 months. We believe both solutions will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0" w:name="page61"/>
    <w:bookmarkEnd w:id="60"/>
    <w:p>
      <w:pPr>
        <w:ind w:left="560" w:right="179" w:hanging="219"/>
        <w:spacing w:after="0" w:line="263" w:lineRule="auto"/>
        <w:tabs>
          <w:tab w:leader="none" w:pos="534"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213" w:lineRule="exact"/>
        <w:rPr>
          <w:rFonts w:ascii="Arial" w:cs="Arial" w:eastAsia="Arial" w:hAnsi="Arial"/>
          <w:sz w:val="21"/>
          <w:szCs w:val="21"/>
          <w:b w:val="1"/>
          <w:bCs w:val="1"/>
          <w:color w:val="auto"/>
        </w:rPr>
      </w:pPr>
    </w:p>
    <w:p>
      <w:pPr>
        <w:ind w:left="560" w:right="239" w:hanging="219"/>
        <w:spacing w:after="0" w:line="263" w:lineRule="auto"/>
        <w:tabs>
          <w:tab w:leader="none" w:pos="534"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Experienced management team. </w:t>
      </w:r>
      <w:r>
        <w:rPr>
          <w:rFonts w:ascii="Arial" w:cs="Arial" w:eastAsia="Arial" w:hAnsi="Arial"/>
          <w:sz w:val="17"/>
          <w:szCs w:val="17"/>
          <w:color w:val="auto"/>
        </w:rPr>
        <w:t>We believe that our management team’s industry expertise, long history with</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company and extensive 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48" w:lineRule="exact"/>
        <w:rPr>
          <w:sz w:val="20"/>
          <w:szCs w:val="20"/>
          <w:color w:val="auto"/>
        </w:rPr>
      </w:pPr>
    </w:p>
    <w:p>
      <w:pPr>
        <w:ind w:left="560" w:right="139" w:hanging="219"/>
        <w:spacing w:after="0" w:line="263" w:lineRule="auto"/>
        <w:tabs>
          <w:tab w:leader="none" w:pos="534" w:val="left"/>
        </w:tabs>
        <w:numPr>
          <w:ilvl w:val="0"/>
          <w:numId w:val="35"/>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Capitalize on the continued growth of the digital DTG market. </w:t>
      </w:r>
      <w:r>
        <w:rPr>
          <w:rFonts w:ascii="Arial" w:cs="Arial" w:eastAsia="Arial" w:hAnsi="Arial"/>
          <w:sz w:val="17"/>
          <w:szCs w:val="17"/>
          <w:color w:val="auto"/>
        </w:rPr>
        <w:t>We believe there is an opportunity to expand</w:t>
      </w:r>
      <w:r>
        <w:rPr>
          <w:rFonts w:ascii="Arial" w:cs="Arial" w:eastAsia="Arial" w:hAnsi="Arial"/>
          <w:sz w:val="17"/>
          <w:szCs w:val="17"/>
          <w:b w:val="1"/>
          <w:bCs w:val="1"/>
          <w:color w:val="auto"/>
        </w:rPr>
        <w:t xml:space="preserve"> </w:t>
      </w:r>
      <w:r>
        <w:rPr>
          <w:rFonts w:ascii="Arial" w:cs="Arial" w:eastAsia="Arial" w:hAnsi="Arial"/>
          <w:sz w:val="17"/>
          <w:szCs w:val="17"/>
          <w:color w:val="auto"/>
        </w:rPr>
        <w:t>our 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w:t>
      </w:r>
    </w:p>
    <w:p>
      <w:pPr>
        <w:spacing w:after="0" w:line="209" w:lineRule="exact"/>
        <w:rPr>
          <w:rFonts w:ascii="Arial" w:cs="Arial" w:eastAsia="Arial" w:hAnsi="Arial"/>
          <w:sz w:val="21"/>
          <w:szCs w:val="21"/>
          <w:b w:val="1"/>
          <w:bCs w:val="1"/>
          <w:color w:val="auto"/>
        </w:rPr>
      </w:pPr>
    </w:p>
    <w:p>
      <w:pPr>
        <w:ind w:left="560" w:right="159" w:hanging="219"/>
        <w:spacing w:after="0" w:line="247" w:lineRule="auto"/>
        <w:tabs>
          <w:tab w:leader="none" w:pos="534"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Focus on fast-growing web-to-print businesses. </w:t>
      </w:r>
      <w:r>
        <w:rPr>
          <w:rFonts w:ascii="Arial" w:cs="Arial" w:eastAsia="Arial" w:hAnsi="Arial"/>
          <w:sz w:val="18"/>
          <w:szCs w:val="18"/>
          <w:color w:val="auto"/>
        </w:rPr>
        <w:t>We are increasingly focusing our marketing efforts on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offer the opportunity for long-term business partnerships. We believe our technology is ideally suited for web-to-print businesses because it efficiently allows manufacturers the ability to print on-demand, small runs in a cost-effective manner and with excellent quality, starting with a minimum order quantity of one unit.</w:t>
      </w:r>
    </w:p>
    <w:p>
      <w:pPr>
        <w:spacing w:after="0" w:line="201" w:lineRule="exact"/>
        <w:rPr>
          <w:rFonts w:ascii="Arial" w:cs="Arial" w:eastAsia="Arial" w:hAnsi="Arial"/>
          <w:sz w:val="22"/>
          <w:szCs w:val="22"/>
          <w:b w:val="1"/>
          <w:bCs w:val="1"/>
          <w:color w:val="auto"/>
        </w:rPr>
      </w:pPr>
    </w:p>
    <w:p>
      <w:pPr>
        <w:ind w:left="540" w:hanging="199"/>
        <w:spacing w:after="0"/>
        <w:tabs>
          <w:tab w:leader="none" w:pos="540" w:val="left"/>
        </w:tabs>
        <w:numPr>
          <w:ilvl w:val="0"/>
          <w:numId w:val="35"/>
        </w:numPr>
        <w:rPr>
          <w:rFonts w:ascii="Arial" w:cs="Arial" w:eastAsia="Arial" w:hAnsi="Arial"/>
          <w:sz w:val="22"/>
          <w:szCs w:val="22"/>
          <w:b w:val="1"/>
          <w:bCs w:val="1"/>
          <w:color w:val="auto"/>
        </w:rPr>
      </w:pPr>
      <w:r>
        <w:rPr>
          <w:rFonts w:ascii="Arial" w:cs="Arial" w:eastAsia="Arial" w:hAnsi="Arial"/>
          <w:sz w:val="18"/>
          <w:szCs w:val="18"/>
          <w:b w:val="1"/>
          <w:bCs w:val="1"/>
          <w:color w:val="auto"/>
        </w:rPr>
        <w:t>Drive adoption of digital DTG printing solutions by customers who primarily use screen printing</w:t>
      </w:r>
    </w:p>
    <w:p>
      <w:pPr>
        <w:spacing w:after="0" w:line="2" w:lineRule="exact"/>
        <w:rPr>
          <w:sz w:val="20"/>
          <w:szCs w:val="20"/>
          <w:color w:val="auto"/>
        </w:rPr>
      </w:pPr>
    </w:p>
    <w:p>
      <w:pPr>
        <w:ind w:left="560" w:right="159"/>
        <w:spacing w:after="0" w:line="289" w:lineRule="auto"/>
        <w:rPr>
          <w:sz w:val="20"/>
          <w:szCs w:val="20"/>
          <w:color w:val="auto"/>
        </w:rPr>
      </w:pPr>
      <w:r>
        <w:rPr>
          <w:rFonts w:ascii="Arial" w:cs="Arial" w:eastAsia="Arial" w:hAnsi="Arial"/>
          <w:sz w:val="16"/>
          <w:szCs w:val="16"/>
          <w:b w:val="1"/>
          <w:bCs w:val="1"/>
          <w:color w:val="auto"/>
        </w:rPr>
        <w:t xml:space="preserve">carousels. </w:t>
      </w:r>
      <w:r>
        <w:rPr>
          <w:rFonts w:ascii="Arial" w:cs="Arial" w:eastAsia="Arial" w:hAnsi="Arial"/>
          <w:sz w:val="16"/>
          <w:szCs w:val="16"/>
          <w:color w:val="auto"/>
        </w:rPr>
        <w:t>A majority of DTG printing jobs are done today utilizing screen printing carousels. While we have</w:t>
      </w:r>
      <w:r>
        <w:rPr>
          <w:rFonts w:ascii="Arial" w:cs="Arial" w:eastAsia="Arial" w:hAnsi="Arial"/>
          <w:sz w:val="16"/>
          <w:szCs w:val="16"/>
          <w:b w:val="1"/>
          <w:bCs w:val="1"/>
          <w:color w:val="auto"/>
        </w:rPr>
        <w:t xml:space="preserve"> </w:t>
      </w:r>
      <w:r>
        <w:rPr>
          <w:rFonts w:ascii="Arial" w:cs="Arial" w:eastAsia="Arial" w:hAnsi="Arial"/>
          <w:sz w:val="16"/>
          <w:szCs w:val="16"/>
          <w:color w:val="auto"/>
        </w:rPr>
        <w:t>started to penetrate this market by offering standalone DTG solutions, such as our Avalanche and Storm II systems, we plan to deepen our penetration and further transition users of these analog systems to digital printing technologies through our Paradigm II system. Paradigm II is compatible with the majority of existing screen printing carousels and allows manufacturers to combine complex images and designs printed digitally with multiple embellishment effects, such as glitter, silicon, gel and burnout, typically performed using screen printing.</w:t>
      </w:r>
    </w:p>
    <w:p>
      <w:pPr>
        <w:spacing w:after="0" w:line="190" w:lineRule="exact"/>
        <w:rPr>
          <w:sz w:val="20"/>
          <w:szCs w:val="20"/>
          <w:color w:val="auto"/>
        </w:rPr>
      </w:pPr>
    </w:p>
    <w:p>
      <w:pPr>
        <w:ind w:left="560" w:right="179" w:hanging="219"/>
        <w:spacing w:after="0" w:line="245" w:lineRule="auto"/>
        <w:tabs>
          <w:tab w:leader="none" w:pos="534" w:val="left"/>
        </w:tabs>
        <w:numPr>
          <w:ilvl w:val="0"/>
          <w:numId w:val="36"/>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 to continue to differentiate ourselves and extend our technological leadership by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ectPr>
          <w:pgSz w:w="11900" w:h="16838" w:orient="portrait"/>
          <w:cols w:equalWidth="0" w:num="1">
            <w:col w:w="9019"/>
          </w:cols>
          <w:pgMar w:left="1440" w:top="364"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type w:val="continuous"/>
        </w:sectPr>
      </w:pPr>
    </w:p>
    <w:bookmarkStart w:id="61" w:name="page62"/>
    <w:bookmarkEnd w:id="61"/>
    <w:p>
      <w:pPr>
        <w:ind w:left="560" w:right="239"/>
        <w:spacing w:after="0" w:line="255" w:lineRule="auto"/>
        <w:rPr>
          <w:sz w:val="20"/>
          <w:szCs w:val="20"/>
          <w:color w:val="auto"/>
        </w:rPr>
      </w:pPr>
      <w:r>
        <w:rPr>
          <w:rFonts w:ascii="Arial" w:cs="Arial" w:eastAsia="Arial" w:hAnsi="Arial"/>
          <w:sz w:val="18"/>
          <w:szCs w:val="18"/>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 and post-processing steps. We also intend to leverage the success of our existing DTG solutions, such as Paradigm II, by introducing the Vulcan system, which will offer an alternative to carousel screen printing. The Vulcan will enable customers to print small runs at throughputs comparable to those achieved through carousel screen printing. We expect to launch the Vulcan commercially in the next 24 months.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Systems</w:t>
      </w:r>
    </w:p>
    <w:p>
      <w:pPr>
        <w:spacing w:after="0" w:line="202" w:lineRule="exact"/>
        <w:rPr>
          <w:sz w:val="20"/>
          <w:szCs w:val="20"/>
          <w:color w:val="auto"/>
        </w:rPr>
      </w:pPr>
    </w:p>
    <w:p>
      <w:pPr>
        <w:ind w:left="120" w:right="359" w:firstLine="216"/>
        <w:spacing w:after="0" w:line="259"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173" w:lineRule="exact"/>
        <w:rPr>
          <w:sz w:val="20"/>
          <w:szCs w:val="20"/>
          <w:color w:val="auto"/>
        </w:rPr>
      </w:pPr>
    </w:p>
    <w:p>
      <w:pPr>
        <w:ind w:left="560" w:right="279" w:hanging="219"/>
        <w:spacing w:after="0" w:line="243" w:lineRule="auto"/>
        <w:tabs>
          <w:tab w:leader="none" w:pos="534" w:val="left"/>
        </w:tabs>
        <w:numPr>
          <w:ilvl w:val="0"/>
          <w:numId w:val="37"/>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These systems reduce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for 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188" w:lineRule="exact"/>
        <w:rPr>
          <w:rFonts w:ascii="Arial" w:cs="Arial" w:eastAsia="Arial" w:hAnsi="Arial"/>
          <w:sz w:val="22"/>
          <w:szCs w:val="22"/>
          <w:i w:val="1"/>
          <w:iCs w:val="1"/>
          <w:color w:val="auto"/>
        </w:rPr>
      </w:pPr>
    </w:p>
    <w:p>
      <w:pPr>
        <w:ind w:left="560" w:right="239" w:hanging="219"/>
        <w:spacing w:after="0" w:line="238" w:lineRule="auto"/>
        <w:tabs>
          <w:tab w:leader="none" w:pos="534" w:val="left"/>
        </w:tabs>
        <w:numPr>
          <w:ilvl w:val="0"/>
          <w:numId w:val="37"/>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Paradigm 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DTG Systems</w:t>
      </w:r>
    </w:p>
    <w:p>
      <w:pPr>
        <w:spacing w:after="0" w:line="225"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630 DPI. Our systems are currently unable to print at a level of quality acceptable for large scale manufacturing on dyed polyester or nylon.</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Max.</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ind w:left="60"/>
              <w:spacing w:after="0"/>
              <w:rPr>
                <w:sz w:val="20"/>
                <w:szCs w:val="20"/>
                <w:color w:val="auto"/>
              </w:rPr>
            </w:pPr>
            <w:r>
              <w:rPr>
                <w:rFonts w:ascii="Arial" w:cs="Arial" w:eastAsia="Arial" w:hAnsi="Arial"/>
                <w:sz w:val="16"/>
                <w:szCs w:val="16"/>
                <w:b w:val="1"/>
                <w:bCs w:val="1"/>
                <w:color w:val="auto"/>
              </w:rPr>
              <w:t>Target</w:t>
            </w:r>
          </w:p>
        </w:tc>
        <w:tc>
          <w:tcPr>
            <w:tcW w:w="2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Printing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700" w:type="dxa"/>
            <w:vAlign w:val="bottom"/>
            <w:gridSpan w:val="2"/>
          </w:tcPr>
          <w:p>
            <w:pPr>
              <w:spacing w:after="0"/>
              <w:rPr>
                <w:sz w:val="20"/>
                <w:szCs w:val="20"/>
                <w:color w:val="auto"/>
              </w:rPr>
            </w:pPr>
            <w:r>
              <w:rPr>
                <w:rFonts w:ascii="Arial" w:cs="Arial" w:eastAsia="Arial" w:hAnsi="Arial"/>
                <w:sz w:val="16"/>
                <w:szCs w:val="16"/>
                <w:b w:val="1"/>
                <w:bCs w:val="1"/>
                <w:color w:val="auto"/>
              </w:rPr>
              <w:t>System</w:t>
            </w:r>
          </w:p>
        </w:tc>
        <w:tc>
          <w:tcPr>
            <w:tcW w:w="14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6"/>
                <w:szCs w:val="16"/>
                <w:b w:val="1"/>
                <w:bCs w:val="1"/>
                <w:color w:val="auto"/>
              </w:rPr>
              <w:t>Customer</w:t>
            </w:r>
          </w:p>
        </w:tc>
        <w:tc>
          <w:tcPr>
            <w:tcW w:w="240" w:type="dxa"/>
            <w:vAlign w:val="bottom"/>
          </w:tcPr>
          <w:p>
            <w:pPr>
              <w:spacing w:after="0"/>
              <w:rPr>
                <w:sz w:val="18"/>
                <w:szCs w:val="18"/>
                <w:color w:val="auto"/>
              </w:rPr>
            </w:pPr>
          </w:p>
        </w:tc>
        <w:tc>
          <w:tcPr>
            <w:tcW w:w="1780" w:type="dxa"/>
            <w:vAlign w:val="bottom"/>
          </w:tcPr>
          <w:p>
            <w:pPr>
              <w:ind w:left="240"/>
              <w:spacing w:after="0"/>
              <w:rPr>
                <w:sz w:val="20"/>
                <w:szCs w:val="20"/>
                <w:color w:val="auto"/>
              </w:rPr>
            </w:pPr>
            <w:r>
              <w:rPr>
                <w:rFonts w:ascii="Arial" w:cs="Arial" w:eastAsia="Arial" w:hAnsi="Arial"/>
                <w:sz w:val="16"/>
                <w:szCs w:val="16"/>
                <w:b w:val="1"/>
                <w:bCs w:val="1"/>
                <w:color w:val="auto"/>
              </w:rPr>
              <w:t>Max. Throughput</w:t>
            </w:r>
          </w:p>
        </w:tc>
        <w:tc>
          <w:tcPr>
            <w:tcW w:w="140" w:type="dxa"/>
            <w:vAlign w:val="bottom"/>
          </w:tcPr>
          <w:p>
            <w:pPr>
              <w:spacing w:after="0"/>
              <w:rPr>
                <w:sz w:val="18"/>
                <w:szCs w:val="18"/>
                <w:color w:val="auto"/>
              </w:rPr>
            </w:pPr>
          </w:p>
        </w:tc>
        <w:tc>
          <w:tcPr>
            <w:tcW w:w="2100" w:type="dxa"/>
            <w:vAlign w:val="bottom"/>
          </w:tcPr>
          <w:p>
            <w:pPr>
              <w:ind w:left="820"/>
              <w:spacing w:after="0"/>
              <w:rPr>
                <w:sz w:val="20"/>
                <w:szCs w:val="20"/>
                <w:color w:val="auto"/>
              </w:rPr>
            </w:pPr>
            <w:r>
              <w:rPr>
                <w:rFonts w:ascii="Arial" w:cs="Arial" w:eastAsia="Arial" w:hAnsi="Arial"/>
                <w:sz w:val="16"/>
                <w:szCs w:val="16"/>
                <w:b w:val="1"/>
                <w:bCs w:val="1"/>
                <w:color w:val="auto"/>
              </w:rPr>
              <w:t>Colors</w:t>
            </w:r>
          </w:p>
        </w:tc>
        <w:tc>
          <w:tcPr>
            <w:tcW w:w="3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5"/>
              </w:rPr>
              <w:t>Area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Breeze</w:t>
            </w:r>
          </w:p>
        </w:tc>
        <w:tc>
          <w:tcPr>
            <w:tcW w:w="14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Entry Level</w:t>
            </w:r>
          </w:p>
        </w:tc>
        <w:tc>
          <w:tcPr>
            <w:tcW w:w="2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40 garments/hour</w:t>
            </w:r>
          </w:p>
        </w:tc>
        <w:tc>
          <w:tcPr>
            <w:tcW w:w="140" w:type="dxa"/>
            <w:vAlign w:val="bottom"/>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CMYK + White</w:t>
            </w:r>
          </w:p>
        </w:tc>
        <w:tc>
          <w:tcPr>
            <w:tcW w:w="30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x 18 in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Thunder</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rPr>
              <w:t>Entry Level</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80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14 x 18 in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Storm II</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w w:val="95"/>
              </w:rPr>
              <w:t>High Throughput</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150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20 x 28 in</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Avalanche 1000</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w w:val="95"/>
              </w:rPr>
              <w:t>High Throughput</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300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Avalanche Hexa</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w w:val="95"/>
              </w:rPr>
              <w:t>High Throughput</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250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CMYKRG + White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Avalanche DC Pro</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w w:val="95"/>
              </w:rPr>
              <w:t>High Throughput</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200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w w:val="94"/>
              </w:rPr>
              <w:t>CMYK + White + Discharge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ink</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b w:val="1"/>
                <w:bCs w:val="1"/>
                <w:color w:val="auto"/>
              </w:rPr>
              <w:t>Avalanche</w:t>
            </w: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w w:val="95"/>
              </w:rPr>
              <w:t>High Throughput</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200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CMYK + White</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23.5 x 35 in</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Paradigm II</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15.5 x 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continue"/>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color w:val="auto"/>
                <w:w w:val="95"/>
              </w:rPr>
              <w:t>High Throughput</w:t>
            </w: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200 garments/hour</w:t>
            </w:r>
          </w:p>
        </w:tc>
        <w:tc>
          <w:tcPr>
            <w:tcW w:w="2240" w:type="dxa"/>
            <w:vAlign w:val="bottom"/>
            <w:gridSpan w:val="2"/>
          </w:tcPr>
          <w:p>
            <w:pPr>
              <w:ind w:left="140"/>
              <w:spacing w:after="0"/>
              <w:rPr>
                <w:sz w:val="20"/>
                <w:szCs w:val="20"/>
                <w:color w:val="auto"/>
              </w:rPr>
            </w:pPr>
            <w:r>
              <w:rPr>
                <w:rFonts w:ascii="Arial" w:cs="Arial" w:eastAsia="Arial" w:hAnsi="Arial"/>
                <w:sz w:val="18"/>
                <w:szCs w:val="18"/>
                <w:color w:val="auto"/>
              </w:rPr>
              <w:t>CMYK</w:t>
            </w:r>
          </w:p>
        </w:tc>
        <w:tc>
          <w:tcPr>
            <w:tcW w:w="1240" w:type="dxa"/>
            <w:vAlign w:val="bottom"/>
            <w:gridSpan w:val="2"/>
          </w:tcPr>
          <w:p>
            <w:pPr>
              <w:ind w:left="280"/>
              <w:spacing w:after="0"/>
              <w:rPr>
                <w:sz w:val="20"/>
                <w:szCs w:val="20"/>
                <w:color w:val="auto"/>
              </w:rPr>
            </w:pPr>
            <w:r>
              <w:rPr>
                <w:rFonts w:ascii="Arial" w:cs="Arial" w:eastAsia="Arial" w:hAnsi="Arial"/>
                <w:sz w:val="18"/>
                <w:szCs w:val="18"/>
                <w:color w:val="auto"/>
              </w:rPr>
              <w:t>in</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59</w:t>
            </w: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41" w:right="1440" w:bottom="1440" w:gutter="0" w:footer="0" w:header="0"/>
        </w:sectPr>
      </w:pPr>
    </w:p>
    <w:bookmarkStart w:id="62" w:name="page63"/>
    <w:bookmarkEnd w:id="62"/>
    <w:p>
      <w:pPr>
        <w:ind w:left="120"/>
        <w:spacing w:after="0"/>
        <w:rPr>
          <w:sz w:val="20"/>
          <w:szCs w:val="20"/>
          <w:color w:val="auto"/>
        </w:rPr>
      </w:pPr>
      <w:r>
        <w:rPr>
          <w:rFonts w:ascii="Arial" w:cs="Arial" w:eastAsia="Arial" w:hAnsi="Arial"/>
          <w:sz w:val="18"/>
          <w:szCs w:val="18"/>
          <w:b w:val="1"/>
          <w:bCs w:val="1"/>
          <w:i w:val="1"/>
          <w:iCs w:val="1"/>
          <w:color w:val="auto"/>
        </w:rPr>
        <w:t>Systems under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systems under development consist of a R2R system, the Allegro, and a DTG system, the Vulcan.</w:t>
      </w:r>
    </w:p>
    <w:p>
      <w:pPr>
        <w:spacing w:after="0" w:line="252" w:lineRule="exact"/>
        <w:rPr>
          <w:sz w:val="20"/>
          <w:szCs w:val="20"/>
          <w:color w:val="auto"/>
        </w:rPr>
      </w:pPr>
    </w:p>
    <w:p>
      <w:pPr>
        <w:ind w:left="560" w:right="159" w:hanging="219"/>
        <w:spacing w:after="0" w:line="245" w:lineRule="auto"/>
        <w:tabs>
          <w:tab w:leader="none" w:pos="534" w:val="left"/>
        </w:tabs>
        <w:numPr>
          <w:ilvl w:val="0"/>
          <w:numId w:val="38"/>
        </w:numPr>
        <w:rPr>
          <w:rFonts w:ascii="Arial" w:cs="Arial" w:eastAsia="Arial" w:hAnsi="Arial"/>
          <w:sz w:val="22"/>
          <w:szCs w:val="22"/>
          <w:i w:val="1"/>
          <w:iCs w:val="1"/>
          <w:color w:val="auto"/>
        </w:rPr>
      </w:pPr>
      <w:r>
        <w:rPr>
          <w:rFonts w:ascii="Arial" w:cs="Arial" w:eastAsia="Arial" w:hAnsi="Arial"/>
          <w:sz w:val="18"/>
          <w:szCs w:val="18"/>
          <w:i w:val="1"/>
          <w:iCs w:val="1"/>
          <w:color w:val="auto"/>
        </w:rPr>
        <w:t>Allegro</w:t>
      </w:r>
      <w:r>
        <w:rPr>
          <w:rFonts w:ascii="Arial" w:cs="Arial" w:eastAsia="Arial" w:hAnsi="Arial"/>
          <w:sz w:val="18"/>
          <w:szCs w:val="18"/>
          <w:color w:val="auto"/>
        </w:rPr>
        <w:t>. Our Allegro system is the first R2R printing system to allow for one-step R2R printing, while most</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R2R printers require six steps. The Allegro is in beta testing at three customer sites and we are targeting its commercial launch within the next 18 months.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216" w:lineRule="exact"/>
        <w:rPr>
          <w:rFonts w:ascii="Arial" w:cs="Arial" w:eastAsia="Arial" w:hAnsi="Arial"/>
          <w:sz w:val="22"/>
          <w:szCs w:val="22"/>
          <w:i w:val="1"/>
          <w:iCs w:val="1"/>
          <w:color w:val="auto"/>
        </w:rPr>
      </w:pPr>
    </w:p>
    <w:p>
      <w:pPr>
        <w:ind w:left="560" w:right="119" w:hanging="219"/>
        <w:spacing w:after="0" w:line="262" w:lineRule="auto"/>
        <w:tabs>
          <w:tab w:leader="none" w:pos="520" w:val="left"/>
        </w:tabs>
        <w:numPr>
          <w:ilvl w:val="0"/>
          <w:numId w:val="38"/>
        </w:numPr>
        <w:rPr>
          <w:rFonts w:ascii="Arial" w:cs="Arial" w:eastAsia="Arial" w:hAnsi="Arial"/>
          <w:sz w:val="21"/>
          <w:szCs w:val="21"/>
          <w:i w:val="1"/>
          <w:iCs w:val="1"/>
          <w:color w:val="auto"/>
        </w:rPr>
      </w:pPr>
      <w:r>
        <w:rPr>
          <w:rFonts w:ascii="Arial" w:cs="Arial" w:eastAsia="Arial" w:hAnsi="Arial"/>
          <w:sz w:val="17"/>
          <w:szCs w:val="17"/>
          <w:i w:val="1"/>
          <w:iCs w:val="1"/>
          <w:color w:val="auto"/>
        </w:rPr>
        <w:t>Vulcan</w:t>
      </w:r>
      <w:r>
        <w:rPr>
          <w:rFonts w:ascii="Arial" w:cs="Arial" w:eastAsia="Arial" w:hAnsi="Arial"/>
          <w:sz w:val="17"/>
          <w:szCs w:val="17"/>
          <w:color w:val="auto"/>
        </w:rPr>
        <w:t>. Our Vulcan system is designed to enable mass production of customized garments with high and consistent</w:t>
      </w:r>
      <w:r>
        <w:rPr>
          <w:rFonts w:ascii="Arial" w:cs="Arial" w:eastAsia="Arial" w:hAnsi="Arial"/>
          <w:sz w:val="17"/>
          <w:szCs w:val="17"/>
          <w:i w:val="1"/>
          <w:iCs w:val="1"/>
          <w:color w:val="auto"/>
        </w:rPr>
        <w:t xml:space="preserve"> </w:t>
      </w:r>
      <w:r>
        <w:rPr>
          <w:rFonts w:ascii="Arial" w:cs="Arial" w:eastAsia="Arial" w:hAnsi="Arial"/>
          <w:sz w:val="17"/>
          <w:szCs w:val="17"/>
          <w:color w:val="auto"/>
        </w:rPr>
        <w:t>printing quality. It is designed to run at throughputs higher than any of our existing systems. The system’s architecture takes a different ergonomic approach to the sequence of loading and unloading of garments than that of our existing systems, enabling higher throughputs.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Ink and Other Consumables</w:t>
      </w:r>
    </w:p>
    <w:p>
      <w:pPr>
        <w:spacing w:after="0" w:line="216" w:lineRule="exact"/>
        <w:rPr>
          <w:sz w:val="20"/>
          <w:szCs w:val="20"/>
          <w:color w:val="auto"/>
        </w:rPr>
      </w:pPr>
    </w:p>
    <w:p>
      <w:pPr>
        <w:ind w:left="120" w:right="15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7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Integrated Software</w:t>
      </w:r>
    </w:p>
    <w:p>
      <w:pPr>
        <w:spacing w:after="0" w:line="216"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202"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ectPr>
          <w:pgSz w:w="11900" w:h="16838" w:orient="portrait"/>
          <w:cols w:equalWidth="0" w:num="1">
            <w:col w:w="9019"/>
          </w:cols>
          <w:pgMar w:left="1440" w:top="12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3" w:name="page64"/>
    <w:bookmarkEnd w:id="63"/>
    <w:p>
      <w:pPr>
        <w:ind w:left="12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185"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8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right="499" w:firstLine="216"/>
        <w:spacing w:after="0" w:line="277" w:lineRule="auto"/>
        <w:rPr>
          <w:sz w:val="20"/>
          <w:szCs w:val="20"/>
          <w:color w:val="auto"/>
        </w:rPr>
      </w:pPr>
      <w:r>
        <w:rPr>
          <w:rFonts w:ascii="Arial" w:cs="Arial" w:eastAsia="Arial" w:hAnsi="Arial"/>
          <w:sz w:val="18"/>
          <w:szCs w:val="18"/>
          <w:color w:val="auto"/>
        </w:rPr>
        <w:t>Our diverse global customer base consisted of more than 800 customers as of December 31, 2014. Our customers include custom decorators, online businesses, brand owners and contract printers.</w:t>
      </w:r>
    </w:p>
    <w:p>
      <w:pPr>
        <w:spacing w:after="0" w:line="197" w:lineRule="exact"/>
        <w:rPr>
          <w:sz w:val="20"/>
          <w:szCs w:val="20"/>
          <w:color w:val="auto"/>
        </w:rPr>
      </w:pPr>
    </w:p>
    <w:p>
      <w:pPr>
        <w:ind w:left="560" w:right="219" w:hanging="219"/>
        <w:spacing w:after="0" w:line="241" w:lineRule="auto"/>
        <w:tabs>
          <w:tab w:leader="none" w:pos="530" w:val="left"/>
        </w:tabs>
        <w:numPr>
          <w:ilvl w:val="0"/>
          <w:numId w:val="39"/>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Custom Decorators. </w:t>
      </w:r>
      <w:r>
        <w:rPr>
          <w:rFonts w:ascii="Arial" w:cs="Arial" w:eastAsia="Arial" w:hAnsi="Arial"/>
          <w:sz w:val="18"/>
          <w:szCs w:val="18"/>
          <w:color w:val="auto"/>
        </w:rPr>
        <w:t>Our custom decorator customers produce and sell decorated garments, mostly t-shirts.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allow custom decorators to produce short to medium runs of high-quality customized garments quickly and efficiently, which enables them to increase average selling prices and margins compared to their screen printed garments.</w:t>
      </w:r>
    </w:p>
    <w:p>
      <w:pPr>
        <w:spacing w:after="0" w:line="175" w:lineRule="exact"/>
        <w:rPr>
          <w:rFonts w:ascii="Arial" w:cs="Arial" w:eastAsia="Arial" w:hAnsi="Arial"/>
          <w:sz w:val="22"/>
          <w:szCs w:val="22"/>
          <w:i w:val="1"/>
          <w:iCs w:val="1"/>
          <w:color w:val="auto"/>
        </w:rPr>
      </w:pPr>
    </w:p>
    <w:p>
      <w:pPr>
        <w:ind w:left="560" w:right="119" w:hanging="219"/>
        <w:spacing w:after="0" w:line="262" w:lineRule="auto"/>
        <w:tabs>
          <w:tab w:leader="none" w:pos="534" w:val="left"/>
        </w:tabs>
        <w:numPr>
          <w:ilvl w:val="0"/>
          <w:numId w:val="39"/>
        </w:numPr>
        <w:rPr>
          <w:rFonts w:ascii="Arial" w:cs="Arial" w:eastAsia="Arial" w:hAnsi="Arial"/>
          <w:sz w:val="21"/>
          <w:szCs w:val="21"/>
          <w:i w:val="1"/>
          <w:iCs w:val="1"/>
          <w:color w:val="auto"/>
        </w:rPr>
      </w:pPr>
      <w:r>
        <w:rPr>
          <w:rFonts w:ascii="Arial" w:cs="Arial" w:eastAsia="Arial" w:hAnsi="Arial"/>
          <w:sz w:val="17"/>
          <w:szCs w:val="17"/>
          <w:i w:val="1"/>
          <w:iCs w:val="1"/>
          <w:color w:val="auto"/>
        </w:rPr>
        <w:t>Online Businesses</w:t>
      </w:r>
      <w:r>
        <w:rPr>
          <w:rFonts w:ascii="Arial" w:cs="Arial" w:eastAsia="Arial" w:hAnsi="Arial"/>
          <w:sz w:val="17"/>
          <w:szCs w:val="17"/>
          <w:color w:val="auto"/>
        </w:rPr>
        <w:t>. The business model of our online business customers is based on “produce to order” garments,</w:t>
      </w:r>
      <w:r>
        <w:rPr>
          <w:rFonts w:ascii="Arial" w:cs="Arial" w:eastAsia="Arial" w:hAnsi="Arial"/>
          <w:sz w:val="17"/>
          <w:szCs w:val="17"/>
          <w:i w:val="1"/>
          <w:iCs w:val="1"/>
          <w:color w:val="auto"/>
        </w:rPr>
        <w:t xml:space="preserve"> </w:t>
      </w:r>
      <w:r>
        <w:rPr>
          <w:rFonts w:ascii="Arial" w:cs="Arial" w:eastAsia="Arial" w:hAnsi="Arial"/>
          <w:sz w:val="17"/>
          <w:szCs w:val="17"/>
          <w:color w:val="auto"/>
        </w:rPr>
        <w:t>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157" w:lineRule="exact"/>
        <w:rPr>
          <w:rFonts w:ascii="Arial" w:cs="Arial" w:eastAsia="Arial" w:hAnsi="Arial"/>
          <w:sz w:val="21"/>
          <w:szCs w:val="21"/>
          <w:i w:val="1"/>
          <w:iCs w:val="1"/>
          <w:color w:val="auto"/>
        </w:rPr>
      </w:pPr>
    </w:p>
    <w:p>
      <w:pPr>
        <w:ind w:left="560" w:right="179" w:hanging="219"/>
        <w:spacing w:after="0" w:line="284" w:lineRule="auto"/>
        <w:tabs>
          <w:tab w:leader="none" w:pos="534" w:val="left"/>
        </w:tabs>
        <w:numPr>
          <w:ilvl w:val="0"/>
          <w:numId w:val="39"/>
        </w:numPr>
        <w:rPr>
          <w:rFonts w:ascii="Arial" w:cs="Arial" w:eastAsia="Arial" w:hAnsi="Arial"/>
          <w:sz w:val="19"/>
          <w:szCs w:val="19"/>
          <w:i w:val="1"/>
          <w:iCs w:val="1"/>
          <w:color w:val="auto"/>
        </w:rPr>
      </w:pPr>
      <w:r>
        <w:rPr>
          <w:rFonts w:ascii="Arial" w:cs="Arial" w:eastAsia="Arial" w:hAnsi="Arial"/>
          <w:sz w:val="16"/>
          <w:szCs w:val="16"/>
          <w:i w:val="1"/>
          <w:iCs w:val="1"/>
          <w:color w:val="auto"/>
        </w:rPr>
        <w:t>Brand Owners</w:t>
      </w:r>
      <w:r>
        <w:rPr>
          <w:rFonts w:ascii="Arial" w:cs="Arial" w:eastAsia="Arial" w:hAnsi="Arial"/>
          <w:sz w:val="16"/>
          <w:szCs w:val="16"/>
          <w:color w:val="auto"/>
        </w:rPr>
        <w:t>. Most brand owners use contract printers to produce their garments. Our systems offer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41" w:lineRule="exact"/>
        <w:rPr>
          <w:rFonts w:ascii="Arial" w:cs="Arial" w:eastAsia="Arial" w:hAnsi="Arial"/>
          <w:sz w:val="19"/>
          <w:szCs w:val="19"/>
          <w:i w:val="1"/>
          <w:iCs w:val="1"/>
          <w:color w:val="auto"/>
        </w:rPr>
      </w:pPr>
    </w:p>
    <w:p>
      <w:pPr>
        <w:ind w:left="560" w:right="259" w:hanging="219"/>
        <w:spacing w:after="0" w:line="245" w:lineRule="auto"/>
        <w:tabs>
          <w:tab w:leader="none" w:pos="530" w:val="left"/>
        </w:tabs>
        <w:numPr>
          <w:ilvl w:val="0"/>
          <w:numId w:val="39"/>
        </w:numPr>
        <w:rPr>
          <w:rFonts w:ascii="Arial" w:cs="Arial" w:eastAsia="Arial" w:hAnsi="Arial"/>
          <w:sz w:val="22"/>
          <w:szCs w:val="22"/>
          <w:i w:val="1"/>
          <w:iCs w:val="1"/>
          <w:color w:val="auto"/>
        </w:rPr>
      </w:pPr>
      <w:r>
        <w:rPr>
          <w:rFonts w:ascii="Arial" w:cs="Arial" w:eastAsia="Arial" w:hAnsi="Arial"/>
          <w:sz w:val="18"/>
          <w:szCs w:val="18"/>
          <w:i w:val="1"/>
          <w:iCs w:val="1"/>
          <w:color w:val="auto"/>
        </w:rPr>
        <w:t>Contract Printers</w:t>
      </w:r>
      <w:r>
        <w:rPr>
          <w:rFonts w:ascii="Arial" w:cs="Arial" w:eastAsia="Arial" w:hAnsi="Arial"/>
          <w:sz w:val="18"/>
          <w:szCs w:val="18"/>
          <w:color w:val="auto"/>
        </w:rPr>
        <w:t>. Contract printers are high volume producers that are seeking industrial scale and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175" w:lineRule="exact"/>
        <w:rPr>
          <w:sz w:val="20"/>
          <w:szCs w:val="20"/>
          <w:color w:val="auto"/>
        </w:rPr>
      </w:pPr>
    </w:p>
    <w:p>
      <w:pPr>
        <w:ind w:left="120" w:right="219" w:firstLine="216"/>
        <w:spacing w:after="0" w:line="287" w:lineRule="auto"/>
        <w:rPr>
          <w:sz w:val="20"/>
          <w:szCs w:val="20"/>
          <w:color w:val="auto"/>
        </w:rPr>
      </w:pPr>
      <w:r>
        <w:rPr>
          <w:rFonts w:ascii="Arial" w:cs="Arial" w:eastAsia="Arial" w:hAnsi="Arial"/>
          <w:sz w:val="16"/>
          <w:szCs w:val="16"/>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December 31, 2014, our global network of channel partners consisted of approximately 50 independent distributors and resellers. Sales by our distributors accounted for approximately 72% of our revenues in 2014 and approximately 63% in 2013. In addition to working closely with our channel partners, our direct sales force engages in direct sales in certain geographies, and also with our largest customers, irrespective of their location.</w:t>
      </w:r>
    </w:p>
    <w:p>
      <w:pPr>
        <w:sectPr>
          <w:pgSz w:w="11900" w:h="16838" w:orient="portrait"/>
          <w:cols w:equalWidth="0" w:num="1">
            <w:col w:w="9019"/>
          </w:cols>
          <w:pgMar w:left="1440" w:top="125"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4" w:name="page65"/>
    <w:bookmarkEnd w:id="64"/>
    <w:p>
      <w:pPr>
        <w:ind w:left="120" w:right="139" w:firstLine="216"/>
        <w:spacing w:after="0" w:line="269" w:lineRule="auto"/>
        <w:rPr>
          <w:sz w:val="20"/>
          <w:szCs w:val="20"/>
          <w:color w:val="auto"/>
        </w:rPr>
      </w:pPr>
      <w:r>
        <w:rPr>
          <w:rFonts w:ascii="Arial" w:cs="Arial" w:eastAsia="Arial" w:hAnsi="Arial"/>
          <w:sz w:val="17"/>
          <w:szCs w:val="17"/>
          <w:color w:val="auto"/>
        </w:rPr>
        <w:t>The substantial majority of our sales in North America are performed through independent distributors. Hirsch International Corporation and SPSI, Inc. were our top two independent distributors by revenues in 2013 and 2014, accounting for 20% and 25% of our revenues in each such period in the case of Hirsch, and 13% and 15%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82"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188" w:lineRule="exact"/>
        <w:rPr>
          <w:sz w:val="20"/>
          <w:szCs w:val="20"/>
          <w:color w:val="auto"/>
        </w:rPr>
      </w:pPr>
    </w:p>
    <w:p>
      <w:pPr>
        <w:ind w:left="120" w:right="199" w:firstLine="216"/>
        <w:spacing w:after="0" w:line="271"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179" w:lineRule="exact"/>
        <w:rPr>
          <w:sz w:val="20"/>
          <w:szCs w:val="20"/>
          <w:color w:val="auto"/>
        </w:rPr>
      </w:pPr>
    </w:p>
    <w:p>
      <w:pPr>
        <w:ind w:left="120" w:right="399" w:firstLine="216"/>
        <w:spacing w:after="0" w:line="277" w:lineRule="auto"/>
        <w:rPr>
          <w:sz w:val="20"/>
          <w:szCs w:val="20"/>
          <w:color w:val="auto"/>
        </w:rPr>
      </w:pPr>
      <w:r>
        <w:rPr>
          <w:rFonts w:ascii="Arial" w:cs="Arial" w:eastAsia="Arial" w:hAnsi="Arial"/>
          <w:sz w:val="18"/>
          <w:szCs w:val="18"/>
          <w:color w:val="auto"/>
        </w:rPr>
        <w:t>Ifat manufactures some of our Avalanche systems and our Breeze, Thunder and Paradigm II systems on a purchase order basis in accordance with our bill of materials, drawings and designs.</w:t>
      </w:r>
    </w:p>
    <w:p>
      <w:pPr>
        <w:spacing w:after="0" w:line="170" w:lineRule="exact"/>
        <w:rPr>
          <w:sz w:val="20"/>
          <w:szCs w:val="20"/>
          <w:color w:val="auto"/>
        </w:rPr>
      </w:pPr>
    </w:p>
    <w:p>
      <w:pPr>
        <w:ind w:left="120" w:right="859" w:firstLine="216"/>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12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31" w:lineRule="exact"/>
        <w:rPr>
          <w:sz w:val="20"/>
          <w:szCs w:val="20"/>
          <w:color w:val="auto"/>
        </w:rPr>
      </w:pPr>
    </w:p>
    <w:p>
      <w:pPr>
        <w:ind w:left="120" w:right="199" w:firstLine="216"/>
        <w:spacing w:after="0" w:line="217" w:lineRule="exact"/>
        <w:rPr>
          <w:sz w:val="20"/>
          <w:szCs w:val="20"/>
          <w:color w:val="auto"/>
        </w:rPr>
      </w:pPr>
      <w:r>
        <w:rPr>
          <w:rFonts w:ascii="Arial" w:cs="Arial" w:eastAsia="Arial" w:hAnsi="Arial"/>
          <w:sz w:val="16"/>
          <w:szCs w:val="16"/>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w:t>
      </w:r>
      <w:r>
        <w:rPr>
          <w:rFonts w:ascii="MS PGothic" w:cs="MS PGothic" w:eastAsia="MS PGothic" w:hAnsi="MS PGothic"/>
          <w:sz w:val="16"/>
          <w:szCs w:val="16"/>
          <w:color w:val="auto"/>
        </w:rPr>
        <w:t>‑</w:t>
      </w:r>
      <w:r>
        <w:rPr>
          <w:rFonts w:ascii="Arial" w:cs="Arial" w:eastAsia="Arial" w:hAnsi="Arial"/>
          <w:sz w:val="16"/>
          <w:szCs w:val="16"/>
          <w:color w:val="auto"/>
        </w:rPr>
        <w:t>annual payment to FDMX based on the amount of inks and other consumables,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renews automatically for successive one-year periods unless one party notifies the other party that it does not wish to renew the agreement by providing 90 days’ notice prior to the end of the current term. The agreement provides that beginning with the start of the first one-year renewal period, FDMX may increase the prices of the products that we purchase from it upon 90-days’ prior notice. As a result, we have entered into new pricing terms with FDMX on an annual basis which have constituted a new agreement starting a new initial term. Our current agreement terminates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87" w:lineRule="exact"/>
        <w:rPr>
          <w:sz w:val="20"/>
          <w:szCs w:val="20"/>
          <w:color w:val="auto"/>
        </w:rPr>
      </w:pPr>
    </w:p>
    <w:p>
      <w:pPr>
        <w:ind w:left="120" w:right="839" w:firstLine="216"/>
        <w:spacing w:after="0" w:line="277" w:lineRule="auto"/>
        <w:rPr>
          <w:sz w:val="20"/>
          <w:szCs w:val="20"/>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3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Our efforts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7"/>
          <w:szCs w:val="17"/>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25"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As of December 31,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120" w:right="279"/>
        <w:spacing w:after="0" w:line="277" w:lineRule="auto"/>
        <w:rPr>
          <w:sz w:val="20"/>
          <w:szCs w:val="20"/>
          <w:color w:val="auto"/>
        </w:rPr>
      </w:pPr>
      <w:r>
        <w:rPr>
          <w:rFonts w:ascii="Arial" w:cs="Arial" w:eastAsia="Arial" w:hAnsi="Arial"/>
          <w:sz w:val="18"/>
          <w:szCs w:val="18"/>
          <w:color w:val="auto"/>
        </w:rPr>
        <w:t>methodology, ink formulations, printing processes and related methods and systems, with expiration dates ranging from 2020 to 2035.</w:t>
      </w:r>
    </w:p>
    <w:p>
      <w:pPr>
        <w:spacing w:after="0" w:line="170" w:lineRule="exact"/>
        <w:rPr>
          <w:sz w:val="20"/>
          <w:szCs w:val="20"/>
          <w:color w:val="auto"/>
        </w:rPr>
      </w:pPr>
    </w:p>
    <w:p>
      <w:pPr>
        <w:ind w:left="120" w:right="339" w:firstLine="216"/>
        <w:spacing w:after="0" w:line="257"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8" w:lineRule="exact"/>
        <w:rPr>
          <w:sz w:val="20"/>
          <w:szCs w:val="20"/>
          <w:color w:val="auto"/>
        </w:rPr>
      </w:pPr>
    </w:p>
    <w:p>
      <w:pPr>
        <w:ind w:left="120" w:right="679" w:firstLine="216"/>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Infrastructure</w:t>
      </w:r>
    </w:p>
    <w:p>
      <w:pPr>
        <w:spacing w:after="0" w:line="229" w:lineRule="exact"/>
        <w:rPr>
          <w:sz w:val="20"/>
          <w:szCs w:val="20"/>
          <w:color w:val="auto"/>
        </w:rPr>
      </w:pPr>
    </w:p>
    <w:p>
      <w:pPr>
        <w:ind w:left="120" w:right="239" w:firstLine="216"/>
        <w:spacing w:after="0" w:line="270" w:lineRule="auto"/>
        <w:rPr>
          <w:sz w:val="20"/>
          <w:szCs w:val="20"/>
          <w:color w:val="auto"/>
        </w:rPr>
      </w:pPr>
      <w:r>
        <w:rPr>
          <w:rFonts w:ascii="Arial" w:cs="Arial" w:eastAsia="Arial" w:hAnsi="Arial"/>
          <w:sz w:val="17"/>
          <w:szCs w:val="17"/>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2018,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leases for this office expires in June 2018. We maintain additional sales, support and marketing offices in Germany and Hong Kong.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20" w:right="279" w:firstLine="216"/>
        <w:spacing w:after="0" w:line="270" w:lineRule="auto"/>
        <w:rPr>
          <w:sz w:val="20"/>
          <w:szCs w:val="20"/>
          <w:color w:val="auto"/>
        </w:rPr>
      </w:pPr>
      <w:r>
        <w:rPr>
          <w:rFonts w:ascii="Arial" w:cs="Arial" w:eastAsia="Arial" w:hAnsi="Arial"/>
          <w:sz w:val="17"/>
          <w:szCs w:val="17"/>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120" w:right="219" w:firstLine="216"/>
        <w:spacing w:after="0" w:line="276" w:lineRule="auto"/>
        <w:rPr>
          <w:sz w:val="20"/>
          <w:szCs w:val="20"/>
          <w:color w:val="auto"/>
        </w:rPr>
      </w:pPr>
      <w:r>
        <w:rPr>
          <w:rFonts w:ascii="Arial" w:cs="Arial" w:eastAsia="Arial" w:hAnsi="Arial"/>
          <w:sz w:val="17"/>
          <w:szCs w:val="17"/>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Corporate Structure</w:t>
      </w:r>
    </w:p>
    <w:p>
      <w:pPr>
        <w:spacing w:after="0" w:line="229"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Our legal name is Kornit Digital Ltd. We were formed as a company under the laws of the State of Israel on January 16, 2002.</w:t>
      </w:r>
    </w:p>
    <w:p>
      <w:pPr>
        <w:spacing w:after="0" w:line="170"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299" w:firstLine="216"/>
        <w:spacing w:after="0" w:line="264" w:lineRule="auto"/>
        <w:rPr>
          <w:sz w:val="20"/>
          <w:szCs w:val="20"/>
          <w:color w:val="auto"/>
        </w:rPr>
      </w:pPr>
      <w:r>
        <w:rPr>
          <w:rFonts w:ascii="Arial" w:cs="Arial" w:eastAsia="Arial" w:hAnsi="Arial"/>
          <w:sz w:val="18"/>
          <w:szCs w:val="18"/>
          <w:color w:val="auto"/>
        </w:rPr>
        <w:t>As of December 31, 2014, we had 251 employees and subcontractors with 166 located in Israel, 37 in the United States, 23 in Germany and 25 in Hong Kong. The following table shows the breakdown of our workforce of employees and subcontractors by category of activity as of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ind w:left="280"/>
              <w:spacing w:after="0"/>
              <w:rPr>
                <w:sz w:val="20"/>
                <w:szCs w:val="20"/>
                <w:color w:val="auto"/>
              </w:rPr>
            </w:pPr>
            <w:r>
              <w:rPr>
                <w:rFonts w:ascii="Arial" w:cs="Arial" w:eastAsia="Arial" w:hAnsi="Arial"/>
                <w:sz w:val="16"/>
                <w:szCs w:val="16"/>
                <w:b w:val="1"/>
                <w:bCs w:val="1"/>
                <w:color w:val="auto"/>
              </w:rPr>
              <w:t>As of December 31,</w:t>
            </w:r>
          </w:p>
        </w:tc>
        <w:tc>
          <w:tcPr>
            <w:tcW w:w="1240" w:type="dxa"/>
            <w:vAlign w:val="bottom"/>
            <w:tcBorders>
              <w:bottom w:val="single" w:sz="8" w:color="auto"/>
            </w:tcBorders>
          </w:tcPr>
          <w:p>
            <w:pPr>
              <w:spacing w:after="0"/>
              <w:rPr>
                <w:sz w:val="18"/>
                <w:szCs w:val="18"/>
                <w:color w:val="auto"/>
              </w:rPr>
            </w:pPr>
          </w:p>
        </w:tc>
      </w:tr>
      <w:tr>
        <w:trPr>
          <w:trHeight w:val="202"/>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Area of Activity</w:t>
            </w: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1580" w:type="dxa"/>
            <w:vAlign w:val="bottom"/>
            <w:gridSpan w:val="2"/>
          </w:tcPr>
          <w:p>
            <w:pPr>
              <w:jc w:val="right"/>
              <w:ind w:right="370"/>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195"/>
        </w:trPr>
        <w:tc>
          <w:tcPr>
            <w:tcW w:w="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w:t>
            </w: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33</w:t>
            </w:r>
          </w:p>
        </w:tc>
        <w:tc>
          <w:tcPr>
            <w:tcW w:w="3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47</w:t>
            </w:r>
          </w:p>
        </w:tc>
        <w:tc>
          <w:tcPr>
            <w:tcW w:w="340" w:type="dxa"/>
            <w:vAlign w:val="bottom"/>
          </w:tcPr>
          <w:p>
            <w:pPr>
              <w:spacing w:after="0"/>
              <w:rPr>
                <w:sz w:val="16"/>
                <w:szCs w:val="16"/>
                <w:color w:val="auto"/>
              </w:rPr>
            </w:pPr>
          </w:p>
        </w:tc>
        <w:tc>
          <w:tcPr>
            <w:tcW w:w="1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49</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Manufacturing and operations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20" w:right="119" w:firstLine="216"/>
        <w:spacing w:after="0" w:line="253"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120" w:right="779" w:firstLine="216"/>
        <w:spacing w:after="0" w:line="277" w:lineRule="auto"/>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 Imaging Systems, Inc.</w:t>
      </w:r>
    </w:p>
    <w:p>
      <w:pPr>
        <w:spacing w:after="0" w:line="225" w:lineRule="exact"/>
        <w:rPr>
          <w:sz w:val="20"/>
          <w:szCs w:val="20"/>
          <w:color w:val="auto"/>
        </w:rPr>
      </w:pPr>
    </w:p>
    <w:p>
      <w:pPr>
        <w:ind w:left="120" w:right="359" w:firstLine="216"/>
        <w:spacing w:after="0" w:line="293" w:lineRule="auto"/>
        <w:rPr>
          <w:sz w:val="20"/>
          <w:szCs w:val="20"/>
          <w:color w:val="auto"/>
        </w:rPr>
      </w:pPr>
      <w:r>
        <w:rPr>
          <w:rFonts w:ascii="Arial" w:cs="Arial" w:eastAsia="Arial" w:hAnsi="Arial"/>
          <w:sz w:val="16"/>
          <w:szCs w:val="16"/>
          <w:color w:val="auto"/>
        </w:rPr>
        <w:t>In February 2015, one of our U.S. distributors, Hirsch International Corporation (“Hirsch”), which accounted for approximately 20% of our revenues in 2013 and approximately 25% of our revenues in 2014, provided us with a letter Hirsch received from Direct Imaging Systems, Inc. (“DIS”) claiming that Hirsch was infringing on a DIS patent, no. 6,095,628 (the “628 patent”), which expires in August 2016, through its distribution of our Breeze printing system. To our knowledge, DIS does not manufacture printers and therefore does not compete with us. DIS attached a copy of a complaint that it had filed against Hirsch with the U.S. District Court for the Middle District of Florida.</w:t>
      </w:r>
    </w:p>
    <w:p>
      <w:pPr>
        <w:spacing w:after="0" w:line="16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We previously received a letter from DIS in September 2004 claiming that our products infringed the 628 patent. After reviewing the patent at that time, we determined that we had valid defenses to any infringement claim against us. We did not enter into any further discussions with DIS and DIS did not contact us further after January 2005. Subsequently, the 628 patent was subject to reexamination and only one claim was found to be valid.</w:t>
      </w:r>
    </w:p>
    <w:p>
      <w:pPr>
        <w:spacing w:after="0" w:line="171"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Although we were not contacted by DIS in February 2015, and have not since been contacted by them, and are not named in the complaint, we may be joined to the claim at a future date. In addition, our agreement with Hirsch contains an undertaking by us to indemnify Hirsch against claims by third parties alleging that our products infringe third party intellectual property rights. As a condition to Hirsch seeking indemnification from us, we are entitled to assume sole control at our expense of the defense and any decision to settle the claim, and Hirsch would be required to provide us with reasonable cooperation at our expense. We cannot predict whether we will be subject to any claim directly from DIS or required to indemnify Hirsch. We continue to believe that there are valid defenses to the claim of infringement and, additionally, that we may have available other defenses, including the affirmative defense of laches in that there was an unreasonable delay between the initial allegation of infringement in 2004 and the allegation in February 2015. Laches bars any claim for damages prior to the filing of the lawsuit. Given the inherent uncertainty involved in litigation, if we are subject to a claim or indemnification, we cannot provide any assurance that an adverse ruling or a negative outcome will not have a material adverse effect on us.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From time to time, we may be subject to legal proceedings and claims in the ordinary course of business. Other than as described herein we are not currently a party to any litigation the outcome of which might have a material adverse effect on our business, operating results or financial condition. Regardless of the outcome, litigation can have an adverse impact on us because of defense and settlement costs, diversion of management resources and other factors.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MANAGEMENT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1"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80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2"/>
              </w:rPr>
              <w:t>Age</w:t>
            </w:r>
          </w:p>
        </w:tc>
        <w:tc>
          <w:tcPr>
            <w:tcW w:w="360" w:type="dxa"/>
            <w:vAlign w:val="bottom"/>
          </w:tcPr>
          <w:p>
            <w:pPr>
              <w:spacing w:after="0"/>
              <w:rPr>
                <w:sz w:val="18"/>
                <w:szCs w:val="18"/>
                <w:color w:val="auto"/>
              </w:rPr>
            </w:pPr>
          </w:p>
        </w:tc>
        <w:tc>
          <w:tcPr>
            <w:tcW w:w="4180" w:type="dxa"/>
            <w:vAlign w:val="bottom"/>
          </w:tcPr>
          <w:p>
            <w:pPr>
              <w:ind w:left="40"/>
              <w:spacing w:after="0"/>
              <w:rPr>
                <w:sz w:val="20"/>
                <w:szCs w:val="20"/>
                <w:color w:val="auto"/>
              </w:rPr>
            </w:pPr>
            <w:r>
              <w:rPr>
                <w:rFonts w:ascii="Arial" w:cs="Arial" w:eastAsia="Arial" w:hAnsi="Arial"/>
                <w:sz w:val="16"/>
                <w:szCs w:val="16"/>
                <w:b w:val="1"/>
                <w:bCs w:val="1"/>
                <w:color w:val="auto"/>
              </w:rPr>
              <w:t>Position</w:t>
            </w:r>
          </w:p>
        </w:tc>
      </w:tr>
      <w:tr>
        <w:trPr>
          <w:trHeight w:val="201"/>
        </w:trPr>
        <w:tc>
          <w:tcPr>
            <w:tcW w:w="20" w:type="dxa"/>
            <w:vAlign w:val="bottom"/>
          </w:tcPr>
          <w:p>
            <w:pPr>
              <w:spacing w:after="0"/>
              <w:rPr>
                <w:sz w:val="17"/>
                <w:szCs w:val="17"/>
                <w:color w:val="auto"/>
              </w:rPr>
            </w:pPr>
          </w:p>
        </w:tc>
        <w:tc>
          <w:tcPr>
            <w:tcW w:w="2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i w:val="1"/>
                <w:iCs w:val="1"/>
                <w:color w:val="auto"/>
              </w:rPr>
              <w:t>Executive Officers</w:t>
            </w:r>
          </w:p>
        </w:tc>
        <w:tc>
          <w:tcPr>
            <w:tcW w:w="1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180" w:type="dxa"/>
            <w:vAlign w:val="bottom"/>
            <w:tcBorders>
              <w:top w:val="single" w:sz="8" w:color="auto"/>
            </w:tcBorders>
          </w:tcPr>
          <w:p>
            <w:pPr>
              <w:spacing w:after="0"/>
              <w:rPr>
                <w:sz w:val="17"/>
                <w:szCs w:val="17"/>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Gabi Seligsohn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Ofer Ben-Zur</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President, Chief Technology Officer and Director</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Chief Financial Officer</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Sarel Ashkenazy</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Executive Vice President of Sales</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Chief Operating Officer</w:t>
            </w: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w w:val="98"/>
              </w:rPr>
              <w:t>Vice President of Marketing &amp; Business Development</w:t>
            </w:r>
          </w:p>
        </w:tc>
      </w:tr>
      <w:tr>
        <w:trPr>
          <w:trHeight w:val="230"/>
        </w:trPr>
        <w:tc>
          <w:tcPr>
            <w:tcW w:w="280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Vice President of Products</w:t>
            </w:r>
          </w:p>
        </w:tc>
      </w:tr>
      <w:tr>
        <w:trPr>
          <w:trHeight w:val="418"/>
        </w:trPr>
        <w:tc>
          <w:tcPr>
            <w:tcW w:w="2800" w:type="dxa"/>
            <w:vAlign w:val="bottom"/>
            <w:gridSpan w:val="3"/>
          </w:tcPr>
          <w:p>
            <w:pPr>
              <w:spacing w:after="0"/>
              <w:rPr>
                <w:sz w:val="20"/>
                <w:szCs w:val="20"/>
                <w:color w:val="auto"/>
              </w:rPr>
            </w:pPr>
            <w:r>
              <w:rPr>
                <w:rFonts w:ascii="Arial" w:cs="Arial" w:eastAsia="Arial" w:hAnsi="Arial"/>
                <w:sz w:val="18"/>
                <w:szCs w:val="18"/>
                <w:i w:val="1"/>
                <w:iCs w:val="1"/>
                <w:color w:val="auto"/>
              </w:rPr>
              <w:t>Directors</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16"/>
        </w:trPr>
        <w:tc>
          <w:tcPr>
            <w:tcW w:w="2800" w:type="dxa"/>
            <w:vAlign w:val="bottom"/>
            <w:gridSpan w:val="3"/>
          </w:tcPr>
          <w:p>
            <w:pPr>
              <w:spacing w:after="0"/>
              <w:rPr>
                <w:sz w:val="20"/>
                <w:szCs w:val="20"/>
                <w:color w:val="auto"/>
              </w:rPr>
            </w:pPr>
            <w:r>
              <w:rPr>
                <w:rFonts w:ascii="Arial" w:cs="Arial" w:eastAsia="Arial" w:hAnsi="Arial"/>
                <w:sz w:val="18"/>
                <w:szCs w:val="18"/>
                <w:color w:val="auto"/>
              </w:rPr>
              <w:t>Yuval Cohen</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Chairman of the Board of Directors</w:t>
            </w:r>
          </w:p>
        </w:tc>
      </w:tr>
      <w:tr>
        <w:trPr>
          <w:trHeight w:val="220"/>
        </w:trPr>
        <w:tc>
          <w:tcPr>
            <w:tcW w:w="2800" w:type="dxa"/>
            <w:vAlign w:val="bottom"/>
            <w:gridSpan w:val="3"/>
          </w:tcPr>
          <w:p>
            <w:pPr>
              <w:spacing w:after="0"/>
              <w:rPr>
                <w:sz w:val="20"/>
                <w:szCs w:val="20"/>
                <w:color w:val="auto"/>
              </w:rPr>
            </w:pPr>
            <w:r>
              <w:rPr>
                <w:rFonts w:ascii="Arial" w:cs="Arial" w:eastAsia="Arial" w:hAnsi="Arial"/>
                <w:sz w:val="18"/>
                <w:szCs w:val="18"/>
                <w:color w:val="auto"/>
              </w:rPr>
              <w:t>Eli Blatt</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53"/>
        </w:trPr>
        <w:tc>
          <w:tcPr>
            <w:tcW w:w="2800" w:type="dxa"/>
            <w:vAlign w:val="bottom"/>
            <w:gridSpan w:val="3"/>
          </w:tcPr>
          <w:p>
            <w:pPr>
              <w:spacing w:after="0" w:line="253" w:lineRule="exact"/>
              <w:rPr>
                <w:sz w:val="20"/>
                <w:szCs w:val="20"/>
                <w:color w:val="auto"/>
              </w:rPr>
            </w:pPr>
            <w:r>
              <w:rPr>
                <w:rFonts w:ascii="Arial" w:cs="Arial" w:eastAsia="Arial" w:hAnsi="Arial"/>
                <w:sz w:val="18"/>
                <w:szCs w:val="18"/>
                <w:color w:val="auto"/>
              </w:rPr>
              <w:t>Lauri Hanover</w:t>
            </w:r>
            <w:r>
              <w:rPr>
                <w:rFonts w:ascii="Arial" w:cs="Arial" w:eastAsia="Arial" w:hAnsi="Arial"/>
                <w:sz w:val="29"/>
                <w:szCs w:val="29"/>
                <w:color w:val="auto"/>
                <w:vertAlign w:val="superscript"/>
              </w:rPr>
              <w:t>(1)(2)(3)(4)</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20"/>
        </w:trPr>
        <w:tc>
          <w:tcPr>
            <w:tcW w:w="2800" w:type="dxa"/>
            <w:vAlign w:val="bottom"/>
            <w:gridSpan w:val="3"/>
          </w:tcPr>
          <w:p>
            <w:pPr>
              <w:spacing w:after="0"/>
              <w:rPr>
                <w:sz w:val="20"/>
                <w:szCs w:val="20"/>
                <w:color w:val="auto"/>
              </w:rPr>
            </w:pPr>
            <w:r>
              <w:rPr>
                <w:rFonts w:ascii="Arial" w:cs="Arial" w:eastAsia="Arial" w:hAnsi="Arial"/>
                <w:sz w:val="18"/>
                <w:szCs w:val="18"/>
                <w:color w:val="auto"/>
              </w:rPr>
              <w:t>Marc Lesnick</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57"/>
        </w:trPr>
        <w:tc>
          <w:tcPr>
            <w:tcW w:w="2800" w:type="dxa"/>
            <w:vAlign w:val="bottom"/>
            <w:gridSpan w:val="3"/>
          </w:tcPr>
          <w:p>
            <w:pPr>
              <w:spacing w:after="0" w:line="256" w:lineRule="exact"/>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(1)(3)</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57"/>
        </w:trPr>
        <w:tc>
          <w:tcPr>
            <w:tcW w:w="2800" w:type="dxa"/>
            <w:vAlign w:val="bottom"/>
            <w:gridSpan w:val="3"/>
          </w:tcPr>
          <w:p>
            <w:pPr>
              <w:spacing w:after="0" w:line="256" w:lineRule="exact"/>
              <w:rPr>
                <w:sz w:val="20"/>
                <w:szCs w:val="20"/>
                <w:color w:val="auto"/>
              </w:rPr>
            </w:pPr>
            <w:r>
              <w:rPr>
                <w:rFonts w:ascii="Arial" w:cs="Arial" w:eastAsia="Arial" w:hAnsi="Arial"/>
                <w:sz w:val="29"/>
                <w:szCs w:val="29"/>
                <w:color w:val="auto"/>
                <w:vertAlign w:val="subscript"/>
              </w:rPr>
              <w:t>Jerry Mandel</w:t>
            </w:r>
            <w:r>
              <w:rPr>
                <w:rFonts w:ascii="Arial" w:cs="Arial" w:eastAsia="Arial" w:hAnsi="Arial"/>
                <w:sz w:val="13"/>
                <w:szCs w:val="13"/>
                <w:color w:val="auto"/>
              </w:rPr>
              <w:t>(1)(2)(3)(4)</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46"/>
        </w:trPr>
        <w:tc>
          <w:tcPr>
            <w:tcW w:w="2800" w:type="dxa"/>
            <w:vAlign w:val="bottom"/>
            <w:gridSpan w:val="3"/>
          </w:tcPr>
          <w:p>
            <w:pPr>
              <w:spacing w:after="0" w:line="246" w:lineRule="exact"/>
              <w:rPr>
                <w:sz w:val="20"/>
                <w:szCs w:val="20"/>
                <w:color w:val="auto"/>
              </w:rPr>
            </w:pPr>
            <w:r>
              <w:rPr>
                <w:rFonts w:ascii="Arial" w:cs="Arial" w:eastAsia="Arial" w:hAnsi="Arial"/>
                <w:sz w:val="17"/>
                <w:szCs w:val="17"/>
                <w:color w:val="auto"/>
              </w:rPr>
              <w:t>Dov Ofer</w:t>
            </w:r>
            <w:r>
              <w:rPr>
                <w:rFonts w:ascii="Arial" w:cs="Arial" w:eastAsia="Arial" w:hAnsi="Arial"/>
                <w:sz w:val="28"/>
                <w:szCs w:val="28"/>
                <w:color w:val="auto"/>
                <w:vertAlign w:val="superscript"/>
              </w:rPr>
              <w:t>(2)(3)</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54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r>
      <w:tr>
        <w:trPr>
          <w:trHeight w:val="266"/>
        </w:trPr>
        <w:tc>
          <w:tcPr>
            <w:tcW w:w="2620" w:type="dxa"/>
            <w:vAlign w:val="bottom"/>
            <w:gridSpan w:val="2"/>
          </w:tcPr>
          <w:p>
            <w:pPr>
              <w:spacing w:after="0"/>
              <w:rPr>
                <w:sz w:val="20"/>
                <w:szCs w:val="20"/>
                <w:color w:val="auto"/>
              </w:rPr>
            </w:pPr>
            <w:r>
              <w:rPr>
                <w:rFonts w:ascii="Arial" w:cs="Arial" w:eastAsia="Arial" w:hAnsi="Arial"/>
                <w:sz w:val="22"/>
                <w:szCs w:val="22"/>
                <w:color w:val="auto"/>
              </w:rPr>
              <w:t>______________</w:t>
            </w: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180" w:type="dxa"/>
            <w:vAlign w:val="bottom"/>
          </w:tcPr>
          <w:p>
            <w:pPr>
              <w:spacing w:after="0"/>
              <w:rPr>
                <w:sz w:val="23"/>
                <w:szCs w:val="23"/>
                <w:color w:val="auto"/>
              </w:rPr>
            </w:pPr>
          </w:p>
        </w:tc>
      </w:tr>
    </w:tbl>
    <w:p>
      <w:pPr>
        <w:ind w:left="460" w:hanging="335"/>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7" w:lineRule="exact"/>
        <w:rPr>
          <w:rFonts w:ascii="Arial" w:cs="Arial" w:eastAsia="Arial" w:hAnsi="Arial"/>
          <w:sz w:val="18"/>
          <w:szCs w:val="18"/>
          <w:color w:val="auto"/>
        </w:rPr>
      </w:pPr>
    </w:p>
    <w:p>
      <w:pPr>
        <w:ind w:left="440" w:hanging="315"/>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440" w:hanging="315"/>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9" w:lineRule="exact"/>
        <w:rPr>
          <w:rFonts w:ascii="Arial" w:cs="Arial" w:eastAsia="Arial" w:hAnsi="Arial"/>
          <w:sz w:val="18"/>
          <w:szCs w:val="18"/>
          <w:color w:val="auto"/>
        </w:rPr>
      </w:pPr>
    </w:p>
    <w:p>
      <w:pPr>
        <w:jc w:val="both"/>
        <w:ind w:left="440" w:right="219" w:hanging="315"/>
        <w:spacing w:after="0" w:line="323"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Proposed to serve as an external director under the Israeli Companies Law subject to ratification of their election as external directors under the Israeli Companies Law by our shareholders within three months following this offering.</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right="199" w:firstLine="216"/>
        <w:spacing w:after="0" w:line="286"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since April 2014. 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75" w:lineRule="exact"/>
        <w:rPr>
          <w:sz w:val="20"/>
          <w:szCs w:val="20"/>
          <w:color w:val="auto"/>
        </w:rPr>
      </w:pPr>
    </w:p>
    <w:p>
      <w:pPr>
        <w:ind w:left="120" w:right="219" w:firstLine="216"/>
        <w:spacing w:after="0" w:line="290"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our President and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and a director since 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0" w:name="page71"/>
    <w:bookmarkEnd w:id="70"/>
    <w:p>
      <w:pPr>
        <w:ind w:left="120" w:right="199" w:firstLine="216"/>
        <w:spacing w:after="0" w:line="253"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November 2014. From July 2010 until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Avidan served as Vice 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97" w:lineRule="exact"/>
        <w:rPr>
          <w:sz w:val="20"/>
          <w:szCs w:val="20"/>
          <w:color w:val="auto"/>
        </w:rPr>
      </w:pPr>
    </w:p>
    <w:p>
      <w:pPr>
        <w:ind w:left="120" w:right="219" w:firstLine="216"/>
        <w:spacing w:after="0" w:line="293" w:lineRule="auto"/>
        <w:rPr>
          <w:sz w:val="20"/>
          <w:szCs w:val="20"/>
          <w:color w:val="auto"/>
        </w:rPr>
      </w:pPr>
      <w:r>
        <w:rPr>
          <w:rFonts w:ascii="Arial" w:cs="Arial" w:eastAsia="Arial" w:hAnsi="Arial"/>
          <w:sz w:val="16"/>
          <w:szCs w:val="16"/>
          <w:i w:val="1"/>
          <w:iCs w:val="1"/>
          <w:color w:val="auto"/>
        </w:rPr>
        <w:t xml:space="preserve">Sarel Ashkenazy </w:t>
      </w:r>
      <w:r>
        <w:rPr>
          <w:rFonts w:ascii="Arial" w:cs="Arial" w:eastAsia="Arial" w:hAnsi="Arial"/>
          <w:sz w:val="16"/>
          <w:szCs w:val="16"/>
          <w:color w:val="auto"/>
        </w:rPr>
        <w:t>has served as our Executive Vice President of Sales since April 2014. From August 2004 to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65"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i w:val="1"/>
          <w:iCs w:val="1"/>
          <w:color w:val="auto"/>
        </w:rPr>
        <w:t xml:space="preserve">Ofer Sandelson </w:t>
      </w:r>
      <w:r>
        <w:rPr>
          <w:rFonts w:ascii="Arial" w:cs="Arial" w:eastAsia="Arial" w:hAnsi="Arial"/>
          <w:sz w:val="17"/>
          <w:szCs w:val="17"/>
          <w:color w:val="auto"/>
        </w:rPr>
        <w:t>has served as our Chief Operating Officer since July 2013.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83"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 2013.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7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Oded Kraft </w:t>
      </w:r>
      <w:r>
        <w:rPr>
          <w:rFonts w:ascii="Arial" w:cs="Arial" w:eastAsia="Arial" w:hAnsi="Arial"/>
          <w:sz w:val="17"/>
          <w:szCs w:val="17"/>
          <w:color w:val="auto"/>
        </w:rPr>
        <w:t>has served as our Vice President of Products since September 2014. From January 2013 to April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 founding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120" w:right="179" w:firstLine="216"/>
        <w:spacing w:after="0" w:line="291" w:lineRule="auto"/>
        <w:rPr>
          <w:sz w:val="20"/>
          <w:szCs w:val="20"/>
          <w:color w:val="auto"/>
        </w:rPr>
      </w:pPr>
      <w:r>
        <w:rPr>
          <w:rFonts w:ascii="Arial" w:cs="Arial" w:eastAsia="Arial" w:hAnsi="Arial"/>
          <w:sz w:val="16"/>
          <w:szCs w:val="16"/>
          <w:i w:val="1"/>
          <w:iCs w:val="1"/>
          <w:color w:val="auto"/>
        </w:rPr>
        <w:t xml:space="preserve">Eli Blatt </w:t>
      </w:r>
      <w:r>
        <w:rPr>
          <w:rFonts w:ascii="Arial" w:cs="Arial" w:eastAsia="Arial" w:hAnsi="Arial"/>
          <w:sz w:val="16"/>
          <w:szCs w:val="16"/>
          <w:color w:val="auto"/>
        </w:rPr>
        <w:t>has served as a member of our board of directors since August 2011. Mr. Blatt joined Fortissimo Capital in</w:t>
      </w:r>
      <w:r>
        <w:rPr>
          <w:rFonts w:ascii="Arial" w:cs="Arial" w:eastAsia="Arial" w:hAnsi="Arial"/>
          <w:sz w:val="16"/>
          <w:szCs w:val="16"/>
          <w:i w:val="1"/>
          <w:iCs w:val="1"/>
          <w:color w:val="auto"/>
        </w:rPr>
        <w:t xml:space="preserve"> </w:t>
      </w:r>
      <w:r>
        <w:rPr>
          <w:rFonts w:ascii="Arial" w:cs="Arial" w:eastAsia="Arial" w:hAnsi="Arial"/>
          <w:sz w:val="16"/>
          <w:szCs w:val="16"/>
          <w:color w:val="auto"/>
        </w:rPr>
        <w:t>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67" w:lineRule="exact"/>
        <w:rPr>
          <w:sz w:val="20"/>
          <w:szCs w:val="20"/>
          <w:color w:val="auto"/>
        </w:rPr>
      </w:pPr>
    </w:p>
    <w:p>
      <w:pPr>
        <w:ind w:left="120" w:right="159" w:firstLine="216"/>
        <w:spacing w:after="0" w:line="306" w:lineRule="auto"/>
        <w:rPr>
          <w:sz w:val="20"/>
          <w:szCs w:val="20"/>
          <w:color w:val="auto"/>
        </w:rPr>
      </w:pPr>
      <w:r>
        <w:rPr>
          <w:rFonts w:ascii="Arial" w:cs="Arial" w:eastAsia="Arial" w:hAnsi="Arial"/>
          <w:sz w:val="15"/>
          <w:szCs w:val="15"/>
          <w:i w:val="1"/>
          <w:iCs w:val="1"/>
          <w:color w:val="auto"/>
        </w:rPr>
        <w:t xml:space="preserve">Lauri Hanover </w:t>
      </w:r>
      <w:r>
        <w:rPr>
          <w:rFonts w:ascii="Arial" w:cs="Arial" w:eastAsia="Arial" w:hAnsi="Arial"/>
          <w:sz w:val="15"/>
          <w:szCs w:val="15"/>
          <w:color w:val="auto"/>
        </w:rPr>
        <w:t>has served as a member of our board of directors since March 2015 and is intended to serve as an external</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 under the Companies Law subject to the ratification of her appointment at a general meeting to be held following the completion of this offering. Ms. Hanover is the Chief Financial Officer of Netafim Ltd. since August 2013, the global leader in smart irrigation systems. From 2009 to 2013, she served as Chief Financial Officer and Executive Vice President of the Tnuva Group, Israel’s largest food manufacturer. From 2008 to 2009, Ms. Hanover served as Chief Executive Officer of Gross, Kleinhendler, Hodak, Halvey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at University of Pennsylvania in Pennsylvania, as well as an M.B.A. from New York University in New York.</w:t>
      </w:r>
    </w:p>
    <w:p>
      <w:pPr>
        <w:spacing w:after="0" w:line="155"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79" w:lineRule="exact"/>
        <w:rPr>
          <w:sz w:val="20"/>
          <w:szCs w:val="20"/>
          <w:color w:val="auto"/>
        </w:rPr>
      </w:pPr>
    </w:p>
    <w:p>
      <w:pPr>
        <w:ind w:left="120" w:right="139" w:firstLine="216"/>
        <w:spacing w:after="0" w:line="308" w:lineRule="auto"/>
        <w:rPr>
          <w:sz w:val="20"/>
          <w:szCs w:val="20"/>
          <w:color w:val="auto"/>
        </w:rPr>
      </w:pPr>
      <w:r>
        <w:rPr>
          <w:rFonts w:ascii="Arial" w:cs="Arial" w:eastAsia="Arial" w:hAnsi="Arial"/>
          <w:sz w:val="15"/>
          <w:szCs w:val="15"/>
          <w:i w:val="1"/>
          <w:iCs w:val="1"/>
          <w:color w:val="auto"/>
        </w:rPr>
        <w:t xml:space="preserve">Alon Lumbroso </w:t>
      </w:r>
      <w:r>
        <w:rPr>
          <w:rFonts w:ascii="Arial" w:cs="Arial" w:eastAsia="Arial" w:hAnsi="Arial"/>
          <w:sz w:val="15"/>
          <w:szCs w:val="15"/>
          <w:color w:val="auto"/>
        </w:rPr>
        <w:t>has served as a member of our board of directors since March 2015. Mr. Lumbroso is the founder and partner</w:t>
      </w:r>
      <w:r>
        <w:rPr>
          <w:rFonts w:ascii="Arial" w:cs="Arial" w:eastAsia="Arial" w:hAnsi="Arial"/>
          <w:sz w:val="15"/>
          <w:szCs w:val="15"/>
          <w:i w:val="1"/>
          <w:iCs w:val="1"/>
          <w:color w:val="auto"/>
        </w:rPr>
        <w:t xml:space="preserve"> </w:t>
      </w:r>
      <w:r>
        <w:rPr>
          <w:rFonts w:ascii="Arial" w:cs="Arial" w:eastAsia="Arial" w:hAnsi="Arial"/>
          <w:sz w:val="15"/>
          <w:szCs w:val="15"/>
          <w:color w:val="auto"/>
        </w:rPr>
        <w:t>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158" w:lineRule="exact"/>
        <w:rPr>
          <w:sz w:val="20"/>
          <w:szCs w:val="20"/>
          <w:color w:val="auto"/>
        </w:rPr>
      </w:pPr>
    </w:p>
    <w:p>
      <w:pPr>
        <w:ind w:left="120" w:right="139" w:firstLine="216"/>
        <w:spacing w:after="0" w:line="218" w:lineRule="exact"/>
        <w:rPr>
          <w:sz w:val="20"/>
          <w:szCs w:val="20"/>
          <w:color w:val="auto"/>
        </w:rPr>
      </w:pPr>
      <w:r>
        <w:rPr>
          <w:rFonts w:ascii="Arial" w:cs="Arial" w:eastAsia="Arial" w:hAnsi="Arial"/>
          <w:sz w:val="17"/>
          <w:szCs w:val="17"/>
          <w:i w:val="1"/>
          <w:iCs w:val="1"/>
          <w:color w:val="auto"/>
        </w:rPr>
        <w:t xml:space="preserve">Jerry Mandel </w:t>
      </w:r>
      <w:r>
        <w:rPr>
          <w:rFonts w:ascii="Arial" w:cs="Arial" w:eastAsia="Arial" w:hAnsi="Arial"/>
          <w:sz w:val="17"/>
          <w:szCs w:val="17"/>
          <w:color w:val="auto"/>
        </w:rPr>
        <w:t>has served as a member of our board of directors since March 2015 and is intended to serve as an</w:t>
      </w:r>
      <w:r>
        <w:rPr>
          <w:rFonts w:ascii="Arial" w:cs="Arial" w:eastAsia="Arial" w:hAnsi="Arial"/>
          <w:sz w:val="17"/>
          <w:szCs w:val="17"/>
          <w:i w:val="1"/>
          <w:iCs w:val="1"/>
          <w:color w:val="auto"/>
        </w:rPr>
        <w:t xml:space="preserve"> </w:t>
      </w:r>
      <w:r>
        <w:rPr>
          <w:rFonts w:ascii="Arial" w:cs="Arial" w:eastAsia="Arial" w:hAnsi="Arial"/>
          <w:sz w:val="17"/>
          <w:szCs w:val="17"/>
          <w:color w:val="auto"/>
        </w:rPr>
        <w:t>external director under the Companies Law subject to the ratification of his appointment at a general meeting to be held following the completion of this offering. Mr. Mandel is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w:t>
      </w:r>
      <w:r>
        <w:rPr>
          <w:rFonts w:ascii="MS PGothic" w:cs="MS PGothic" w:eastAsia="MS PGothic" w:hAnsi="MS PGothic"/>
          <w:sz w:val="17"/>
          <w:szCs w:val="17"/>
          <w:color w:val="auto"/>
        </w:rPr>
        <w:t>‑</w:t>
      </w:r>
      <w:r>
        <w:rPr>
          <w:rFonts w:ascii="Arial" w:cs="Arial" w:eastAsia="Arial" w:hAnsi="Arial"/>
          <w:sz w:val="17"/>
          <w:szCs w:val="17"/>
          <w:color w:val="auto"/>
        </w:rPr>
        <w:t>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120" w:right="119" w:firstLine="216"/>
        <w:spacing w:after="0" w:line="259" w:lineRule="auto"/>
        <w:rPr>
          <w:sz w:val="20"/>
          <w:szCs w:val="20"/>
          <w:color w:val="auto"/>
        </w:rPr>
      </w:pPr>
      <w:r>
        <w:rPr>
          <w:rFonts w:ascii="Arial" w:cs="Arial" w:eastAsia="Arial" w:hAnsi="Arial"/>
          <w:sz w:val="18"/>
          <w:szCs w:val="18"/>
          <w:color w:val="auto"/>
        </w:rPr>
        <w:t>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92"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i w:val="1"/>
          <w:iCs w:val="1"/>
          <w:color w:val="auto"/>
        </w:rPr>
        <w:t xml:space="preserve">Dov Ofer </w:t>
      </w:r>
      <w:r>
        <w:rPr>
          <w:rFonts w:ascii="Arial" w:cs="Arial" w:eastAsia="Arial" w:hAnsi="Arial"/>
          <w:sz w:val="16"/>
          <w:szCs w:val="16"/>
          <w:color w:val="auto"/>
        </w:rPr>
        <w:t>has served as a member of our board of directors since March 2015. From 2007 to 2013, Mr. Ofer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Arrangements Concerning Election of Directors; Familial Relationships</w:t>
      </w:r>
    </w:p>
    <w:p>
      <w:pPr>
        <w:spacing w:after="0" w:line="131"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Our current board of directors consists of nine directors. Currently-serving directors that were appointed prior to this offering will continue to serve pursuant to their appointment until the expiration of their terms as described below. We are not a party to, and are not aware of, any voting agreements among our shareholders. In addition, there are no family relationships among our executive officers and directors.</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18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114"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 “controlled company” exemption does not modify the independence requirements for our audit committee. Accordingly, immediately following this offering, we will have an audit committee comprised of at least three members all of whom meet the NASDAQ Stock Market independence requirements and which must include all of our external directors and consist of a majority of “independent directors” as defined under the Israeli Companies Law. See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101"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In addition to the controlled company exemption, as a foreign private issuer, companies incorporated under the laws of the State of Israel whose shares are publicly traded, including companies with shares listed on the NASDAQ Global Select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and other applicable provisions of U.S. securities laws to which we will become subject (as a foreign private issuer) upon the listing of our ordinary shares on the NASDAQ Global Select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pacing w:after="0" w:line="112"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We intend to comply with the rules generally applicable to U.S. domestic companies listed on the NASDAQ Stock Market, other than with respect to the quorum requirements. As permitted under the Israeli Companies Law, pursuant to our amended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ind w:left="120" w:right="119"/>
        <w:spacing w:after="0" w:line="257" w:lineRule="auto"/>
        <w:rPr>
          <w:sz w:val="20"/>
          <w:szCs w:val="20"/>
          <w:color w:val="auto"/>
        </w:rPr>
      </w:pPr>
      <w:r>
        <w:rPr>
          <w:rFonts w:ascii="Arial" w:cs="Arial" w:eastAsia="Arial" w:hAnsi="Arial"/>
          <w:sz w:val="18"/>
          <w:szCs w:val="18"/>
          <w:color w:val="auto"/>
        </w:rPr>
        <w:t>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80"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color w:val="auto"/>
        </w:rPr>
        <w:t>We may in the future decide to use the controlled company exemption or foreign private issuer opt-out with respect to additional NASDAQ corporate governance rules.</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3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08"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Under our amended and restated articles of association to be effective upon completion of this offering, our board of directors must consist of at least five and not more than nine directors, including at least two external directors required to be appointed under the Israeli Companies Law. Our board of directors consists of nine directors.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pacing w:after="0" w:line="117" w:lineRule="exact"/>
        <w:rPr>
          <w:sz w:val="20"/>
          <w:szCs w:val="20"/>
          <w:color w:val="auto"/>
        </w:rPr>
      </w:pPr>
    </w:p>
    <w:p>
      <w:pPr>
        <w:ind w:left="720" w:right="559" w:hanging="379"/>
        <w:spacing w:after="0" w:line="342" w:lineRule="auto"/>
        <w:tabs>
          <w:tab w:leader="none" w:pos="74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Class I directors will be Alon Lumbroso and Dov Ofer, and their terms will expire at the annual general meeting of the shareholders to be held in 2016 and when their successors are elected and qualified;</w:t>
      </w:r>
    </w:p>
    <w:p>
      <w:pPr>
        <w:spacing w:after="0" w:line="42" w:lineRule="exact"/>
        <w:rPr>
          <w:rFonts w:ascii="Arial" w:cs="Arial" w:eastAsia="Arial" w:hAnsi="Arial"/>
          <w:sz w:val="16"/>
          <w:szCs w:val="16"/>
          <w:color w:val="auto"/>
        </w:rPr>
      </w:pPr>
    </w:p>
    <w:p>
      <w:pPr>
        <w:ind w:left="720" w:right="459" w:hanging="379"/>
        <w:spacing w:after="0" w:line="264" w:lineRule="auto"/>
        <w:tabs>
          <w:tab w:leader="none" w:pos="7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Class II directors will be Ofer Ben-Zur and Gabi Seligsohn, and their terms will expire at the first annual general meeting of the shareholders following the meeting referred to in clause (i) above and when their successors are elected and qualified; and</w:t>
      </w:r>
    </w:p>
    <w:p>
      <w:pPr>
        <w:spacing w:after="0" w:line="73" w:lineRule="exact"/>
        <w:rPr>
          <w:rFonts w:ascii="Arial" w:cs="Arial" w:eastAsia="Arial" w:hAnsi="Arial"/>
          <w:sz w:val="18"/>
          <w:szCs w:val="18"/>
          <w:color w:val="auto"/>
        </w:rPr>
      </w:pPr>
    </w:p>
    <w:p>
      <w:pPr>
        <w:ind w:left="720" w:right="239" w:hanging="379"/>
        <w:spacing w:after="0" w:line="264" w:lineRule="auto"/>
        <w:tabs>
          <w:tab w:leader="none" w:pos="7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Class III directors will be Eli Blatt, Yuval Cohen and Marc Lesnick, and their terms will expire at the first annual general meeting of the shareholders following the meeting referred to in clause (ii) above and when their successors are elected and qualified.</w:t>
      </w:r>
    </w:p>
    <w:p>
      <w:pPr>
        <w:spacing w:after="0" w:line="73" w:lineRule="exact"/>
        <w:rPr>
          <w:sz w:val="20"/>
          <w:szCs w:val="20"/>
          <w:color w:val="auto"/>
        </w:rPr>
      </w:pPr>
    </w:p>
    <w:p>
      <w:pPr>
        <w:ind w:left="120" w:right="179" w:firstLine="216"/>
        <w:spacing w:after="0" w:line="269" w:lineRule="auto"/>
        <w:rPr>
          <w:sz w:val="20"/>
          <w:szCs w:val="20"/>
          <w:color w:val="auto"/>
        </w:rPr>
      </w:pPr>
      <w:r>
        <w:rPr>
          <w:rFonts w:ascii="Arial" w:cs="Arial" w:eastAsia="Arial" w:hAnsi="Arial"/>
          <w:sz w:val="17"/>
          <w:szCs w:val="17"/>
          <w:color w:val="auto"/>
        </w:rPr>
        <w:t>Our board of directors has determined that our directors, Lauri Hanover, Alon Lumbroso, Jerry Mandel and Dov Ofer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w:t>
      </w:r>
    </w:p>
    <w:p>
      <w:pPr>
        <w:spacing w:after="0" w:line="9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4" w:name="page75"/>
    <w:bookmarkEnd w:id="74"/>
    <w:p>
      <w:pPr>
        <w:ind w:left="120" w:right="519"/>
        <w:spacing w:after="0" w:line="276" w:lineRule="auto"/>
        <w:rPr>
          <w:sz w:val="20"/>
          <w:szCs w:val="20"/>
          <w:color w:val="auto"/>
        </w:rPr>
      </w:pPr>
      <w:r>
        <w:rPr>
          <w:rFonts w:ascii="Arial" w:cs="Arial" w:eastAsia="Arial" w:hAnsi="Arial"/>
          <w:sz w:val="17"/>
          <w:szCs w:val="17"/>
          <w:color w:val="auto"/>
        </w:rPr>
        <w:t>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7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97" w:lineRule="exact"/>
        <w:rPr>
          <w:sz w:val="20"/>
          <w:szCs w:val="20"/>
          <w:color w:val="auto"/>
        </w:rPr>
      </w:pPr>
    </w:p>
    <w:p>
      <w:pPr>
        <w:ind w:left="120" w:right="139" w:firstLine="216"/>
        <w:spacing w:after="0" w:line="297"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77" w:lineRule="exact"/>
        <w:rPr>
          <w:sz w:val="20"/>
          <w:szCs w:val="20"/>
          <w:color w:val="auto"/>
        </w:rPr>
      </w:pPr>
    </w:p>
    <w:p>
      <w:pPr>
        <w:ind w:left="120" w:right="319" w:firstLine="216"/>
        <w:spacing w:after="0" w:line="297"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171"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Under the Israeli Companies Law, we are required to include at least two members who qualify as external directors. Lauri Hanover and Jerry Mandel have agreed to serve as our external directors prior to our listing on the NASDAQ Global Select Market, subject to ratification at a meeting of our shareholders to be held no later than three months following the closing of this offering.</w:t>
      </w:r>
    </w:p>
    <w:p>
      <w:pPr>
        <w:spacing w:after="0" w:line="106" w:lineRule="exact"/>
        <w:rPr>
          <w:sz w:val="20"/>
          <w:szCs w:val="20"/>
          <w:color w:val="auto"/>
        </w:rPr>
      </w:pPr>
    </w:p>
    <w:p>
      <w:pPr>
        <w:ind w:left="120" w:right="639" w:firstLine="216"/>
        <w:spacing w:after="0" w:line="264" w:lineRule="auto"/>
        <w:rPr>
          <w:sz w:val="20"/>
          <w:szCs w:val="20"/>
          <w:color w:val="auto"/>
        </w:rPr>
      </w:pPr>
      <w:r>
        <w:rPr>
          <w:rFonts w:ascii="Arial" w:cs="Arial" w:eastAsia="Arial" w:hAnsi="Arial"/>
          <w:sz w:val="18"/>
          <w:szCs w:val="18"/>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14" w:lineRule="exact"/>
        <w:rPr>
          <w:sz w:val="20"/>
          <w:szCs w:val="20"/>
          <w:color w:val="auto"/>
        </w:rPr>
      </w:pPr>
    </w:p>
    <w:p>
      <w:pPr>
        <w:ind w:left="560" w:right="139" w:hanging="219"/>
        <w:spacing w:after="0" w:line="241" w:lineRule="auto"/>
        <w:tabs>
          <w:tab w:leader="none" w:pos="534" w:val="left"/>
        </w:tabs>
        <w:numPr>
          <w:ilvl w:val="0"/>
          <w:numId w:val="42"/>
        </w:numPr>
        <w:rPr>
          <w:rFonts w:ascii="Arial" w:cs="Arial" w:eastAsia="Arial" w:hAnsi="Arial"/>
          <w:sz w:val="22"/>
          <w:szCs w:val="22"/>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35" w:lineRule="exact"/>
        <w:rPr>
          <w:rFonts w:ascii="Arial" w:cs="Arial" w:eastAsia="Arial" w:hAnsi="Arial"/>
          <w:sz w:val="22"/>
          <w:szCs w:val="22"/>
          <w:color w:val="auto"/>
        </w:rPr>
      </w:pPr>
    </w:p>
    <w:p>
      <w:pPr>
        <w:ind w:left="560" w:right="119" w:hanging="219"/>
        <w:spacing w:after="0" w:line="238" w:lineRule="auto"/>
        <w:tabs>
          <w:tab w:leader="none" w:pos="534"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108"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Following this offering, Fortissimo Capital, which prior to this offering beneficially owned 69.6% of our shares, will be a controlling shareholder, although this status may change in the future.</w:t>
      </w:r>
    </w:p>
    <w:p>
      <w:pPr>
        <w:spacing w:after="0" w:line="87"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116" w:lineRule="exact"/>
        <w:rPr>
          <w:sz w:val="20"/>
          <w:szCs w:val="20"/>
          <w:color w:val="auto"/>
        </w:rPr>
      </w:pPr>
    </w:p>
    <w:p>
      <w:pPr>
        <w:ind w:left="560" w:right="159" w:hanging="219"/>
        <w:spacing w:after="0" w:line="238" w:lineRule="auto"/>
        <w:tabs>
          <w:tab w:leader="none" w:pos="534" w:val="left"/>
        </w:tabs>
        <w:numPr>
          <w:ilvl w:val="0"/>
          <w:numId w:val="43"/>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one or more shareholders holding at least 1% of the company’s voting rights and is approved at a shareholders meeting by a disinterested majority, where the total number</w:t>
      </w:r>
    </w:p>
    <w:p>
      <w:pPr>
        <w:sectPr>
          <w:pgSz w:w="11900" w:h="16838" w:orient="portrait"/>
          <w:cols w:equalWidth="0" w:num="1">
            <w:col w:w="9019"/>
          </w:cols>
          <w:pgMar w:left="1440" w:top="125"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5" w:name="page76"/>
    <w:bookmarkEnd w:id="75"/>
    <w:p>
      <w:pPr>
        <w:ind w:left="560" w:right="119"/>
        <w:spacing w:after="0" w:line="264" w:lineRule="auto"/>
        <w:rPr>
          <w:sz w:val="20"/>
          <w:szCs w:val="20"/>
          <w:color w:val="auto"/>
        </w:rPr>
      </w:pPr>
      <w:r>
        <w:rPr>
          <w:rFonts w:ascii="Arial" w:cs="Arial" w:eastAsia="Arial" w:hAnsi="Arial"/>
          <w:sz w:val="18"/>
          <w:szCs w:val="18"/>
          <w:color w:val="auto"/>
        </w:rPr>
        <w:t>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w:t>
      </w:r>
    </w:p>
    <w:p>
      <w:pPr>
        <w:spacing w:after="0" w:line="127" w:lineRule="exact"/>
        <w:rPr>
          <w:sz w:val="20"/>
          <w:szCs w:val="20"/>
          <w:color w:val="auto"/>
        </w:rPr>
      </w:pPr>
    </w:p>
    <w:p>
      <w:pPr>
        <w:ind w:left="560" w:right="359" w:hanging="219"/>
        <w:spacing w:after="0" w:line="232" w:lineRule="auto"/>
        <w:tabs>
          <w:tab w:leader="none" w:pos="534" w:val="left"/>
        </w:tabs>
        <w:numPr>
          <w:ilvl w:val="0"/>
          <w:numId w:val="44"/>
        </w:numPr>
        <w:rPr>
          <w:rFonts w:ascii="Arial" w:cs="Arial" w:eastAsia="Arial" w:hAnsi="Arial"/>
          <w:sz w:val="22"/>
          <w:szCs w:val="22"/>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63" w:lineRule="exact"/>
        <w:rPr>
          <w:rFonts w:ascii="Arial" w:cs="Arial" w:eastAsia="Arial" w:hAnsi="Arial"/>
          <w:sz w:val="22"/>
          <w:szCs w:val="22"/>
          <w:color w:val="auto"/>
        </w:rPr>
      </w:pPr>
    </w:p>
    <w:p>
      <w:pPr>
        <w:ind w:left="560" w:right="299" w:hanging="219"/>
        <w:spacing w:after="0" w:line="238" w:lineRule="auto"/>
        <w:tabs>
          <w:tab w:leader="none" w:pos="534" w:val="left"/>
        </w:tabs>
        <w:numPr>
          <w:ilvl w:val="0"/>
          <w:numId w:val="44"/>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149"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28" w:lineRule="exact"/>
        <w:rPr>
          <w:sz w:val="20"/>
          <w:szCs w:val="20"/>
          <w:color w:val="auto"/>
        </w:rPr>
      </w:pPr>
    </w:p>
    <w:p>
      <w:pPr>
        <w:ind w:left="120" w:right="439" w:firstLine="216"/>
        <w:spacing w:after="0" w:line="259"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19" w:lineRule="exact"/>
        <w:rPr>
          <w:sz w:val="20"/>
          <w:szCs w:val="20"/>
          <w:color w:val="auto"/>
        </w:rPr>
      </w:pPr>
    </w:p>
    <w:p>
      <w:pPr>
        <w:jc w:val="both"/>
        <w:ind w:left="120" w:right="239" w:firstLine="216"/>
        <w:spacing w:after="0" w:line="264"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14" w:lineRule="exact"/>
        <w:rPr>
          <w:sz w:val="20"/>
          <w:szCs w:val="20"/>
          <w:color w:val="auto"/>
        </w:rPr>
      </w:pPr>
    </w:p>
    <w:p>
      <w:pPr>
        <w:ind w:left="120" w:right="259" w:firstLine="216"/>
        <w:spacing w:after="0" w:line="291" w:lineRule="auto"/>
        <w:rPr>
          <w:sz w:val="20"/>
          <w:szCs w:val="20"/>
          <w:color w:val="auto"/>
        </w:rPr>
      </w:pPr>
      <w:r>
        <w:rPr>
          <w:rFonts w:ascii="Arial" w:cs="Arial" w:eastAsia="Arial" w:hAnsi="Arial"/>
          <w:sz w:val="16"/>
          <w:szCs w:val="16"/>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13"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27"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term “relative” is defined in the Israeli Companies Law as a spouse, sibling, parent, grandparent or descendant; spouse’s sibling, parent or descendant; and the spouse of each of the foregoing persons.</w:t>
      </w:r>
    </w:p>
    <w:p>
      <w:pPr>
        <w:spacing w:after="0" w:line="103"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Under the Israeli Companies Law, the term “affiliation” and the similar types of disqualifying relationships, as used above, include (subject to certain exceptions):</w:t>
      </w:r>
    </w:p>
    <w:p>
      <w:pPr>
        <w:spacing w:after="0" w:line="107" w:lineRule="exact"/>
        <w:rPr>
          <w:sz w:val="20"/>
          <w:szCs w:val="20"/>
          <w:color w:val="auto"/>
        </w:rPr>
      </w:pPr>
    </w:p>
    <w:p>
      <w:pPr>
        <w:ind w:left="540" w:hanging="199"/>
        <w:spacing w:after="0"/>
        <w:tabs>
          <w:tab w:leader="none" w:pos="540" w:val="left"/>
        </w:tabs>
        <w:numPr>
          <w:ilvl w:val="0"/>
          <w:numId w:val="45"/>
        </w:numPr>
        <w:rPr>
          <w:rFonts w:ascii="Arial" w:cs="Arial" w:eastAsia="Arial" w:hAnsi="Arial"/>
          <w:sz w:val="22"/>
          <w:szCs w:val="22"/>
          <w:color w:val="auto"/>
        </w:rPr>
      </w:pPr>
      <w:r>
        <w:rPr>
          <w:rFonts w:ascii="Arial" w:cs="Arial" w:eastAsia="Arial" w:hAnsi="Arial"/>
          <w:sz w:val="18"/>
          <w:szCs w:val="18"/>
          <w:color w:val="auto"/>
        </w:rPr>
        <w:t>an employment relationship;</w:t>
      </w:r>
    </w:p>
    <w:p>
      <w:pPr>
        <w:spacing w:after="0" w:line="161" w:lineRule="exact"/>
        <w:rPr>
          <w:rFonts w:ascii="Arial" w:cs="Arial" w:eastAsia="Arial" w:hAnsi="Arial"/>
          <w:sz w:val="22"/>
          <w:szCs w:val="22"/>
          <w:color w:val="auto"/>
        </w:rPr>
      </w:pPr>
    </w:p>
    <w:p>
      <w:pPr>
        <w:ind w:left="560" w:right="1019" w:hanging="219"/>
        <w:spacing w:after="0" w:line="232" w:lineRule="auto"/>
        <w:tabs>
          <w:tab w:leader="none" w:pos="534" w:val="left"/>
        </w:tabs>
        <w:numPr>
          <w:ilvl w:val="0"/>
          <w:numId w:val="45"/>
        </w:numPr>
        <w:rPr>
          <w:rFonts w:ascii="Arial" w:cs="Arial" w:eastAsia="Arial" w:hAnsi="Arial"/>
          <w:sz w:val="22"/>
          <w:szCs w:val="22"/>
          <w:color w:val="auto"/>
        </w:rPr>
      </w:pPr>
      <w:r>
        <w:rPr>
          <w:rFonts w:ascii="Arial" w:cs="Arial" w:eastAsia="Arial" w:hAnsi="Arial"/>
          <w:sz w:val="18"/>
          <w:szCs w:val="18"/>
          <w:color w:val="auto"/>
        </w:rPr>
        <w:t>a business or professional relationship even if not maintained on a regular basis (excluding insignificant relationships); control; and</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560" w:right="159" w:hanging="219"/>
        <w:spacing w:after="0" w:line="238" w:lineRule="auto"/>
        <w:tabs>
          <w:tab w:leader="none" w:pos="534" w:val="left"/>
        </w:tabs>
        <w:numPr>
          <w:ilvl w:val="0"/>
          <w:numId w:val="46"/>
        </w:numPr>
        <w:rPr>
          <w:rFonts w:ascii="Arial" w:cs="Arial" w:eastAsia="Arial" w:hAnsi="Arial"/>
          <w:sz w:val="22"/>
          <w:szCs w:val="22"/>
          <w:color w:val="auto"/>
        </w:rPr>
      </w:pPr>
      <w:r>
        <w:rPr>
          <w:rFonts w:ascii="Arial" w:cs="Arial" w:eastAsia="Arial" w:hAnsi="Arial"/>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203" w:lineRule="exact"/>
        <w:rPr>
          <w:sz w:val="20"/>
          <w:szCs w:val="20"/>
          <w:color w:val="auto"/>
        </w:rPr>
      </w:pPr>
    </w:p>
    <w:p>
      <w:pPr>
        <w:ind w:left="120" w:right="339" w:firstLine="216"/>
        <w:spacing w:after="0" w:line="312" w:lineRule="auto"/>
        <w:rPr>
          <w:sz w:val="20"/>
          <w:szCs w:val="20"/>
          <w:color w:val="auto"/>
        </w:rPr>
      </w:pPr>
      <w:r>
        <w:rPr>
          <w:rFonts w:ascii="Arial" w:cs="Arial" w:eastAsia="Arial" w:hAnsi="Arial"/>
          <w:sz w:val="16"/>
          <w:szCs w:val="16"/>
          <w:color w:val="auto"/>
        </w:rPr>
        <w:t>The term “office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47"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78"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78" w:lineRule="exact"/>
        <w:rPr>
          <w:sz w:val="20"/>
          <w:szCs w:val="20"/>
          <w:color w:val="auto"/>
        </w:rPr>
      </w:pPr>
    </w:p>
    <w:p>
      <w:pPr>
        <w:ind w:left="120" w:right="119" w:firstLine="216"/>
        <w:spacing w:after="0" w:line="302"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54" w:lineRule="exact"/>
        <w:rPr>
          <w:sz w:val="20"/>
          <w:szCs w:val="20"/>
          <w:color w:val="auto"/>
        </w:rPr>
      </w:pPr>
    </w:p>
    <w:p>
      <w:pPr>
        <w:ind w:left="120" w:right="179" w:firstLine="216"/>
        <w:spacing w:after="0" w:line="290" w:lineRule="auto"/>
        <w:rPr>
          <w:sz w:val="20"/>
          <w:szCs w:val="20"/>
          <w:color w:val="auto"/>
        </w:rPr>
      </w:pPr>
      <w:r>
        <w:rPr>
          <w:rFonts w:ascii="Arial" w:cs="Arial" w:eastAsia="Arial" w:hAnsi="Arial"/>
          <w:sz w:val="16"/>
          <w:szCs w:val="16"/>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66"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73"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Our board of directors has determined that Lauri Hanover and Jerry Mandel have accounting and financial expertise and possess professional qualifications as required under the Israeli Companies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77" w:name="page78"/>
    <w:bookmarkEnd w:id="77"/>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279" w:firstLine="216"/>
        <w:spacing w:after="0" w:line="308" w:lineRule="auto"/>
        <w:rPr>
          <w:sz w:val="20"/>
          <w:szCs w:val="20"/>
          <w:color w:val="auto"/>
        </w:rPr>
      </w:pPr>
      <w:r>
        <w:rPr>
          <w:rFonts w:ascii="Arial" w:cs="Arial" w:eastAsia="Arial" w:hAnsi="Arial"/>
          <w:sz w:val="17"/>
          <w:szCs w:val="17"/>
          <w:color w:val="auto"/>
        </w:rPr>
        <w:t>Following the listing of our ordinary shares on the NASDAQ Global Select Market, our audit committee will consist of our two external directors, Lauri Hanover (Chairman) and Jerry Mandel as well as Alon Lumbroso.</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18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195" w:lineRule="exact"/>
        <w:rPr>
          <w:sz w:val="20"/>
          <w:szCs w:val="20"/>
          <w:color w:val="auto"/>
        </w:rPr>
      </w:pPr>
    </w:p>
    <w:p>
      <w:pPr>
        <w:ind w:left="560" w:right="199" w:hanging="219"/>
        <w:spacing w:after="0" w:line="241" w:lineRule="auto"/>
        <w:tabs>
          <w:tab w:leader="none" w:pos="534" w:val="left"/>
        </w:tabs>
        <w:numPr>
          <w:ilvl w:val="0"/>
          <w:numId w:val="47"/>
        </w:numPr>
        <w:rPr>
          <w:rFonts w:ascii="Arial" w:cs="Arial" w:eastAsia="Arial" w:hAnsi="Arial"/>
          <w:sz w:val="22"/>
          <w:szCs w:val="22"/>
          <w:color w:val="auto"/>
        </w:rPr>
      </w:pPr>
      <w:r>
        <w:rPr>
          <w:rFonts w:ascii="Arial" w:cs="Arial" w:eastAsia="Arial" w:hAnsi="Arial"/>
          <w:sz w:val="18"/>
          <w:szCs w:val="18"/>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216" w:lineRule="exact"/>
        <w:rPr>
          <w:rFonts w:ascii="Arial" w:cs="Arial" w:eastAsia="Arial" w:hAnsi="Arial"/>
          <w:sz w:val="22"/>
          <w:szCs w:val="22"/>
          <w:color w:val="auto"/>
        </w:rPr>
      </w:pPr>
    </w:p>
    <w:p>
      <w:pPr>
        <w:jc w:val="both"/>
        <w:ind w:left="560" w:right="679" w:hanging="219"/>
        <w:spacing w:after="0" w:line="238" w:lineRule="auto"/>
        <w:tabs>
          <w:tab w:leader="none" w:pos="534" w:val="left"/>
        </w:tabs>
        <w:numPr>
          <w:ilvl w:val="0"/>
          <w:numId w:val="47"/>
        </w:numPr>
        <w:rPr>
          <w:rFonts w:ascii="Arial" w:cs="Arial" w:eastAsia="Arial" w:hAnsi="Arial"/>
          <w:sz w:val="22"/>
          <w:szCs w:val="22"/>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185" w:lineRule="exact"/>
        <w:rPr>
          <w:sz w:val="20"/>
          <w:szCs w:val="20"/>
          <w:color w:val="auto"/>
        </w:rPr>
      </w:pPr>
    </w:p>
    <w:p>
      <w:pPr>
        <w:jc w:val="both"/>
        <w:ind w:left="120" w:right="419" w:firstLine="216"/>
        <w:spacing w:after="0" w:line="264"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81" w:lineRule="exact"/>
        <w:rPr>
          <w:sz w:val="20"/>
          <w:szCs w:val="20"/>
          <w:color w:val="auto"/>
        </w:rPr>
      </w:pPr>
    </w:p>
    <w:p>
      <w:pPr>
        <w:ind w:left="120" w:right="199" w:firstLine="216"/>
        <w:spacing w:after="0" w:line="279" w:lineRule="auto"/>
        <w:rPr>
          <w:sz w:val="20"/>
          <w:szCs w:val="20"/>
          <w:color w:val="auto"/>
        </w:rPr>
      </w:pPr>
      <w:r>
        <w:rPr>
          <w:rFonts w:ascii="Arial" w:cs="Arial" w:eastAsia="Arial" w:hAnsi="Arial"/>
          <w:sz w:val="17"/>
          <w:szCs w:val="17"/>
          <w:color w:val="auto"/>
        </w:rPr>
        <w:t>All members of our audit committee will meet the requirements for financial literacy under the applicable rules and regulations of the Commission and NASDAQ corporate governance rules. Our board of directors has determined that Lauri Hanover and Jerry Mandel is each an audit committee financial expert as defined by the Commission rules and has the requisite financial experience as defined by NASDAQ corporate governance rules.</w:t>
      </w:r>
    </w:p>
    <w:p>
      <w:pPr>
        <w:spacing w:after="0" w:line="171" w:lineRule="exact"/>
        <w:rPr>
          <w:sz w:val="20"/>
          <w:szCs w:val="20"/>
          <w:color w:val="auto"/>
        </w:rPr>
      </w:pPr>
    </w:p>
    <w:p>
      <w:pPr>
        <w:ind w:left="120" w:right="199" w:firstLine="216"/>
        <w:spacing w:after="0" w:line="342" w:lineRule="auto"/>
        <w:rPr>
          <w:sz w:val="20"/>
          <w:szCs w:val="20"/>
          <w:color w:val="auto"/>
        </w:rPr>
      </w:pPr>
      <w:r>
        <w:rPr>
          <w:rFonts w:ascii="Arial" w:cs="Arial" w:eastAsia="Arial" w:hAnsi="Arial"/>
          <w:sz w:val="16"/>
          <w:szCs w:val="16"/>
          <w:color w:val="auto"/>
        </w:rPr>
        <w:t>Each of the members of our audit committee will be “independent” as such term is defined in Rule 10A-3(b)(1) under the Exchange Act and satisfies the independent director requirements under the NASDAQ Stock Market rules.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Role</w:t>
      </w:r>
    </w:p>
    <w:p>
      <w:pPr>
        <w:spacing w:after="0" w:line="185"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Our board of directors has adopted an audit committee charter to be effective upon the listing of our shares on the NASDAQ Global Select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73" w:lineRule="exact"/>
        <w:rPr>
          <w:sz w:val="20"/>
          <w:szCs w:val="20"/>
          <w:color w:val="auto"/>
        </w:rPr>
      </w:pPr>
    </w:p>
    <w:p>
      <w:pPr>
        <w:ind w:left="560" w:right="279" w:hanging="219"/>
        <w:spacing w:after="0" w:line="238" w:lineRule="auto"/>
        <w:tabs>
          <w:tab w:leader="none" w:pos="534" w:val="left"/>
        </w:tabs>
        <w:numPr>
          <w:ilvl w:val="0"/>
          <w:numId w:val="48"/>
        </w:numPr>
        <w:rPr>
          <w:rFonts w:ascii="Arial" w:cs="Arial" w:eastAsia="Arial" w:hAnsi="Arial"/>
          <w:sz w:val="22"/>
          <w:szCs w:val="22"/>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540" w:hanging="199"/>
        <w:spacing w:after="0"/>
        <w:tabs>
          <w:tab w:leader="none" w:pos="540"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15" w:lineRule="exact"/>
        <w:rPr>
          <w:rFonts w:ascii="Arial" w:cs="Arial" w:eastAsia="Arial" w:hAnsi="Arial"/>
          <w:sz w:val="22"/>
          <w:szCs w:val="22"/>
          <w:color w:val="auto"/>
        </w:rPr>
      </w:pPr>
    </w:p>
    <w:p>
      <w:pPr>
        <w:ind w:left="560" w:right="259" w:hanging="219"/>
        <w:spacing w:after="0" w:line="232" w:lineRule="auto"/>
        <w:tabs>
          <w:tab w:leader="none" w:pos="534"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204"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39" w:lineRule="exact"/>
        <w:rPr>
          <w:sz w:val="20"/>
          <w:szCs w:val="20"/>
          <w:color w:val="auto"/>
        </w:rPr>
      </w:pPr>
    </w:p>
    <w:p>
      <w:pPr>
        <w:jc w:val="both"/>
        <w:ind w:left="560" w:right="499" w:hanging="219"/>
        <w:spacing w:after="0" w:line="238"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16" w:lineRule="exact"/>
        <w:rPr>
          <w:rFonts w:ascii="Arial" w:cs="Arial" w:eastAsia="Arial" w:hAnsi="Arial"/>
          <w:sz w:val="22"/>
          <w:szCs w:val="22"/>
          <w:color w:val="auto"/>
        </w:rPr>
      </w:pPr>
    </w:p>
    <w:p>
      <w:pPr>
        <w:jc w:val="both"/>
        <w:ind w:left="560" w:right="219" w:hanging="219"/>
        <w:spacing w:after="0" w:line="238"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w:t>
      </w:r>
    </w:p>
    <w:p>
      <w:pPr>
        <w:spacing w:after="0" w:line="216" w:lineRule="exact"/>
        <w:rPr>
          <w:rFonts w:ascii="Arial" w:cs="Arial" w:eastAsia="Arial" w:hAnsi="Arial"/>
          <w:sz w:val="22"/>
          <w:szCs w:val="22"/>
          <w:color w:val="auto"/>
        </w:rPr>
      </w:pPr>
    </w:p>
    <w:p>
      <w:pPr>
        <w:ind w:left="560" w:right="179" w:hanging="219"/>
        <w:spacing w:after="0" w:line="238"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216" w:lineRule="exact"/>
        <w:rPr>
          <w:rFonts w:ascii="Arial" w:cs="Arial" w:eastAsia="Arial" w:hAnsi="Arial"/>
          <w:sz w:val="22"/>
          <w:szCs w:val="22"/>
          <w:color w:val="auto"/>
        </w:rPr>
      </w:pPr>
    </w:p>
    <w:p>
      <w:pPr>
        <w:ind w:left="560" w:right="159" w:hanging="219"/>
        <w:spacing w:after="0" w:line="232"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217" w:lineRule="exact"/>
        <w:rPr>
          <w:rFonts w:ascii="Arial" w:cs="Arial" w:eastAsia="Arial" w:hAnsi="Arial"/>
          <w:sz w:val="22"/>
          <w:szCs w:val="22"/>
          <w:color w:val="auto"/>
        </w:rPr>
      </w:pPr>
    </w:p>
    <w:p>
      <w:pPr>
        <w:ind w:left="560" w:right="179" w:hanging="219"/>
        <w:spacing w:after="0" w:line="232"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responsibilities;</w:t>
      </w:r>
    </w:p>
    <w:p>
      <w:pPr>
        <w:spacing w:after="0" w:line="217" w:lineRule="exact"/>
        <w:rPr>
          <w:rFonts w:ascii="Arial" w:cs="Arial" w:eastAsia="Arial" w:hAnsi="Arial"/>
          <w:sz w:val="22"/>
          <w:szCs w:val="22"/>
          <w:color w:val="auto"/>
        </w:rPr>
      </w:pPr>
    </w:p>
    <w:p>
      <w:pPr>
        <w:ind w:left="560" w:right="119" w:hanging="219"/>
        <w:spacing w:after="0" w:line="238"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16" w:lineRule="exact"/>
        <w:rPr>
          <w:rFonts w:ascii="Arial" w:cs="Arial" w:eastAsia="Arial" w:hAnsi="Arial"/>
          <w:sz w:val="22"/>
          <w:szCs w:val="22"/>
          <w:color w:val="auto"/>
        </w:rPr>
      </w:pPr>
    </w:p>
    <w:p>
      <w:pPr>
        <w:ind w:left="560" w:right="379" w:hanging="219"/>
        <w:spacing w:after="0" w:line="232" w:lineRule="auto"/>
        <w:tabs>
          <w:tab w:leader="none" w:pos="534" w:val="left"/>
        </w:tabs>
        <w:numPr>
          <w:ilvl w:val="0"/>
          <w:numId w:val="50"/>
        </w:numPr>
        <w:rPr>
          <w:rFonts w:ascii="Arial" w:cs="Arial" w:eastAsia="Arial" w:hAnsi="Arial"/>
          <w:sz w:val="22"/>
          <w:szCs w:val="22"/>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04"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120" w:right="179" w:firstLine="216"/>
        <w:spacing w:after="0" w:line="308" w:lineRule="auto"/>
        <w:rPr>
          <w:sz w:val="20"/>
          <w:szCs w:val="20"/>
          <w:color w:val="auto"/>
        </w:rPr>
      </w:pPr>
      <w:r>
        <w:rPr>
          <w:rFonts w:ascii="Arial" w:cs="Arial" w:eastAsia="Arial" w:hAnsi="Arial"/>
          <w:sz w:val="17"/>
          <w:szCs w:val="17"/>
          <w:color w:val="auto"/>
        </w:rPr>
        <w:t>Following the listing of our ordinary shares on the NASDAQ Global Select Market, our compensation committee will consist of our two external directors, Jerry Mandel (Chairman) and Lauri Hanover as well as Dov Ofer.</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Select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w:t>
      </w:r>
    </w:p>
    <w:p>
      <w:pPr>
        <w:sectPr>
          <w:pgSz w:w="11900" w:h="16838" w:orient="portrait"/>
          <w:cols w:equalWidth="0" w:num="1">
            <w:col w:w="9019"/>
          </w:cols>
          <w:pgMar w:left="1440" w:top="332"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type w:val="continuous"/>
        </w:sectPr>
      </w:pPr>
    </w:p>
    <w:bookmarkStart w:id="79" w:name="page80"/>
    <w:bookmarkEnd w:id="79"/>
    <w:p>
      <w:pPr>
        <w:ind w:left="120" w:right="119"/>
        <w:spacing w:after="0" w:line="264" w:lineRule="auto"/>
        <w:rPr>
          <w:sz w:val="20"/>
          <w:szCs w:val="20"/>
          <w:color w:val="auto"/>
        </w:rPr>
      </w:pPr>
      <w:r>
        <w:rPr>
          <w:rFonts w:ascii="Arial" w:cs="Arial" w:eastAsia="Arial" w:hAnsi="Arial"/>
          <w:sz w:val="18"/>
          <w:szCs w:val="18"/>
          <w:color w:val="auto"/>
        </w:rPr>
        <w:t>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81"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Select Market.</w:t>
      </w:r>
    </w:p>
    <w:p>
      <w:pPr>
        <w:spacing w:after="0" w:line="132"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39"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27" w:lineRule="exact"/>
        <w:rPr>
          <w:sz w:val="20"/>
          <w:szCs w:val="20"/>
          <w:color w:val="auto"/>
        </w:rPr>
      </w:pPr>
    </w:p>
    <w:p>
      <w:pPr>
        <w:ind w:left="560" w:right="419" w:hanging="219"/>
        <w:spacing w:after="0" w:line="238" w:lineRule="auto"/>
        <w:tabs>
          <w:tab w:leader="none" w:pos="534"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75" w:lineRule="exact"/>
        <w:rPr>
          <w:rFonts w:ascii="Arial" w:cs="Arial" w:eastAsia="Arial" w:hAnsi="Arial"/>
          <w:sz w:val="22"/>
          <w:szCs w:val="22"/>
          <w:color w:val="auto"/>
        </w:rPr>
      </w:pPr>
    </w:p>
    <w:p>
      <w:pPr>
        <w:ind w:left="560" w:right="219" w:hanging="219"/>
        <w:spacing w:after="0" w:line="232" w:lineRule="auto"/>
        <w:tabs>
          <w:tab w:leader="none" w:pos="534" w:val="left"/>
        </w:tabs>
        <w:numPr>
          <w:ilvl w:val="0"/>
          <w:numId w:val="51"/>
        </w:numPr>
        <w:rPr>
          <w:rFonts w:ascii="Arial" w:cs="Arial" w:eastAsia="Arial" w:hAnsi="Arial"/>
          <w:sz w:val="22"/>
          <w:szCs w:val="22"/>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190" w:lineRule="exact"/>
        <w:rPr>
          <w:rFonts w:ascii="Arial" w:cs="Arial" w:eastAsia="Arial" w:hAnsi="Arial"/>
          <w:sz w:val="22"/>
          <w:szCs w:val="22"/>
          <w:color w:val="auto"/>
        </w:rPr>
      </w:pPr>
    </w:p>
    <w:p>
      <w:pPr>
        <w:ind w:left="560" w:right="899" w:hanging="219"/>
        <w:spacing w:after="0" w:line="232" w:lineRule="auto"/>
        <w:tabs>
          <w:tab w:leader="none" w:pos="534" w:val="left"/>
        </w:tabs>
        <w:numPr>
          <w:ilvl w:val="0"/>
          <w:numId w:val="51"/>
        </w:numPr>
        <w:rPr>
          <w:rFonts w:ascii="Arial" w:cs="Arial" w:eastAsia="Arial" w:hAnsi="Arial"/>
          <w:sz w:val="22"/>
          <w:szCs w:val="22"/>
          <w:color w:val="auto"/>
        </w:rPr>
      </w:pPr>
      <w:r>
        <w:rPr>
          <w:rFonts w:ascii="Arial" w:cs="Arial" w:eastAsia="Arial" w:hAnsi="Arial"/>
          <w:sz w:val="18"/>
          <w:szCs w:val="18"/>
          <w:color w:val="auto"/>
        </w:rPr>
        <w:t>approving compensation terms of executive officers, directors and employees that require approval of the compensation committee;</w:t>
      </w:r>
    </w:p>
    <w:p>
      <w:pPr>
        <w:spacing w:after="0" w:line="176" w:lineRule="exact"/>
        <w:rPr>
          <w:rFonts w:ascii="Arial" w:cs="Arial" w:eastAsia="Arial" w:hAnsi="Arial"/>
          <w:sz w:val="22"/>
          <w:szCs w:val="22"/>
          <w:color w:val="auto"/>
        </w:rPr>
      </w:pPr>
    </w:p>
    <w:p>
      <w:pPr>
        <w:ind w:left="560" w:right="159" w:hanging="219"/>
        <w:spacing w:after="0" w:line="238" w:lineRule="auto"/>
        <w:tabs>
          <w:tab w:leader="none" w:pos="534" w:val="left"/>
        </w:tabs>
        <w:numPr>
          <w:ilvl w:val="0"/>
          <w:numId w:val="51"/>
        </w:numPr>
        <w:rPr>
          <w:rFonts w:ascii="Arial" w:cs="Arial" w:eastAsia="Arial" w:hAnsi="Arial"/>
          <w:sz w:val="22"/>
          <w:szCs w:val="22"/>
          <w:color w:val="auto"/>
        </w:rPr>
      </w:pPr>
      <w:r>
        <w:rPr>
          <w:rFonts w:ascii="Arial" w:cs="Arial" w:eastAsia="Arial" w:hAnsi="Arial"/>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75" w:lineRule="exact"/>
        <w:rPr>
          <w:rFonts w:ascii="Arial" w:cs="Arial" w:eastAsia="Arial" w:hAnsi="Arial"/>
          <w:sz w:val="22"/>
          <w:szCs w:val="22"/>
          <w:color w:val="auto"/>
        </w:rPr>
      </w:pPr>
    </w:p>
    <w:p>
      <w:pPr>
        <w:ind w:left="560" w:right="299" w:hanging="219"/>
        <w:spacing w:after="0" w:line="232" w:lineRule="auto"/>
        <w:tabs>
          <w:tab w:leader="none" w:pos="534" w:val="left"/>
        </w:tabs>
        <w:numPr>
          <w:ilvl w:val="0"/>
          <w:numId w:val="51"/>
        </w:numPr>
        <w:rPr>
          <w:rFonts w:ascii="Arial" w:cs="Arial" w:eastAsia="Arial" w:hAnsi="Arial"/>
          <w:sz w:val="22"/>
          <w:szCs w:val="22"/>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12" w:lineRule="exact"/>
        <w:rPr>
          <w:sz w:val="20"/>
          <w:szCs w:val="20"/>
          <w:color w:val="auto"/>
        </w:rPr>
      </w:pPr>
    </w:p>
    <w:p>
      <w:pPr>
        <w:ind w:left="120" w:right="139" w:firstLine="216"/>
        <w:spacing w:after="0" w:line="302" w:lineRule="auto"/>
        <w:rPr>
          <w:sz w:val="20"/>
          <w:szCs w:val="20"/>
          <w:color w:val="auto"/>
        </w:rPr>
      </w:pPr>
      <w:r>
        <w:rPr>
          <w:rFonts w:ascii="Arial" w:cs="Arial" w:eastAsia="Arial" w:hAnsi="Arial"/>
          <w:sz w:val="16"/>
          <w:szCs w:val="16"/>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will satisfy those requirements.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120"/>
        <w:spacing w:after="0"/>
        <w:rPr>
          <w:sz w:val="20"/>
          <w:szCs w:val="20"/>
          <w:color w:val="auto"/>
        </w:rPr>
      </w:pPr>
      <w:r>
        <w:rPr>
          <w:rFonts w:ascii="Arial" w:cs="Arial" w:eastAsia="Arial" w:hAnsi="Arial"/>
          <w:sz w:val="18"/>
          <w:szCs w:val="18"/>
          <w:i w:val="1"/>
          <w:iCs w:val="1"/>
          <w:color w:val="auto"/>
        </w:rPr>
        <w:t>Compensation Committee Role</w:t>
      </w:r>
    </w:p>
    <w:p>
      <w:pPr>
        <w:spacing w:after="0" w:line="212" w:lineRule="exact"/>
        <w:rPr>
          <w:sz w:val="20"/>
          <w:szCs w:val="20"/>
          <w:color w:val="auto"/>
        </w:rPr>
      </w:pPr>
    </w:p>
    <w:p>
      <w:pPr>
        <w:ind w:left="120" w:right="219" w:firstLine="216"/>
        <w:spacing w:after="0" w:line="342" w:lineRule="auto"/>
        <w:rPr>
          <w:sz w:val="20"/>
          <w:szCs w:val="20"/>
          <w:color w:val="auto"/>
        </w:rPr>
      </w:pPr>
      <w:r>
        <w:rPr>
          <w:rFonts w:ascii="Arial" w:cs="Arial" w:eastAsia="Arial" w:hAnsi="Arial"/>
          <w:sz w:val="16"/>
          <w:szCs w:val="16"/>
          <w:color w:val="auto"/>
        </w:rPr>
        <w:t>Our board of directors has adopted a compensation committee charter to be effective upon the listing of our shares on the NASDAQ Stock Market setting forth the responsibilities of the compensation committee, which include:</w:t>
      </w:r>
    </w:p>
    <w:p>
      <w:pPr>
        <w:spacing w:after="0" w:line="88" w:lineRule="exact"/>
        <w:rPr>
          <w:sz w:val="20"/>
          <w:szCs w:val="20"/>
          <w:color w:val="auto"/>
        </w:rPr>
      </w:pPr>
    </w:p>
    <w:p>
      <w:pPr>
        <w:ind w:left="540" w:hanging="199"/>
        <w:spacing w:after="0"/>
        <w:tabs>
          <w:tab w:leader="none" w:pos="540" w:val="left"/>
        </w:tabs>
        <w:numPr>
          <w:ilvl w:val="0"/>
          <w:numId w:val="52"/>
        </w:numPr>
        <w:rPr>
          <w:rFonts w:ascii="Arial" w:cs="Arial" w:eastAsia="Arial" w:hAnsi="Arial"/>
          <w:sz w:val="22"/>
          <w:szCs w:val="22"/>
          <w:color w:val="auto"/>
        </w:rPr>
      </w:pPr>
      <w:r>
        <w:rPr>
          <w:rFonts w:ascii="Arial" w:cs="Arial" w:eastAsia="Arial" w:hAnsi="Arial"/>
          <w:sz w:val="18"/>
          <w:szCs w:val="18"/>
          <w:color w:val="auto"/>
        </w:rPr>
        <w:t>the responsibilities set forth in the compensation policy;</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34"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217" w:lineRule="exact"/>
        <w:rPr>
          <w:rFonts w:ascii="Arial" w:cs="Arial" w:eastAsia="Arial" w:hAnsi="Arial"/>
          <w:sz w:val="22"/>
          <w:szCs w:val="22"/>
          <w:color w:val="auto"/>
        </w:rPr>
      </w:pPr>
    </w:p>
    <w:p>
      <w:pPr>
        <w:ind w:left="560" w:right="139" w:hanging="219"/>
        <w:spacing w:after="0" w:line="232" w:lineRule="auto"/>
        <w:tabs>
          <w:tab w:leader="none" w:pos="534"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21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a recent amendment to regulations promulgated under the Israeli Companies Law will require us, after we become a public company, to disclose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12" w:lineRule="exact"/>
        <w:rPr>
          <w:sz w:val="20"/>
          <w:szCs w:val="20"/>
          <w:color w:val="auto"/>
        </w:rPr>
      </w:pPr>
    </w:p>
    <w:p>
      <w:pPr>
        <w:ind w:left="120" w:right="339" w:firstLine="216"/>
        <w:spacing w:after="0" w:line="297" w:lineRule="auto"/>
        <w:rPr>
          <w:sz w:val="20"/>
          <w:szCs w:val="20"/>
          <w:color w:val="auto"/>
        </w:rPr>
      </w:pPr>
      <w:r>
        <w:rPr>
          <w:rFonts w:ascii="Arial" w:cs="Arial" w:eastAsia="Arial" w:hAnsi="Arial"/>
          <w:sz w:val="16"/>
          <w:szCs w:val="16"/>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45" w:lineRule="exact"/>
        <w:rPr>
          <w:sz w:val="20"/>
          <w:szCs w:val="20"/>
          <w:color w:val="auto"/>
        </w:rPr>
      </w:pPr>
    </w:p>
    <w:p>
      <w:pPr>
        <w:ind w:left="120" w:right="199" w:firstLine="216"/>
        <w:spacing w:after="0" w:line="264"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81" w:lineRule="exact"/>
        <w:rPr>
          <w:sz w:val="20"/>
          <w:szCs w:val="20"/>
          <w:color w:val="auto"/>
        </w:rPr>
      </w:pPr>
    </w:p>
    <w:p>
      <w:pPr>
        <w:ind w:left="120" w:right="499" w:firstLine="216"/>
        <w:spacing w:after="0" w:line="277" w:lineRule="auto"/>
        <w:rPr>
          <w:sz w:val="20"/>
          <w:szCs w:val="20"/>
          <w:color w:val="auto"/>
        </w:rPr>
      </w:pPr>
      <w:r>
        <w:rPr>
          <w:rFonts w:ascii="Arial" w:cs="Arial" w:eastAsia="Arial" w:hAnsi="Arial"/>
          <w:sz w:val="18"/>
          <w:szCs w:val="18"/>
          <w:color w:val="auto"/>
        </w:rPr>
        <w:t>External directors are entitled to remuneration subject to the provisions and limitations set forth in the regulations promulgated under the Israeli Companies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Under the Israeli Companies Law, the board of directors of an Israeli public company must appoint an internal auditor recommended by the audit committee. An internal auditor may not be:</w:t>
      </w:r>
    </w:p>
    <w:p>
      <w:pPr>
        <w:spacing w:after="0" w:line="184" w:lineRule="exact"/>
        <w:rPr>
          <w:sz w:val="20"/>
          <w:szCs w:val="20"/>
          <w:color w:val="auto"/>
        </w:rPr>
      </w:pPr>
    </w:p>
    <w:p>
      <w:pPr>
        <w:ind w:left="540" w:hanging="199"/>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6"/>
          <w:szCs w:val="16"/>
          <w:color w:val="auto"/>
        </w:rPr>
        <w:t>a person (or a relative of a person) who holds 5% or more of the company’s outstanding shares or voting rights;</w:t>
      </w:r>
    </w:p>
    <w:p>
      <w:pPr>
        <w:spacing w:after="0" w:line="227" w:lineRule="exact"/>
        <w:rPr>
          <w:rFonts w:ascii="Arial" w:cs="Arial" w:eastAsia="Arial" w:hAnsi="Arial"/>
          <w:sz w:val="19"/>
          <w:szCs w:val="19"/>
          <w:color w:val="auto"/>
        </w:rPr>
      </w:pPr>
    </w:p>
    <w:p>
      <w:pPr>
        <w:ind w:left="540" w:hanging="199"/>
        <w:spacing w:after="0"/>
        <w:tabs>
          <w:tab w:leader="none" w:pos="540" w:val="left"/>
        </w:tabs>
        <w:numPr>
          <w:ilvl w:val="0"/>
          <w:numId w:val="53"/>
        </w:numPr>
        <w:rPr>
          <w:rFonts w:ascii="Arial" w:cs="Arial" w:eastAsia="Arial" w:hAnsi="Arial"/>
          <w:sz w:val="19"/>
          <w:szCs w:val="19"/>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204" w:lineRule="exact"/>
        <w:rPr>
          <w:rFonts w:ascii="Arial" w:cs="Arial" w:eastAsia="Arial" w:hAnsi="Arial"/>
          <w:sz w:val="19"/>
          <w:szCs w:val="19"/>
          <w:color w:val="auto"/>
        </w:rPr>
      </w:pPr>
    </w:p>
    <w:p>
      <w:pPr>
        <w:ind w:left="540" w:hanging="199"/>
        <w:spacing w:after="0"/>
        <w:tabs>
          <w:tab w:leader="none" w:pos="540" w:val="left"/>
        </w:tabs>
        <w:numPr>
          <w:ilvl w:val="0"/>
          <w:numId w:val="53"/>
        </w:numPr>
        <w:rPr>
          <w:rFonts w:ascii="Arial" w:cs="Arial" w:eastAsia="Arial" w:hAnsi="Arial"/>
          <w:sz w:val="22"/>
          <w:szCs w:val="22"/>
          <w:color w:val="auto"/>
        </w:rPr>
      </w:pPr>
      <w:r>
        <w:rPr>
          <w:rFonts w:ascii="Arial" w:cs="Arial" w:eastAsia="Arial" w:hAnsi="Arial"/>
          <w:sz w:val="18"/>
          <w:szCs w:val="18"/>
          <w:color w:val="auto"/>
        </w:rPr>
        <w:t>an office holder (including a director) of the company (or a relative thereof);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3"/>
        </w:numPr>
        <w:rPr>
          <w:rFonts w:ascii="Arial" w:cs="Arial" w:eastAsia="Arial" w:hAnsi="Arial"/>
          <w:sz w:val="22"/>
          <w:szCs w:val="22"/>
          <w:color w:val="auto"/>
        </w:rPr>
      </w:pPr>
      <w:r>
        <w:rPr>
          <w:rFonts w:ascii="Arial" w:cs="Arial" w:eastAsia="Arial" w:hAnsi="Arial"/>
          <w:sz w:val="18"/>
          <w:szCs w:val="18"/>
          <w:color w:val="auto"/>
        </w:rPr>
        <w:t>a member of the company’s independent auditor, or anyone on its behalf.</w:t>
      </w:r>
    </w:p>
    <w:p>
      <w:pPr>
        <w:spacing w:after="0" w:line="202" w:lineRule="exact"/>
        <w:rPr>
          <w:sz w:val="20"/>
          <w:szCs w:val="20"/>
          <w:color w:val="auto"/>
        </w:rPr>
      </w:pPr>
    </w:p>
    <w:p>
      <w:pPr>
        <w:ind w:left="120" w:right="459" w:firstLine="216"/>
        <w:spacing w:after="0" w:line="26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120" w:right="639"/>
        <w:spacing w:after="0" w:line="277" w:lineRule="auto"/>
        <w:rPr>
          <w:sz w:val="20"/>
          <w:szCs w:val="20"/>
          <w:color w:val="auto"/>
        </w:rPr>
      </w:pPr>
      <w:r>
        <w:rPr>
          <w:rFonts w:ascii="Arial" w:cs="Arial" w:eastAsia="Arial" w:hAnsi="Arial"/>
          <w:sz w:val="18"/>
          <w:szCs w:val="18"/>
          <w:color w:val="auto"/>
        </w:rPr>
        <w:t>auditor as well as to review the internal auditor’s work plan. We intend to appoint an internal auditor following the closing of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left="120" w:right="319" w:firstLine="216"/>
        <w:spacing w:after="0" w:line="342"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24"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39" w:lineRule="exact"/>
        <w:rPr>
          <w:sz w:val="20"/>
          <w:szCs w:val="20"/>
          <w:color w:val="auto"/>
        </w:rPr>
      </w:pPr>
    </w:p>
    <w:p>
      <w:pPr>
        <w:ind w:left="560" w:right="159" w:hanging="219"/>
        <w:spacing w:after="0" w:line="232" w:lineRule="auto"/>
        <w:tabs>
          <w:tab w:leader="none" w:pos="534" w:val="left"/>
        </w:tabs>
        <w:numPr>
          <w:ilvl w:val="0"/>
          <w:numId w:val="54"/>
        </w:numPr>
        <w:rPr>
          <w:rFonts w:ascii="Arial" w:cs="Arial" w:eastAsia="Arial" w:hAnsi="Arial"/>
          <w:sz w:val="22"/>
          <w:szCs w:val="22"/>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54"/>
        </w:numPr>
        <w:rPr>
          <w:rFonts w:ascii="Arial" w:cs="Arial" w:eastAsia="Arial" w:hAnsi="Arial"/>
          <w:sz w:val="22"/>
          <w:szCs w:val="22"/>
          <w:color w:val="auto"/>
        </w:rPr>
      </w:pPr>
      <w:r>
        <w:rPr>
          <w:rFonts w:ascii="Arial" w:cs="Arial" w:eastAsia="Arial" w:hAnsi="Arial"/>
          <w:sz w:val="18"/>
          <w:szCs w:val="18"/>
          <w:color w:val="auto"/>
        </w:rPr>
        <w:t>all other important information pertaining to any such action.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loyalty includes a duty to:</w:t>
      </w:r>
    </w:p>
    <w:p>
      <w:pPr>
        <w:spacing w:after="0" w:line="239" w:lineRule="exact"/>
        <w:rPr>
          <w:sz w:val="20"/>
          <w:szCs w:val="20"/>
          <w:color w:val="auto"/>
        </w:rPr>
      </w:pPr>
    </w:p>
    <w:p>
      <w:pPr>
        <w:ind w:left="560" w:right="499" w:hanging="219"/>
        <w:spacing w:after="0" w:line="232" w:lineRule="auto"/>
        <w:tabs>
          <w:tab w:leader="none" w:pos="534"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refrain from any activity that is competitive with the business of the company;</w:t>
      </w:r>
    </w:p>
    <w:p>
      <w:pPr>
        <w:spacing w:after="0" w:line="215" w:lineRule="exact"/>
        <w:rPr>
          <w:rFonts w:ascii="Arial" w:cs="Arial" w:eastAsia="Arial" w:hAnsi="Arial"/>
          <w:sz w:val="22"/>
          <w:szCs w:val="22"/>
          <w:color w:val="auto"/>
        </w:rPr>
      </w:pPr>
    </w:p>
    <w:p>
      <w:pPr>
        <w:ind w:left="560" w:right="179" w:hanging="219"/>
        <w:spacing w:after="0" w:line="232" w:lineRule="auto"/>
        <w:tabs>
          <w:tab w:leader="none" w:pos="534" w:val="left"/>
        </w:tabs>
        <w:numPr>
          <w:ilvl w:val="0"/>
          <w:numId w:val="55"/>
        </w:numPr>
        <w:rPr>
          <w:rFonts w:ascii="Arial" w:cs="Arial" w:eastAsia="Arial" w:hAnsi="Arial"/>
          <w:sz w:val="22"/>
          <w:szCs w:val="22"/>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17" w:lineRule="exact"/>
        <w:rPr>
          <w:rFonts w:ascii="Arial" w:cs="Arial" w:eastAsia="Arial" w:hAnsi="Arial"/>
          <w:sz w:val="22"/>
          <w:szCs w:val="22"/>
          <w:color w:val="auto"/>
        </w:rPr>
      </w:pPr>
    </w:p>
    <w:p>
      <w:pPr>
        <w:ind w:left="560" w:right="439" w:hanging="219"/>
        <w:spacing w:after="0" w:line="232" w:lineRule="auto"/>
        <w:tabs>
          <w:tab w:leader="none" w:pos="534" w:val="left"/>
        </w:tabs>
        <w:numPr>
          <w:ilvl w:val="0"/>
          <w:numId w:val="55"/>
        </w:numPr>
        <w:rPr>
          <w:rFonts w:ascii="Arial" w:cs="Arial" w:eastAsia="Arial" w:hAnsi="Arial"/>
          <w:sz w:val="22"/>
          <w:szCs w:val="22"/>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The Israeli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79"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84" w:lineRule="exact"/>
        <w:rPr>
          <w:sz w:val="20"/>
          <w:szCs w:val="20"/>
          <w:color w:val="auto"/>
        </w:rPr>
      </w:pPr>
    </w:p>
    <w:p>
      <w:pPr>
        <w:ind w:left="540" w:hanging="199"/>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transaction other than in the ordinary course of business;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transaction that is not on market terms;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6"/>
        </w:numPr>
        <w:rPr>
          <w:rFonts w:ascii="Arial" w:cs="Arial" w:eastAsia="Arial" w:hAnsi="Arial"/>
          <w:sz w:val="22"/>
          <w:szCs w:val="22"/>
          <w:color w:val="auto"/>
        </w:rPr>
      </w:pPr>
      <w:r>
        <w:rPr>
          <w:rFonts w:ascii="Arial" w:cs="Arial" w:eastAsia="Arial" w:hAnsi="Arial"/>
          <w:sz w:val="18"/>
          <w:szCs w:val="18"/>
          <w:color w:val="auto"/>
        </w:rPr>
        <w:t>a transaction that may have a material impact on a company’s profitability, assets or liabilities.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120" w:right="139" w:firstLine="216"/>
        <w:spacing w:after="0" w:line="268" w:lineRule="auto"/>
        <w:rPr>
          <w:sz w:val="20"/>
          <w:szCs w:val="20"/>
          <w:color w:val="auto"/>
        </w:rPr>
      </w:pPr>
      <w:r>
        <w:rPr>
          <w:rFonts w:ascii="Arial" w:cs="Arial" w:eastAsia="Arial" w:hAnsi="Arial"/>
          <w:sz w:val="17"/>
          <w:szCs w:val="17"/>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83"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ind w:left="120" w:right="199" w:firstLine="216"/>
        <w:spacing w:after="0" w:line="283" w:lineRule="auto"/>
        <w:rPr>
          <w:sz w:val="20"/>
          <w:szCs w:val="20"/>
          <w:color w:val="auto"/>
        </w:rPr>
      </w:pPr>
      <w:r>
        <w:rPr>
          <w:rFonts w:ascii="Arial" w:cs="Arial" w:eastAsia="Arial" w:hAnsi="Arial"/>
          <w:sz w:val="16"/>
          <w:szCs w:val="16"/>
          <w:color w:val="auto"/>
        </w:rPr>
        <w:t>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holdings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w:t>
      </w:r>
    </w:p>
    <w:p>
      <w:pPr>
        <w:spacing w:after="0" w:line="7" w:lineRule="exact"/>
        <w:rPr>
          <w:sz w:val="20"/>
          <w:szCs w:val="20"/>
          <w:color w:val="auto"/>
        </w:rPr>
      </w:pPr>
    </w:p>
    <w:p>
      <w:pPr>
        <w:ind w:left="120" w:right="139" w:firstLine="5"/>
        <w:spacing w:after="0" w:line="302" w:lineRule="auto"/>
        <w:tabs>
          <w:tab w:leader="none" w:pos="36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terms of engagement and compensation of a controlling shareholder or his or her relative who is an office holder or (d) the employment of a controlling shareholder or his or her relative by the company, other than as an office holder. In addition, the shareholder approval requires one of the following, which we refer to as a Special Majority:</w:t>
      </w:r>
    </w:p>
    <w:p>
      <w:pPr>
        <w:spacing w:after="0" w:line="168" w:lineRule="exact"/>
        <w:rPr>
          <w:rFonts w:ascii="Arial" w:cs="Arial" w:eastAsia="Arial" w:hAnsi="Arial"/>
          <w:sz w:val="16"/>
          <w:szCs w:val="16"/>
          <w:color w:val="auto"/>
        </w:rPr>
      </w:pPr>
    </w:p>
    <w:p>
      <w:pPr>
        <w:ind w:left="560" w:right="299" w:hanging="219"/>
        <w:spacing w:after="0" w:line="297" w:lineRule="auto"/>
        <w:tabs>
          <w:tab w:leader="none" w:pos="534" w:val="left"/>
        </w:tabs>
        <w:numPr>
          <w:ilvl w:val="1"/>
          <w:numId w:val="57"/>
        </w:numPr>
        <w:rPr>
          <w:rFonts w:ascii="Arial" w:cs="Arial" w:eastAsia="Arial" w:hAnsi="Arial"/>
          <w:sz w:val="19"/>
          <w:szCs w:val="19"/>
          <w:color w:val="auto"/>
        </w:rPr>
      </w:pPr>
      <w:r>
        <w:rPr>
          <w:rFonts w:ascii="Arial" w:cs="Arial" w:eastAsia="Arial" w:hAnsi="Arial"/>
          <w:sz w:val="16"/>
          <w:szCs w:val="16"/>
          <w:color w:val="auto"/>
        </w:rPr>
        <w:t>at least a majority of the shares held by all shareholders who do not have a personal interest in the transaction and who are present and voting at the meeting approves the transaction, excluding abstentions; or</w:t>
      </w:r>
    </w:p>
    <w:p>
      <w:pPr>
        <w:spacing w:after="0" w:line="163" w:lineRule="exact"/>
        <w:rPr>
          <w:rFonts w:ascii="Arial" w:cs="Arial" w:eastAsia="Arial" w:hAnsi="Arial"/>
          <w:sz w:val="19"/>
          <w:szCs w:val="19"/>
          <w:color w:val="auto"/>
        </w:rPr>
      </w:pPr>
    </w:p>
    <w:p>
      <w:pPr>
        <w:ind w:left="560" w:right="359" w:hanging="219"/>
        <w:spacing w:after="0" w:line="251" w:lineRule="auto"/>
        <w:tabs>
          <w:tab w:leader="none" w:pos="534" w:val="left"/>
        </w:tabs>
        <w:numPr>
          <w:ilvl w:val="1"/>
          <w:numId w:val="57"/>
        </w:numPr>
        <w:rPr>
          <w:rFonts w:ascii="Arial" w:cs="Arial" w:eastAsia="Arial" w:hAnsi="Arial"/>
          <w:sz w:val="21"/>
          <w:szCs w:val="21"/>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voting rights in the company.</w:t>
      </w:r>
    </w:p>
    <w:p>
      <w:pPr>
        <w:spacing w:after="0" w:line="191" w:lineRule="exact"/>
        <w:rPr>
          <w:sz w:val="20"/>
          <w:szCs w:val="20"/>
          <w:color w:val="auto"/>
        </w:rPr>
      </w:pPr>
    </w:p>
    <w:p>
      <w:pPr>
        <w:ind w:left="120" w:right="319" w:firstLine="216"/>
        <w:spacing w:after="0" w:line="286" w:lineRule="auto"/>
        <w:rPr>
          <w:sz w:val="20"/>
          <w:szCs w:val="20"/>
          <w:color w:val="auto"/>
        </w:rPr>
      </w:pPr>
      <w:r>
        <w:rPr>
          <w:rFonts w:ascii="Arial" w:cs="Arial" w:eastAsia="Arial" w:hAnsi="Arial"/>
          <w:sz w:val="17"/>
          <w:szCs w:val="17"/>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66"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7" w:lineRule="exact"/>
        <w:rPr>
          <w:sz w:val="20"/>
          <w:szCs w:val="20"/>
          <w:color w:val="auto"/>
        </w:rPr>
      </w:pPr>
    </w:p>
    <w:p>
      <w:pPr>
        <w:ind w:left="120" w:right="539" w:firstLine="216"/>
        <w:spacing w:after="0" w:line="264" w:lineRule="auto"/>
        <w:rPr>
          <w:sz w:val="20"/>
          <w:szCs w:val="20"/>
          <w:color w:val="auto"/>
        </w:rPr>
      </w:pPr>
      <w:r>
        <w:rPr>
          <w:rFonts w:ascii="Arial" w:cs="Arial" w:eastAsia="Arial" w:hAnsi="Arial"/>
          <w:sz w:val="18"/>
          <w:szCs w:val="18"/>
          <w:color w:val="auto"/>
        </w:rPr>
        <w:t>Pursuant to regulations promulgated under the Israeli Companies Law, certain transactions with a controlling shareholder or his or her relative, or with directors, that would otherwise require approval of a company’s shareholders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120" w:right="139"/>
        <w:spacing w:after="0" w:line="257" w:lineRule="auto"/>
        <w:rPr>
          <w:sz w:val="20"/>
          <w:szCs w:val="20"/>
          <w:color w:val="auto"/>
        </w:rPr>
      </w:pPr>
      <w:r>
        <w:rPr>
          <w:rFonts w:ascii="Arial" w:cs="Arial" w:eastAsia="Arial" w:hAnsi="Arial"/>
          <w:sz w:val="18"/>
          <w:szCs w:val="18"/>
          <w:color w:val="auto"/>
        </w:rPr>
        <w:t>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88"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Following this offering, Fortissimo Capital, which prior to this offering beneficially owned 69.6% of our ordinary shares, will be a controlling shareholder, although this status may change in the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38" w:lineRule="exact"/>
        <w:rPr>
          <w:sz w:val="20"/>
          <w:szCs w:val="20"/>
          <w:color w:val="auto"/>
        </w:rPr>
      </w:pPr>
    </w:p>
    <w:p>
      <w:pPr>
        <w:ind w:left="540" w:hanging="199"/>
        <w:spacing w:after="0"/>
        <w:tabs>
          <w:tab w:leader="none" w:pos="540" w:val="left"/>
        </w:tabs>
        <w:numPr>
          <w:ilvl w:val="0"/>
          <w:numId w:val="58"/>
        </w:numPr>
        <w:rPr>
          <w:rFonts w:ascii="Arial" w:cs="Arial" w:eastAsia="Arial" w:hAnsi="Arial"/>
          <w:sz w:val="22"/>
          <w:szCs w:val="22"/>
          <w:color w:val="auto"/>
        </w:rPr>
      </w:pPr>
      <w:r>
        <w:rPr>
          <w:rFonts w:ascii="Arial" w:cs="Arial" w:eastAsia="Arial" w:hAnsi="Arial"/>
          <w:sz w:val="18"/>
          <w:szCs w:val="18"/>
          <w:color w:val="auto"/>
        </w:rPr>
        <w:t>an amendment to the company’s articles of association;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8"/>
        </w:numPr>
        <w:rPr>
          <w:rFonts w:ascii="Arial" w:cs="Arial" w:eastAsia="Arial" w:hAnsi="Arial"/>
          <w:sz w:val="22"/>
          <w:szCs w:val="22"/>
          <w:color w:val="auto"/>
        </w:rPr>
      </w:pPr>
      <w:r>
        <w:rPr>
          <w:rFonts w:ascii="Arial" w:cs="Arial" w:eastAsia="Arial" w:hAnsi="Arial"/>
          <w:sz w:val="18"/>
          <w:szCs w:val="18"/>
          <w:color w:val="auto"/>
        </w:rPr>
        <w:t>an increase of the company’s authorized share capital;</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58"/>
        </w:numPr>
        <w:rPr>
          <w:rFonts w:ascii="Arial" w:cs="Arial" w:eastAsia="Arial" w:hAnsi="Arial"/>
          <w:sz w:val="22"/>
          <w:szCs w:val="22"/>
          <w:color w:val="auto"/>
        </w:rPr>
      </w:pPr>
      <w:r>
        <w:rPr>
          <w:rFonts w:ascii="Arial" w:cs="Arial" w:eastAsia="Arial" w:hAnsi="Arial"/>
          <w:sz w:val="18"/>
          <w:szCs w:val="18"/>
          <w:color w:val="auto"/>
        </w:rPr>
        <w:t>a merger; or</w:t>
      </w:r>
    </w:p>
    <w:p>
      <w:pPr>
        <w:spacing w:after="0" w:line="215" w:lineRule="exact"/>
        <w:rPr>
          <w:rFonts w:ascii="Arial" w:cs="Arial" w:eastAsia="Arial" w:hAnsi="Arial"/>
          <w:sz w:val="22"/>
          <w:szCs w:val="22"/>
          <w:color w:val="auto"/>
        </w:rPr>
      </w:pPr>
    </w:p>
    <w:p>
      <w:pPr>
        <w:ind w:left="340" w:right="1219" w:firstLine="1"/>
        <w:spacing w:after="0" w:line="515" w:lineRule="auto"/>
        <w:tabs>
          <w:tab w:leader="none" w:pos="530" w:val="left"/>
        </w:tabs>
        <w:numPr>
          <w:ilvl w:val="0"/>
          <w:numId w:val="58"/>
        </w:numPr>
        <w:rPr>
          <w:rFonts w:ascii="Arial" w:cs="Arial" w:eastAsia="Arial" w:hAnsi="Arial"/>
          <w:sz w:val="19"/>
          <w:szCs w:val="19"/>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02"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34" w:val="left"/>
        </w:tabs>
        <w:numPr>
          <w:ilvl w:val="0"/>
          <w:numId w:val="59"/>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3" w:lineRule="auto"/>
        <w:tabs>
          <w:tab w:leader="none" w:pos="534" w:val="left"/>
        </w:tabs>
        <w:numPr>
          <w:ilvl w:val="0"/>
          <w:numId w:val="59"/>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560" w:right="419"/>
        <w:spacing w:after="0" w:line="308" w:lineRule="auto"/>
        <w:rPr>
          <w:sz w:val="20"/>
          <w:szCs w:val="20"/>
          <w:color w:val="auto"/>
        </w:rPr>
      </w:pPr>
      <w:r>
        <w:rPr>
          <w:rFonts w:ascii="Arial" w:cs="Arial" w:eastAsia="Arial" w:hAnsi="Arial"/>
          <w:sz w:val="17"/>
          <w:szCs w:val="17"/>
          <w:color w:val="auto"/>
        </w:rPr>
        <w:t>investigation or proceeding or, if such financial liability was imposed, it was imposed with respect to an offense that does not require proof of criminal intent; and (2) in connection with a monetary sanction; and</w:t>
      </w:r>
    </w:p>
    <w:p>
      <w:pPr>
        <w:spacing w:after="0" w:line="160" w:lineRule="exact"/>
        <w:rPr>
          <w:sz w:val="20"/>
          <w:szCs w:val="20"/>
          <w:color w:val="auto"/>
        </w:rPr>
      </w:pPr>
    </w:p>
    <w:p>
      <w:pPr>
        <w:ind w:left="560" w:right="159" w:hanging="219"/>
        <w:spacing w:after="0" w:line="241" w:lineRule="auto"/>
        <w:tabs>
          <w:tab w:leader="none" w:pos="534" w:val="left"/>
        </w:tabs>
        <w:numPr>
          <w:ilvl w:val="0"/>
          <w:numId w:val="60"/>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3" w:lineRule="exact"/>
        <w:rPr>
          <w:sz w:val="20"/>
          <w:szCs w:val="20"/>
          <w:color w:val="auto"/>
        </w:rPr>
      </w:pPr>
    </w:p>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79" w:hanging="219"/>
        <w:spacing w:after="0" w:line="232" w:lineRule="auto"/>
        <w:tabs>
          <w:tab w:leader="none" w:pos="534"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419" w:hanging="219"/>
        <w:spacing w:after="0" w:line="232" w:lineRule="auto"/>
        <w:tabs>
          <w:tab w:leader="none" w:pos="534"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79" w:hanging="219"/>
        <w:spacing w:after="0" w:line="238" w:lineRule="auto"/>
        <w:tabs>
          <w:tab w:leader="none" w:pos="534" w:val="left"/>
        </w:tabs>
        <w:numPr>
          <w:ilvl w:val="0"/>
          <w:numId w:val="62"/>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639" w:hanging="219"/>
        <w:spacing w:after="0" w:line="232" w:lineRule="auto"/>
        <w:tabs>
          <w:tab w:leader="none" w:pos="534" w:val="left"/>
        </w:tabs>
        <w:numPr>
          <w:ilvl w:val="0"/>
          <w:numId w:val="62"/>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62"/>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2"/>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19" w:firstLine="216"/>
        <w:spacing w:after="0" w:line="31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4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completion of this offering and the Israeli Companies Law, including with respect to liabilities resulting from this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We have adopted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85" w:name="page86"/>
    <w:bookmarkEnd w:id="85"/>
    <w:p>
      <w:pPr>
        <w:ind w:left="120" w:right="119"/>
        <w:spacing w:after="0" w:line="253" w:lineRule="auto"/>
        <w:rPr>
          <w:sz w:val="20"/>
          <w:szCs w:val="20"/>
          <w:color w:val="auto"/>
        </w:rPr>
      </w:pPr>
      <w:r>
        <w:rPr>
          <w:rFonts w:ascii="Arial" w:cs="Arial" w:eastAsia="Arial" w:hAnsi="Arial"/>
          <w:sz w:val="18"/>
          <w:szCs w:val="18"/>
          <w:color w:val="auto"/>
        </w:rPr>
        <w:t>The full text of the Code of Business Conduct and Ethics has been posted on our website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 in Item 16B(b) of Form 20-F, we are required to disclose such waiver or amendment on our website in accordance with the requirements of Instruction 4 to such Item 16B.</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aggregate compensation paid and equity-based compensation and other payments expensed by us and our subsidiaries to our directors and executive officers with respect to the year ended December 31, 2014 was $2.0 million. This amount includes approximately $0.2 million set aside or accrued to provide pension, severance, retirement or similar benefits or expenses. As of December 31, 2014, options to purchase 1,180,352 ordinary shares granted to our directors and executive officers were outstanding under our share option plans at a weighted average exercise price of $1.89 per share. Certain of our officers and directors receive a severance payment of up to six months of their base salary upon termination of their employment.</w:t>
      </w:r>
    </w:p>
    <w:p>
      <w:pPr>
        <w:spacing w:after="0" w:line="189"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following table presents the grant dates, number of options, related exercise prices and expiration dates of options granted to our directors and executive officers for the year ended December 31,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3"/>
              <w:spacing w:after="0"/>
              <w:rPr>
                <w:sz w:val="20"/>
                <w:szCs w:val="20"/>
                <w:color w:val="auto"/>
              </w:rPr>
            </w:pPr>
            <w:r>
              <w:rPr>
                <w:rFonts w:ascii="Arial" w:cs="Arial" w:eastAsia="Arial" w:hAnsi="Arial"/>
                <w:sz w:val="16"/>
                <w:szCs w:val="16"/>
                <w:b w:val="1"/>
                <w:bCs w:val="1"/>
                <w:color w:val="auto"/>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9"/>
              </w:rPr>
              <w:t>Exercise Price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Expiration Date</w:t>
            </w:r>
          </w:p>
        </w:tc>
      </w:tr>
      <w:tr>
        <w:trPr>
          <w:trHeight w:val="210"/>
        </w:trPr>
        <w:tc>
          <w:tcPr>
            <w:tcW w:w="20" w:type="dxa"/>
            <w:vAlign w:val="bottom"/>
          </w:tcPr>
          <w:p>
            <w:pPr>
              <w:spacing w:after="0"/>
              <w:rPr>
                <w:sz w:val="18"/>
                <w:szCs w:val="18"/>
                <w:color w:val="auto"/>
              </w:rPr>
            </w:pPr>
          </w:p>
        </w:tc>
        <w:tc>
          <w:tcPr>
            <w:tcW w:w="4200" w:type="dxa"/>
            <w:vAlign w:val="bottom"/>
            <w:gridSpan w:val="2"/>
          </w:tcPr>
          <w:p>
            <w:pPr>
              <w:ind w:left="1620"/>
              <w:spacing w:after="0"/>
              <w:rPr>
                <w:sz w:val="20"/>
                <w:szCs w:val="20"/>
                <w:color w:val="auto"/>
              </w:rPr>
            </w:pPr>
            <w:r>
              <w:rPr>
                <w:rFonts w:ascii="Arial" w:cs="Arial" w:eastAsia="Arial" w:hAnsi="Arial"/>
                <w:sz w:val="16"/>
                <w:szCs w:val="16"/>
                <w:b w:val="1"/>
                <w:bCs w:val="1"/>
                <w:color w:val="auto"/>
              </w:rPr>
              <w:t>Grant Date</w:t>
            </w:r>
          </w:p>
        </w:tc>
        <w:tc>
          <w:tcPr>
            <w:tcW w:w="1240" w:type="dxa"/>
            <w:vAlign w:val="bottom"/>
          </w:tcPr>
          <w:p>
            <w:pPr>
              <w:jc w:val="right"/>
              <w:ind w:right="273"/>
              <w:spacing w:after="0"/>
              <w:rPr>
                <w:sz w:val="20"/>
                <w:szCs w:val="20"/>
                <w:color w:val="auto"/>
              </w:rPr>
            </w:pPr>
            <w:r>
              <w:rPr>
                <w:rFonts w:ascii="Arial" w:cs="Arial" w:eastAsia="Arial" w:hAnsi="Arial"/>
                <w:sz w:val="16"/>
                <w:szCs w:val="16"/>
                <w:b w:val="1"/>
                <w:bCs w:val="1"/>
                <w:color w:val="auto"/>
              </w:rPr>
              <w:t>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9"/>
              </w:rPr>
              <w:t>of Options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of Options</w:t>
            </w:r>
          </w:p>
        </w:tc>
      </w:tr>
      <w:tr>
        <w:trPr>
          <w:trHeight w:val="201"/>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January 2, 2014</w:t>
            </w:r>
          </w:p>
        </w:tc>
        <w:tc>
          <w:tcPr>
            <w:tcW w:w="180" w:type="dxa"/>
            <w:vAlign w:val="bottom"/>
          </w:tcPr>
          <w:p>
            <w:pPr>
              <w:spacing w:after="0"/>
              <w:rPr>
                <w:sz w:val="17"/>
                <w:szCs w:val="17"/>
                <w:color w:val="auto"/>
              </w:rPr>
            </w:pPr>
          </w:p>
        </w:tc>
        <w:tc>
          <w:tcPr>
            <w:tcW w:w="12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183,487</w:t>
            </w:r>
          </w:p>
        </w:tc>
        <w:tc>
          <w:tcPr>
            <w:tcW w:w="3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1.60</w:t>
            </w:r>
          </w:p>
        </w:tc>
        <w:tc>
          <w:tcPr>
            <w:tcW w:w="340" w:type="dxa"/>
            <w:vAlign w:val="bottom"/>
          </w:tcPr>
          <w:p>
            <w:pPr>
              <w:spacing w:after="0"/>
              <w:rPr>
                <w:sz w:val="17"/>
                <w:szCs w:val="17"/>
                <w:color w:val="auto"/>
              </w:rPr>
            </w:pPr>
          </w:p>
        </w:tc>
        <w:tc>
          <w:tcPr>
            <w:tcW w:w="12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January 2, 2021</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April 27, 2014</w:t>
            </w:r>
          </w:p>
        </w:tc>
        <w:tc>
          <w:tcPr>
            <w:tcW w:w="1240" w:type="dxa"/>
            <w:vAlign w:val="bottom"/>
          </w:tcPr>
          <w:p>
            <w:pPr>
              <w:jc w:val="right"/>
              <w:spacing w:after="0"/>
              <w:rPr>
                <w:sz w:val="20"/>
                <w:szCs w:val="20"/>
                <w:color w:val="auto"/>
              </w:rPr>
            </w:pPr>
            <w:r>
              <w:rPr>
                <w:rFonts w:ascii="Arial" w:cs="Arial" w:eastAsia="Arial" w:hAnsi="Arial"/>
                <w:sz w:val="18"/>
                <w:szCs w:val="18"/>
                <w:color w:val="auto"/>
              </w:rPr>
              <w:t>650,992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April 27, 2021</w:t>
            </w:r>
          </w:p>
        </w:tc>
      </w:tr>
      <w:tr>
        <w:trPr>
          <w:trHeight w:val="216"/>
        </w:trPr>
        <w:tc>
          <w:tcPr>
            <w:tcW w:w="4220" w:type="dxa"/>
            <w:vAlign w:val="bottom"/>
            <w:gridSpan w:val="3"/>
          </w:tcPr>
          <w:p>
            <w:pPr>
              <w:spacing w:after="0"/>
              <w:rPr>
                <w:sz w:val="20"/>
                <w:szCs w:val="20"/>
                <w:color w:val="auto"/>
              </w:rPr>
            </w:pPr>
            <w:r>
              <w:rPr>
                <w:rFonts w:ascii="Arial" w:cs="Arial" w:eastAsia="Arial" w:hAnsi="Arial"/>
                <w:sz w:val="18"/>
                <w:szCs w:val="18"/>
                <w:color w:val="auto"/>
              </w:rPr>
              <w:t>July 10, 2014</w:t>
            </w:r>
          </w:p>
        </w:tc>
        <w:tc>
          <w:tcPr>
            <w:tcW w:w="1240" w:type="dxa"/>
            <w:vAlign w:val="bottom"/>
          </w:tcPr>
          <w:p>
            <w:pPr>
              <w:jc w:val="right"/>
              <w:spacing w:after="0"/>
              <w:rPr>
                <w:sz w:val="20"/>
                <w:szCs w:val="20"/>
                <w:color w:val="auto"/>
              </w:rPr>
            </w:pPr>
            <w:r>
              <w:rPr>
                <w:rFonts w:ascii="Arial" w:cs="Arial" w:eastAsia="Arial" w:hAnsi="Arial"/>
                <w:sz w:val="18"/>
                <w:szCs w:val="18"/>
                <w:color w:val="auto"/>
              </w:rPr>
              <w:t>106,435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July 10, 2024</w:t>
            </w: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October 6, 2014</w:t>
            </w:r>
          </w:p>
        </w:tc>
        <w:tc>
          <w:tcPr>
            <w:tcW w:w="1240" w:type="dxa"/>
            <w:vAlign w:val="bottom"/>
          </w:tcPr>
          <w:p>
            <w:pPr>
              <w:jc w:val="right"/>
              <w:spacing w:after="0"/>
              <w:rPr>
                <w:sz w:val="20"/>
                <w:szCs w:val="20"/>
                <w:color w:val="auto"/>
              </w:rPr>
            </w:pPr>
            <w:r>
              <w:rPr>
                <w:rFonts w:ascii="Arial" w:cs="Arial" w:eastAsia="Arial" w:hAnsi="Arial"/>
                <w:sz w:val="18"/>
                <w:szCs w:val="18"/>
                <w:color w:val="auto"/>
              </w:rPr>
              <w:t>94,614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October 6, 2024</w:t>
            </w: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52"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We have entered into written employment agreements with all of our executive officers.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officers and directors receive a severance payment of up to six months of their base salary upon termination of their employment. See “Certain Relationships and Related Party Transactions— Agreements and Arrangements with, and Compensation of, Directors and Executive Officers” for additional information.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ind w:left="120" w:right="119" w:firstLine="216"/>
        <w:spacing w:after="0" w:line="279"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are no longer granting options under the 2004 Plan because it was superceded by the 2012 Plan, although previously granted awards remain outstanding. As of March 16, 2015, we had options to purchase 1,096,668 ordinary shares outstanding under the 2004 Plan.</w:t>
      </w:r>
    </w:p>
    <w:p>
      <w:pPr>
        <w:spacing w:after="0" w:line="17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ind w:left="120" w:right="279" w:firstLine="216"/>
        <w:spacing w:after="0" w:line="342" w:lineRule="auto"/>
        <w:rPr>
          <w:sz w:val="20"/>
          <w:szCs w:val="20"/>
          <w:color w:val="auto"/>
        </w:rPr>
      </w:pPr>
      <w:r>
        <w:rPr>
          <w:rFonts w:ascii="Arial" w:cs="Arial" w:eastAsia="Arial" w:hAnsi="Arial"/>
          <w:sz w:val="16"/>
          <w:szCs w:val="16"/>
          <w:color w:val="auto"/>
        </w:rPr>
        <w:t>The 2004 Plan is administered by our board of directors or by a compensation committee appointed by the board of directors, which determines, subject to Israeli law, the grantees of awards and the terms of the grant, including, exercise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6" w:name="page87"/>
    <w:bookmarkEnd w:id="86"/>
    <w:p>
      <w:pPr>
        <w:jc w:val="both"/>
        <w:ind w:left="120" w:right="279"/>
        <w:spacing w:after="0" w:line="286" w:lineRule="auto"/>
        <w:rPr>
          <w:sz w:val="20"/>
          <w:szCs w:val="20"/>
          <w:color w:val="auto"/>
        </w:rPr>
      </w:pPr>
      <w:r>
        <w:rPr>
          <w:rFonts w:ascii="Arial" w:cs="Arial" w:eastAsia="Arial" w:hAnsi="Arial"/>
          <w:sz w:val="17"/>
          <w:szCs w:val="17"/>
          <w:color w:val="auto"/>
        </w:rPr>
        <w:t>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66"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225"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78" w:lineRule="exact"/>
        <w:rPr>
          <w:sz w:val="20"/>
          <w:szCs w:val="20"/>
          <w:color w:val="auto"/>
        </w:rPr>
      </w:pPr>
    </w:p>
    <w:p>
      <w:pPr>
        <w:ind w:left="120" w:right="139" w:firstLine="216"/>
        <w:spacing w:after="0" w:line="277" w:lineRule="auto"/>
        <w:rPr>
          <w:sz w:val="20"/>
          <w:szCs w:val="20"/>
          <w:color w:val="auto"/>
        </w:rPr>
      </w:pPr>
      <w:r>
        <w:rPr>
          <w:rFonts w:ascii="Arial" w:cs="Arial" w:eastAsia="Arial" w:hAnsi="Arial"/>
          <w:sz w:val="18"/>
          <w:szCs w:val="18"/>
          <w:color w:val="auto"/>
        </w:rPr>
        <w:t>Options may not be sold, assigned, pledged or otherwise disposed of by the participant who holds such options, except by will or the laws of descent.</w:t>
      </w:r>
    </w:p>
    <w:p>
      <w:pPr>
        <w:spacing w:after="0" w:line="170" w:lineRule="exact"/>
        <w:rPr>
          <w:sz w:val="20"/>
          <w:szCs w:val="20"/>
          <w:color w:val="auto"/>
        </w:rPr>
      </w:pPr>
    </w:p>
    <w:p>
      <w:pPr>
        <w:ind w:left="120" w:right="179" w:firstLine="216"/>
        <w:spacing w:after="0" w:line="293"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color w:val="auto"/>
        </w:rPr>
        <w:t>In October 2012, our board of directors adopted and our shareholders approved our 2012 Share Incentive Plan, or the 2012 Plan</w:t>
      </w:r>
      <w:r>
        <w:rPr>
          <w:rFonts w:ascii="Arial" w:cs="Arial" w:eastAsia="Arial" w:hAnsi="Arial"/>
          <w:sz w:val="17"/>
          <w:szCs w:val="17"/>
          <w:i w:val="1"/>
          <w:iCs w:val="1"/>
          <w:color w:val="auto"/>
        </w:rPr>
        <w:t>.</w:t>
      </w:r>
      <w:r>
        <w:rPr>
          <w:rFonts w:ascii="Arial" w:cs="Arial" w:eastAsia="Arial" w:hAnsi="Arial"/>
          <w:sz w:val="17"/>
          <w:szCs w:val="17"/>
          <w:color w:val="auto"/>
        </w:rPr>
        <w:t xml:space="preserve"> The 2012 Plan replaced our 2004 Plan. We are no longer granting options under the 2012 Plan because it was superceded by the 2015 Plan, although previously granted awards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March 16, 2015, we had options to purchase 1,693,644 ordinary shares outstanding under the 2012 Plan. Our board of directors may increase the number of shares available for future grant at any time.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120" w:right="139" w:firstLine="216"/>
        <w:spacing w:after="0" w:line="273" w:lineRule="auto"/>
        <w:rPr>
          <w:sz w:val="20"/>
          <w:szCs w:val="20"/>
          <w:color w:val="auto"/>
        </w:rPr>
      </w:pPr>
      <w:r>
        <w:rPr>
          <w:rFonts w:ascii="Arial" w:cs="Arial" w:eastAsia="Arial" w:hAnsi="Arial"/>
          <w:sz w:val="17"/>
          <w:szCs w:val="17"/>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78"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88"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7" w:lineRule="exact"/>
        <w:rPr>
          <w:sz w:val="20"/>
          <w:szCs w:val="20"/>
          <w:color w:val="auto"/>
        </w:rPr>
      </w:pPr>
    </w:p>
    <w:p>
      <w:pPr>
        <w:ind w:left="120" w:right="259" w:firstLine="216"/>
        <w:spacing w:after="0" w:line="277" w:lineRule="auto"/>
        <w:rPr>
          <w:sz w:val="20"/>
          <w:szCs w:val="20"/>
          <w:color w:val="auto"/>
        </w:rPr>
      </w:pPr>
      <w:r>
        <w:rPr>
          <w:rFonts w:ascii="Arial" w:cs="Arial" w:eastAsia="Arial" w:hAnsi="Arial"/>
          <w:sz w:val="18"/>
          <w:szCs w:val="18"/>
          <w:color w:val="auto"/>
        </w:rPr>
        <w:t>Awards under the 2012 Plan may be granted until 10 years from the date on which the 2012 Plan was adopted by our board of directors.</w:t>
      </w:r>
    </w:p>
    <w:p>
      <w:pPr>
        <w:spacing w:after="0" w:line="170"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73" w:lineRule="exact"/>
        <w:rPr>
          <w:sz w:val="20"/>
          <w:szCs w:val="20"/>
          <w:color w:val="auto"/>
        </w:rPr>
      </w:pPr>
    </w:p>
    <w:p>
      <w:pPr>
        <w:ind w:left="120" w:right="139" w:firstLine="216"/>
        <w:spacing w:after="0" w:line="268"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88" w:lineRule="exact"/>
        <w:rPr>
          <w:sz w:val="20"/>
          <w:szCs w:val="20"/>
          <w:color w:val="auto"/>
        </w:rPr>
      </w:pPr>
    </w:p>
    <w:p>
      <w:pPr>
        <w:ind w:left="120" w:right="179" w:firstLine="216"/>
        <w:spacing w:after="0" w:line="289"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7" w:lineRule="exact"/>
        <w:rPr>
          <w:sz w:val="20"/>
          <w:szCs w:val="20"/>
          <w:color w:val="auto"/>
        </w:rPr>
      </w:pPr>
    </w:p>
    <w:p>
      <w:pPr>
        <w:ind w:left="120" w:right="119" w:firstLine="216"/>
        <w:spacing w:after="0" w:line="273" w:lineRule="auto"/>
        <w:rPr>
          <w:sz w:val="20"/>
          <w:szCs w:val="20"/>
          <w:color w:val="auto"/>
        </w:rPr>
      </w:pPr>
      <w:r>
        <w:rPr>
          <w:rFonts w:ascii="Arial" w:cs="Arial" w:eastAsia="Arial" w:hAnsi="Arial"/>
          <w:sz w:val="17"/>
          <w:szCs w:val="17"/>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ind w:left="120"/>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lesser of: (x) 3% of the total number of shares outstanding on December 31 of the immediately preceding calendar year, (y) an amount determined by our board of directors, and (z) 1,965,930 shares. From and after the effective date of the 2015 Plan, no further grants or awards shall be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w:t>
      </w:r>
    </w:p>
    <w:p>
      <w:pPr>
        <w:spacing w:after="0" w:line="175" w:lineRule="exact"/>
        <w:rPr>
          <w:sz w:val="20"/>
          <w:szCs w:val="20"/>
          <w:color w:val="auto"/>
        </w:rPr>
      </w:pPr>
    </w:p>
    <w:p>
      <w:pPr>
        <w:ind w:left="120" w:right="439" w:firstLine="216"/>
        <w:spacing w:after="0" w:line="286" w:lineRule="auto"/>
        <w:rPr>
          <w:sz w:val="20"/>
          <w:szCs w:val="20"/>
          <w:color w:val="auto"/>
        </w:rPr>
      </w:pPr>
      <w:r>
        <w:rPr>
          <w:rFonts w:ascii="Arial" w:cs="Arial" w:eastAsia="Arial" w:hAnsi="Arial"/>
          <w:sz w:val="17"/>
          <w:szCs w:val="17"/>
          <w:color w:val="auto"/>
        </w:rPr>
        <w:t>Subject to applicable law, the 2015 Plan will be administered by our compensation committee which will have full authority in all matters related to the discharge of its responsibilities and the exercise of its authority under the plan. Awards under the 2015 Plan may be granted until 10 years after the effective date of the 2015 Plan.</w:t>
      </w:r>
    </w:p>
    <w:p>
      <w:pPr>
        <w:spacing w:after="0" w:line="166" w:lineRule="exact"/>
        <w:rPr>
          <w:sz w:val="20"/>
          <w:szCs w:val="20"/>
          <w:color w:val="auto"/>
        </w:rPr>
      </w:pPr>
    </w:p>
    <w:p>
      <w:pPr>
        <w:jc w:val="both"/>
        <w:ind w:left="120" w:right="219" w:firstLine="216"/>
        <w:spacing w:after="0" w:line="302" w:lineRule="auto"/>
        <w:rPr>
          <w:sz w:val="20"/>
          <w:szCs w:val="20"/>
          <w:color w:val="auto"/>
        </w:rPr>
      </w:pPr>
      <w:r>
        <w:rPr>
          <w:rFonts w:ascii="Arial" w:cs="Arial" w:eastAsia="Arial" w:hAnsi="Arial"/>
          <w:sz w:val="16"/>
          <w:szCs w:val="16"/>
          <w:color w:val="auto"/>
        </w:rPr>
        <w:t>The terms of options granted under the 2015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154" w:lineRule="exact"/>
        <w:rPr>
          <w:sz w:val="20"/>
          <w:szCs w:val="20"/>
          <w:color w:val="auto"/>
        </w:rPr>
      </w:pPr>
    </w:p>
    <w:p>
      <w:pPr>
        <w:ind w:left="120" w:right="119" w:firstLine="216"/>
        <w:spacing w:after="0" w:line="290" w:lineRule="auto"/>
        <w:rPr>
          <w:sz w:val="20"/>
          <w:szCs w:val="20"/>
          <w:color w:val="auto"/>
        </w:rPr>
      </w:pPr>
      <w:r>
        <w:rPr>
          <w:rFonts w:ascii="Arial" w:cs="Arial" w:eastAsia="Arial" w:hAnsi="Arial"/>
          <w:sz w:val="16"/>
          <w:szCs w:val="16"/>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66"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7"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Restricted share units are awards covering a number of hypothetical units with respect to shares that are granted subject to such vesting and transfer restrictions and conditions of payment as the compensation committee may determine in an award agreement. Restricted share units are payable in cash, ordinary shares of equivalent value or a combination thereof.</w:t>
      </w:r>
    </w:p>
    <w:p>
      <w:pPr>
        <w:spacing w:after="0" w:line="187" w:lineRule="exact"/>
        <w:rPr>
          <w:sz w:val="20"/>
          <w:szCs w:val="20"/>
          <w:color w:val="auto"/>
        </w:rPr>
      </w:pPr>
    </w:p>
    <w:p>
      <w:pPr>
        <w:ind w:left="120" w:right="379" w:firstLine="216"/>
        <w:spacing w:after="0" w:line="286" w:lineRule="auto"/>
        <w:rPr>
          <w:sz w:val="20"/>
          <w:szCs w:val="20"/>
          <w:color w:val="auto"/>
        </w:rPr>
      </w:pPr>
      <w:r>
        <w:rPr>
          <w:rFonts w:ascii="Arial" w:cs="Arial" w:eastAsia="Arial" w:hAnsi="Arial"/>
          <w:sz w:val="17"/>
          <w:szCs w:val="17"/>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66"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The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87" w:lineRule="exact"/>
        <w:rPr>
          <w:sz w:val="20"/>
          <w:szCs w:val="20"/>
          <w:color w:val="auto"/>
        </w:rPr>
      </w:pPr>
    </w:p>
    <w:p>
      <w:pPr>
        <w:ind w:left="120" w:right="219" w:firstLine="216"/>
        <w:spacing w:after="0" w:line="257" w:lineRule="auto"/>
        <w:rPr>
          <w:sz w:val="20"/>
          <w:szCs w:val="20"/>
          <w:color w:val="auto"/>
        </w:rPr>
      </w:pPr>
      <w:r>
        <w:rPr>
          <w:rFonts w:ascii="Arial" w:cs="Arial" w:eastAsia="Arial" w:hAnsi="Arial"/>
          <w:sz w:val="18"/>
          <w:szCs w:val="18"/>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 (i) adjusting the number of shares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9" w:name="page90"/>
    <w:bookmarkEnd w:id="89"/>
    <w:p>
      <w:pPr>
        <w:ind w:left="120" w:right="159"/>
        <w:spacing w:after="0" w:line="293" w:lineRule="auto"/>
        <w:rPr>
          <w:sz w:val="20"/>
          <w:szCs w:val="20"/>
          <w:color w:val="auto"/>
        </w:rPr>
      </w:pPr>
      <w:r>
        <w:rPr>
          <w:rFonts w:ascii="Arial" w:cs="Arial" w:eastAsia="Arial" w:hAnsi="Arial"/>
          <w:sz w:val="16"/>
          <w:szCs w:val="16"/>
          <w:color w:val="auto"/>
        </w:rPr>
        <w:t>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The 2015 Israeli Sub Plan provides for the grant by us of awards pursuant to Sections 102 and 3(i) of the Israeli Income Tax Ordinance, or the Ordinance, and the rules and regulations promulgated thereunder. The 2015 Israeli Sub Plan is effective with respect to awards granted as of 30 days from the date we submitted it to the Israeli Tax Authority, or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102(b)(2)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The 2015 U.S. Sub Plan applies to grantees that are subject to U.S. federal income tax. The 2015 U.S. Sub Plan provides that options granted to the U.S. grantees will either be incentive stock options pursuant to Section 422 of the Internal Revenue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Internal Revenue Code and provided that shares delivered pursuant to “substitute awards” shall reduce the shares available for issuance of incentive stock options under the 2015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2015 Plan and the terms and conditions of such awards shall be interpreted and administered accordingly.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120" w:right="179" w:firstLine="216"/>
        <w:spacing w:after="0" w:line="284" w:lineRule="auto"/>
        <w:rPr>
          <w:sz w:val="20"/>
          <w:szCs w:val="20"/>
          <w:color w:val="auto"/>
        </w:rPr>
      </w:pPr>
      <w:r>
        <w:rPr>
          <w:rFonts w:ascii="Arial" w:cs="Arial" w:eastAsia="Arial" w:hAnsi="Arial"/>
          <w:sz w:val="16"/>
          <w:szCs w:val="16"/>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receives on each pay day during the offering period. To date, we have not granted employees the right to make purchases under the plan. The number of shares initially reserved for purchase under the ESPP is 242,425 ordinary shares, which will be automatically increased annually on January 1 by a number of ordinary shares equal to the lesser of</w:t>
      </w:r>
    </w:p>
    <w:p>
      <w:pPr>
        <w:spacing w:after="0" w:line="5" w:lineRule="exact"/>
        <w:rPr>
          <w:sz w:val="20"/>
          <w:szCs w:val="20"/>
          <w:color w:val="auto"/>
        </w:rPr>
      </w:pPr>
    </w:p>
    <w:p>
      <w:pPr>
        <w:ind w:left="120" w:right="339" w:firstLine="5"/>
        <w:spacing w:after="0" w:line="255" w:lineRule="auto"/>
        <w:tabs>
          <w:tab w:leader="none" w:pos="3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90"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and after this offering by:</w:t>
      </w:r>
    </w:p>
    <w:p>
      <w:pPr>
        <w:spacing w:after="0" w:line="161" w:lineRule="exact"/>
        <w:rPr>
          <w:sz w:val="20"/>
          <w:szCs w:val="20"/>
          <w:color w:val="auto"/>
        </w:rPr>
      </w:pPr>
    </w:p>
    <w:p>
      <w:pPr>
        <w:ind w:left="540" w:hanging="199"/>
        <w:spacing w:after="0"/>
        <w:tabs>
          <w:tab w:leader="none" w:pos="540" w:val="left"/>
        </w:tabs>
        <w:numPr>
          <w:ilvl w:val="0"/>
          <w:numId w:val="64"/>
        </w:numPr>
        <w:rPr>
          <w:rFonts w:ascii="Arial" w:cs="Arial" w:eastAsia="Arial" w:hAnsi="Arial"/>
          <w:sz w:val="22"/>
          <w:szCs w:val="22"/>
          <w:color w:val="auto"/>
        </w:rPr>
      </w:pPr>
      <w:r>
        <w:rPr>
          <w:rFonts w:ascii="Arial" w:cs="Arial" w:eastAsia="Arial" w:hAnsi="Arial"/>
          <w:sz w:val="18"/>
          <w:szCs w:val="18"/>
          <w:color w:val="auto"/>
        </w:rPr>
        <w:t>each person or entity known by us to own beneficially 5% or more of our outstanding ordinary shares;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4"/>
        </w:numPr>
        <w:rPr>
          <w:rFonts w:ascii="Arial" w:cs="Arial" w:eastAsia="Arial" w:hAnsi="Arial"/>
          <w:sz w:val="22"/>
          <w:szCs w:val="22"/>
          <w:color w:val="auto"/>
        </w:rPr>
      </w:pPr>
      <w:r>
        <w:rPr>
          <w:rFonts w:ascii="Arial" w:cs="Arial" w:eastAsia="Arial" w:hAnsi="Arial"/>
          <w:sz w:val="18"/>
          <w:szCs w:val="18"/>
          <w:color w:val="auto"/>
        </w:rPr>
        <w:t>each of our directors and executive officers individually; and</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all of our executive officers and directors as a group.</w:t>
      </w:r>
    </w:p>
    <w:p>
      <w:pPr>
        <w:spacing w:after="0" w:line="202"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March 16, 2015 to be outstanding and to be beneficially owned by the person holding the options for the purposes of computing the percentage ownership of that person, but we do not treat them as outstanding for the purpose of computing the percentage ownership of any other person. The percentage of ordinary shares beneficially owned prior to the offering is based on 21,601,965 ordinary shares outstanding as of March 16, 2015,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not aware of any U.S. persons that are holders of record of our shares as of March 16, 2015.</w:t>
      </w:r>
    </w:p>
    <w:p>
      <w:pPr>
        <w:spacing w:after="0" w:line="225" w:lineRule="exact"/>
        <w:rPr>
          <w:sz w:val="20"/>
          <w:szCs w:val="20"/>
          <w:color w:val="auto"/>
        </w:rPr>
      </w:pPr>
    </w:p>
    <w:p>
      <w:pPr>
        <w:ind w:left="120" w:right="639" w:firstLine="216"/>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 Ha’Ayin 4809246, Israel.</w:t>
      </w:r>
    </w:p>
    <w:p>
      <w:pPr>
        <w:spacing w:after="0" w:line="170" w:lineRule="exact"/>
        <w:rPr>
          <w:sz w:val="20"/>
          <w:szCs w:val="20"/>
          <w:color w:val="auto"/>
        </w:rPr>
      </w:pPr>
    </w:p>
    <w:p>
      <w:pPr>
        <w:ind w:left="120" w:right="239" w:firstLine="216"/>
        <w:spacing w:after="0" w:line="342" w:lineRule="auto"/>
        <w:rPr>
          <w:sz w:val="20"/>
          <w:szCs w:val="20"/>
          <w:color w:val="auto"/>
        </w:rPr>
      </w:pPr>
      <w:r>
        <w:rPr>
          <w:rFonts w:ascii="Arial" w:cs="Arial" w:eastAsia="Arial" w:hAnsi="Arial"/>
          <w:sz w:val="16"/>
          <w:szCs w:val="16"/>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Number and Percentage of</w:t>
            </w:r>
          </w:p>
        </w:tc>
        <w:tc>
          <w:tcPr>
            <w:tcW w:w="23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Ordinary Shares Beneficially</w:t>
            </w:r>
          </w:p>
        </w:tc>
        <w:tc>
          <w:tcPr>
            <w:tcW w:w="23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4"/>
              </w:rPr>
              <w:t>Owned Prior to Offering</w:t>
            </w:r>
          </w:p>
        </w:tc>
        <w:tc>
          <w:tcPr>
            <w:tcW w:w="23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5"/>
              </w:rPr>
              <w:t>After the Offering</w:t>
            </w:r>
          </w:p>
        </w:tc>
      </w:tr>
      <w:tr>
        <w:trPr>
          <w:trHeight w:val="188"/>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Assuming</w:t>
            </w: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Assuming</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Full</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No Exercise</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of the Over-</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the Over-</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Allotment</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Allotment</w:t>
            </w:r>
          </w:p>
        </w:tc>
      </w:tr>
      <w:tr>
        <w:trPr>
          <w:trHeight w:val="210"/>
        </w:trPr>
        <w:tc>
          <w:tcPr>
            <w:tcW w:w="39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2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Percent</w:t>
            </w: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Option</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Option</w:t>
            </w:r>
          </w:p>
        </w:tc>
      </w:tr>
      <w:tr>
        <w:trPr>
          <w:trHeight w:val="201"/>
        </w:trPr>
        <w:tc>
          <w:tcPr>
            <w:tcW w:w="20" w:type="dxa"/>
            <w:vAlign w:val="bottom"/>
          </w:tcPr>
          <w:p>
            <w:pPr>
              <w:spacing w:after="0"/>
              <w:rPr>
                <w:sz w:val="17"/>
                <w:szCs w:val="17"/>
                <w:color w:val="auto"/>
              </w:rPr>
            </w:pPr>
          </w:p>
        </w:tc>
        <w:tc>
          <w:tcPr>
            <w:tcW w:w="3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5% or Greater Shareholders</w:t>
            </w: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15,037,481</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Gavriel Weinshtock</w:t>
            </w:r>
            <w:r>
              <w:rPr>
                <w:rFonts w:ascii="Arial" w:cs="Arial" w:eastAsia="Arial" w:hAnsi="Arial"/>
                <w:sz w:val="23"/>
                <w:szCs w:val="23"/>
                <w:color w:val="auto"/>
                <w:vertAlign w:val="superscript"/>
              </w:rPr>
              <w:t>(2)</w:t>
            </w:r>
          </w:p>
        </w:tc>
        <w:tc>
          <w:tcPr>
            <w:tcW w:w="960" w:type="dxa"/>
            <w:vAlign w:val="bottom"/>
          </w:tcPr>
          <w:p>
            <w:pPr>
              <w:jc w:val="right"/>
              <w:spacing w:after="0"/>
              <w:rPr>
                <w:sz w:val="20"/>
                <w:szCs w:val="20"/>
                <w:color w:val="auto"/>
              </w:rPr>
            </w:pPr>
            <w:r>
              <w:rPr>
                <w:rFonts w:ascii="Arial" w:cs="Arial" w:eastAsia="Arial" w:hAnsi="Arial"/>
                <w:sz w:val="18"/>
                <w:szCs w:val="18"/>
                <w:color w:val="auto"/>
              </w:rPr>
              <w:t>1,349,414</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Yossef Nuriel</w:t>
            </w:r>
            <w:r>
              <w:rPr>
                <w:rFonts w:ascii="Arial" w:cs="Arial" w:eastAsia="Arial" w:hAnsi="Arial"/>
                <w:sz w:val="23"/>
                <w:szCs w:val="23"/>
                <w:color w:val="auto"/>
                <w:vertAlign w:val="superscript"/>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1,264,027</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319"/>
        </w:trPr>
        <w:tc>
          <w:tcPr>
            <w:tcW w:w="3920" w:type="dxa"/>
            <w:vAlign w:val="bottom"/>
            <w:gridSpan w:val="3"/>
          </w:tcPr>
          <w:p>
            <w:pPr>
              <w:spacing w:after="0"/>
              <w:rPr>
                <w:sz w:val="20"/>
                <w:szCs w:val="20"/>
                <w:color w:val="auto"/>
              </w:rPr>
            </w:pPr>
            <w:r>
              <w:rPr>
                <w:rFonts w:ascii="Arial" w:cs="Arial" w:eastAsia="Arial" w:hAnsi="Arial"/>
                <w:sz w:val="18"/>
                <w:szCs w:val="18"/>
                <w:color w:val="auto"/>
              </w:rPr>
              <w:t>Yahel (Nur Group) Holdings Ltd.</w:t>
            </w:r>
            <w:r>
              <w:rPr>
                <w:rFonts w:ascii="Arial" w:cs="Arial" w:eastAsia="Arial" w:hAnsi="Arial"/>
                <w:sz w:val="23"/>
                <w:szCs w:val="23"/>
                <w:color w:val="auto"/>
                <w:vertAlign w:val="superscript"/>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1,095,789</w:t>
            </w:r>
          </w:p>
        </w:tc>
        <w:tc>
          <w:tcPr>
            <w:tcW w:w="30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330"/>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Yuval Cohen</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15,037,481</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Ofer Ben-Zur</w:t>
            </w:r>
            <w:r>
              <w:rPr>
                <w:rFonts w:ascii="Arial" w:cs="Arial" w:eastAsia="Arial" w:hAnsi="Arial"/>
                <w:sz w:val="23"/>
                <w:szCs w:val="23"/>
                <w:color w:val="auto"/>
                <w:vertAlign w:val="superscript"/>
              </w:rPr>
              <w:t>(5)</w:t>
            </w:r>
          </w:p>
        </w:tc>
        <w:tc>
          <w:tcPr>
            <w:tcW w:w="960" w:type="dxa"/>
            <w:vAlign w:val="bottom"/>
          </w:tcPr>
          <w:p>
            <w:pPr>
              <w:jc w:val="right"/>
              <w:spacing w:after="0"/>
              <w:rPr>
                <w:sz w:val="20"/>
                <w:szCs w:val="20"/>
                <w:color w:val="auto"/>
              </w:rPr>
            </w:pPr>
            <w:r>
              <w:rPr>
                <w:rFonts w:ascii="Arial" w:cs="Arial" w:eastAsia="Arial" w:hAnsi="Arial"/>
                <w:sz w:val="18"/>
                <w:szCs w:val="18"/>
                <w:color w:val="auto"/>
              </w:rPr>
              <w:t>1,487,488</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Eli Blatt</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15,037,481</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3920" w:type="dxa"/>
            <w:vAlign w:val="bottom"/>
            <w:gridSpan w:val="3"/>
          </w:tcPr>
          <w:p>
            <w:pPr>
              <w:spacing w:after="0" w:line="216" w:lineRule="exact"/>
              <w:rPr>
                <w:sz w:val="20"/>
                <w:szCs w:val="20"/>
                <w:color w:val="auto"/>
              </w:rPr>
            </w:pPr>
            <w:r>
              <w:rPr>
                <w:rFonts w:ascii="Arial" w:cs="Arial" w:eastAsia="Arial" w:hAnsi="Arial"/>
                <w:sz w:val="18"/>
                <w:szCs w:val="18"/>
                <w:color w:val="auto"/>
              </w:rPr>
              <w:t>Marc Lesnick</w:t>
            </w:r>
            <w:r>
              <w:rPr>
                <w:rFonts w:ascii="Arial" w:cs="Arial" w:eastAsia="Arial" w:hAnsi="Arial"/>
                <w:sz w:val="23"/>
                <w:szCs w:val="23"/>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8"/>
                <w:szCs w:val="18"/>
                <w:color w:val="auto"/>
              </w:rPr>
              <w:t>15,037,481</w:t>
            </w:r>
          </w:p>
        </w:tc>
        <w:tc>
          <w:tcPr>
            <w:tcW w:w="3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69.6%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Lauri Hanover</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Alon Lumbroso</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Jerry Mandel</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Dov Ofer</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Gabi Seligsohn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r>
        <w:trPr>
          <w:trHeight w:val="284"/>
        </w:trPr>
        <w:tc>
          <w:tcPr>
            <w:tcW w:w="20" w:type="dxa"/>
            <w:vAlign w:val="bottom"/>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88</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1" w:name="page92"/>
    <w:bookmarkEnd w:id="91"/>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Number and Percentage of</w:t>
            </w:r>
          </w:p>
        </w:tc>
        <w:tc>
          <w:tcPr>
            <w:tcW w:w="23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Ordinary Shares Beneficially</w:t>
            </w:r>
          </w:p>
        </w:tc>
        <w:tc>
          <w:tcPr>
            <w:tcW w:w="236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4"/>
              </w:rPr>
              <w:t>Owned Prior to Offering</w:t>
            </w:r>
          </w:p>
        </w:tc>
        <w:tc>
          <w:tcPr>
            <w:tcW w:w="236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5"/>
              </w:rPr>
              <w:t>After the Offering</w:t>
            </w:r>
          </w:p>
        </w:tc>
      </w:tr>
      <w:tr>
        <w:trPr>
          <w:trHeight w:val="188"/>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Assuming</w:t>
            </w:r>
          </w:p>
        </w:tc>
        <w:tc>
          <w:tcPr>
            <w:tcW w:w="1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Assuming</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8"/>
              </w:rPr>
              <w:t>Full</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No Exercise</w:t>
            </w:r>
          </w:p>
        </w:tc>
        <w:tc>
          <w:tcPr>
            <w:tcW w:w="11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of the Over-</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the Over-</w:t>
            </w:r>
          </w:p>
        </w:tc>
      </w:tr>
      <w:tr>
        <w:trPr>
          <w:trHeight w:val="203"/>
        </w:trPr>
        <w:tc>
          <w:tcPr>
            <w:tcW w:w="2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Allotment</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Allotment</w:t>
            </w:r>
          </w:p>
        </w:tc>
      </w:tr>
      <w:tr>
        <w:trPr>
          <w:trHeight w:val="210"/>
        </w:trPr>
        <w:tc>
          <w:tcPr>
            <w:tcW w:w="392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Number</w:t>
            </w:r>
          </w:p>
        </w:tc>
        <w:tc>
          <w:tcPr>
            <w:tcW w:w="12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Percent</w:t>
            </w: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Option</w:t>
            </w:r>
          </w:p>
        </w:tc>
        <w:tc>
          <w:tcPr>
            <w:tcW w:w="11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6"/>
              </w:rPr>
              <w:t>Option</w:t>
            </w:r>
          </w:p>
        </w:tc>
      </w:tr>
      <w:tr>
        <w:trPr>
          <w:trHeight w:val="201"/>
        </w:trPr>
        <w:tc>
          <w:tcPr>
            <w:tcW w:w="20" w:type="dxa"/>
            <w:vAlign w:val="bottom"/>
          </w:tcPr>
          <w:p>
            <w:pPr>
              <w:spacing w:after="0"/>
              <w:rPr>
                <w:sz w:val="17"/>
                <w:szCs w:val="17"/>
                <w:color w:val="auto"/>
              </w:rPr>
            </w:pPr>
          </w:p>
        </w:tc>
        <w:tc>
          <w:tcPr>
            <w:tcW w:w="37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Guy Avidan</w:t>
            </w:r>
          </w:p>
        </w:tc>
        <w:tc>
          <w:tcPr>
            <w:tcW w:w="14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Sarel Ashkenazy</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Guy Zimmerman</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2"/>
        </w:trPr>
        <w:tc>
          <w:tcPr>
            <w:tcW w:w="392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b w:val="1"/>
                <w:bCs w:val="1"/>
                <w:color w:val="auto"/>
                <w:w w:val="96"/>
              </w:rPr>
              <w:t>All Directors and Executive Officers as a Group</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3920" w:type="dxa"/>
            <w:vAlign w:val="bottom"/>
            <w:gridSpan w:val="3"/>
          </w:tcPr>
          <w:p>
            <w:pPr>
              <w:spacing w:after="0" w:line="220" w:lineRule="exact"/>
              <w:rPr>
                <w:sz w:val="20"/>
                <w:szCs w:val="20"/>
                <w:color w:val="auto"/>
              </w:rPr>
            </w:pPr>
            <w:r>
              <w:rPr>
                <w:rFonts w:ascii="Arial" w:cs="Arial" w:eastAsia="Arial" w:hAnsi="Arial"/>
                <w:sz w:val="18"/>
                <w:szCs w:val="18"/>
                <w:b w:val="1"/>
                <w:bCs w:val="1"/>
                <w:color w:val="auto"/>
              </w:rPr>
              <w:t>(14 persons)</w:t>
            </w:r>
            <w:r>
              <w:rPr>
                <w:rFonts w:ascii="Arial" w:cs="Arial" w:eastAsia="Arial" w:hAnsi="Arial"/>
                <w:sz w:val="23"/>
                <w:szCs w:val="23"/>
                <w:b w:val="1"/>
                <w:bCs w:val="1"/>
                <w:color w:val="auto"/>
                <w:vertAlign w:val="superscript"/>
              </w:rPr>
              <w:t>(6)</w:t>
            </w:r>
          </w:p>
        </w:tc>
        <w:tc>
          <w:tcPr>
            <w:tcW w:w="960" w:type="dxa"/>
            <w:vAlign w:val="bottom"/>
          </w:tcPr>
          <w:p>
            <w:pPr>
              <w:jc w:val="right"/>
              <w:spacing w:after="0"/>
              <w:rPr>
                <w:sz w:val="20"/>
                <w:szCs w:val="20"/>
                <w:color w:val="auto"/>
              </w:rPr>
            </w:pPr>
            <w:r>
              <w:rPr>
                <w:rFonts w:ascii="Arial" w:cs="Arial" w:eastAsia="Arial" w:hAnsi="Arial"/>
                <w:sz w:val="18"/>
                <w:szCs w:val="18"/>
                <w:color w:val="auto"/>
              </w:rPr>
              <w:t>16,887,099</w:t>
            </w: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58.1%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________________</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   Less than 1%</w:t>
            </w: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ind w:left="440" w:right="219" w:hanging="315"/>
        <w:spacing w:after="0" w:line="281" w:lineRule="auto"/>
        <w:tabs>
          <w:tab w:leader="none" w:pos="4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Consists of 2,408,740 ordinary shares and 12,628,741 ordinary shares issuable upon the conversion of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and Marc Lesnick are members of the investment committee of Fortissimo Capital and share voting and dispositive power with respect to such shares. The principal address of Fortissimo Capital is 14 Hamelacha Street, Park Afek, Rosh Ha’Ayin 48091, Israel.</w:t>
      </w:r>
    </w:p>
    <w:p>
      <w:pPr>
        <w:spacing w:after="0" w:line="4" w:lineRule="exact"/>
        <w:rPr>
          <w:rFonts w:ascii="Arial" w:cs="Arial" w:eastAsia="Arial" w:hAnsi="Arial"/>
          <w:sz w:val="16"/>
          <w:szCs w:val="16"/>
          <w:color w:val="auto"/>
        </w:rPr>
      </w:pPr>
    </w:p>
    <w:p>
      <w:pPr>
        <w:ind w:left="440" w:hanging="315"/>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principal address of Mr. Weinshtock is 10 Bertonov Street, Petach Tikva, Israel.</w:t>
      </w:r>
    </w:p>
    <w:p>
      <w:pPr>
        <w:spacing w:after="0" w:line="9" w:lineRule="exact"/>
        <w:rPr>
          <w:rFonts w:ascii="Arial" w:cs="Arial" w:eastAsia="Arial" w:hAnsi="Arial"/>
          <w:sz w:val="18"/>
          <w:szCs w:val="18"/>
          <w:color w:val="auto"/>
        </w:rPr>
      </w:pPr>
    </w:p>
    <w:p>
      <w:pPr>
        <w:ind w:left="440" w:hanging="315"/>
        <w:spacing w:after="0"/>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principal address of Mr. Nuriel is 10 Ein Gedi Street, Ganei Tikva, Israel.</w:t>
      </w:r>
    </w:p>
    <w:p>
      <w:pPr>
        <w:spacing w:after="0" w:line="9" w:lineRule="exact"/>
        <w:rPr>
          <w:rFonts w:ascii="Arial" w:cs="Arial" w:eastAsia="Arial" w:hAnsi="Arial"/>
          <w:sz w:val="18"/>
          <w:szCs w:val="18"/>
          <w:color w:val="auto"/>
        </w:rPr>
      </w:pPr>
    </w:p>
    <w:p>
      <w:pPr>
        <w:ind w:left="440" w:right="579" w:hanging="315"/>
        <w:spacing w:after="0" w:line="250"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principal address of Yahel (Nur Group) Holdings Ltd., or Yahel, is 5 David Navon St., Magshimim, Israel. Substantially all of the shares of Yahel are held by Zevik Nur.</w:t>
      </w:r>
    </w:p>
    <w:p>
      <w:pPr>
        <w:ind w:left="440" w:right="259" w:hanging="315"/>
        <w:spacing w:after="0" w:line="250"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1,467,829 ordinary shares and options to purchase 19,659 ordinary shares exercisable within 60 days of March 16, 2015.</w:t>
      </w:r>
    </w:p>
    <w:p>
      <w:pPr>
        <w:ind w:left="440" w:right="279" w:hanging="315"/>
        <w:spacing w:after="0" w:line="261" w:lineRule="auto"/>
        <w:tabs>
          <w:tab w:leader="none" w:pos="4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Consists of 16,541,847 ordinary shares and options to purchase 345,252 ordinary shares exercisable within 60 days of March 16, 2015.</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2" w:name="page93"/>
    <w:bookmarkEnd w:id="92"/>
    <w:p>
      <w:pPr>
        <w:jc w:val="center"/>
        <w:ind w:right="-2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99" w:firstLine="216"/>
        <w:spacing w:after="0" w:line="272"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officers, holders of more than 5% of our voting securities or any member of the immediate family of any of the foregoing persons.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Related Parties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12"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i w:val="1"/>
          <w:iCs w:val="1"/>
          <w:color w:val="auto"/>
        </w:rPr>
        <w:t xml:space="preserve">Original Rounds of Financing. </w:t>
      </w:r>
      <w:r>
        <w:rPr>
          <w:rFonts w:ascii="Arial" w:cs="Arial" w:eastAsia="Arial" w:hAnsi="Arial"/>
          <w:sz w:val="17"/>
          <w:szCs w:val="17"/>
          <w:color w:val="auto"/>
        </w:rPr>
        <w:t>Since our founding, we have raised capital through equity financings. Between 2002</w:t>
      </w:r>
      <w:r>
        <w:rPr>
          <w:rFonts w:ascii="Arial" w:cs="Arial" w:eastAsia="Arial" w:hAnsi="Arial"/>
          <w:sz w:val="17"/>
          <w:szCs w:val="17"/>
          <w:i w:val="1"/>
          <w:iCs w:val="1"/>
          <w:color w:val="auto"/>
        </w:rPr>
        <w:t xml:space="preserve"> </w:t>
      </w:r>
      <w:r>
        <w:rPr>
          <w:rFonts w:ascii="Arial" w:cs="Arial" w:eastAsia="Arial" w:hAnsi="Arial"/>
          <w:sz w:val="17"/>
          <w:szCs w:val="17"/>
          <w:color w:val="auto"/>
        </w:rPr>
        <w:t>and 2011, we raised capital through sales of our ordinary shares and Series A and A-1 preferred shares.</w:t>
      </w:r>
    </w:p>
    <w:p>
      <w:pPr>
        <w:spacing w:after="0" w:line="133"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Series A-1 Financing. </w:t>
      </w:r>
      <w:r>
        <w:rPr>
          <w:rFonts w:ascii="Arial" w:cs="Arial" w:eastAsia="Arial" w:hAnsi="Arial"/>
          <w:sz w:val="17"/>
          <w:szCs w:val="17"/>
          <w:color w:val="auto"/>
        </w:rPr>
        <w:t>In 2011, we sold Series A-1 preferred shares convertible into 3,946,473 ordinary shares at a price</w:t>
      </w:r>
      <w:r>
        <w:rPr>
          <w:rFonts w:ascii="Arial" w:cs="Arial" w:eastAsia="Arial" w:hAnsi="Arial"/>
          <w:sz w:val="17"/>
          <w:szCs w:val="17"/>
          <w:i w:val="1"/>
          <w:iCs w:val="1"/>
          <w:color w:val="auto"/>
        </w:rPr>
        <w:t xml:space="preserve"> </w:t>
      </w:r>
      <w:r>
        <w:rPr>
          <w:rFonts w:ascii="Arial" w:cs="Arial" w:eastAsia="Arial" w:hAnsi="Arial"/>
          <w:sz w:val="17"/>
          <w:szCs w:val="17"/>
          <w:color w:val="auto"/>
        </w:rPr>
        <w:t>per underlying preferred share of $1.2669 for an aggregate purchase price of approximately $5 million. Concurrently with this transaction, Fortissimo Capital purchased Series A-1 preferred shares convertible into 8,682,268 ordinary shares from certain of our shareholders at a price per underlying preferred share of $1.2669 for an aggregate purchase price of approximately $11 million (these shares were reclassified as Series A-1 preferred shares immediately prior to this transaction). Each Series A-1 preferred share will convert into 6.5531 ordinary shares upon the closing of this offering. The following table sets forth the number of ordinary shares resulting from conversion upon the closing of this offering of the Series A-1 preferred shares purchased by Fortissimo Capital:</w:t>
      </w:r>
    </w:p>
    <w:p>
      <w:pPr>
        <w:spacing w:after="0" w:line="152"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Number of</w:t>
      </w:r>
    </w:p>
    <w:p>
      <w:pPr>
        <w:spacing w:after="0" w:line="26"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Ordinary</w:t>
      </w:r>
    </w:p>
    <w:p>
      <w:pPr>
        <w:spacing w:after="0" w:line="19"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Shares</w:t>
      </w:r>
    </w:p>
    <w:p>
      <w:pPr>
        <w:spacing w:after="0" w:line="19"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Resulting from</w:t>
      </w:r>
    </w:p>
    <w:p>
      <w:pPr>
        <w:spacing w:after="0" w:line="19"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the Conversion</w:t>
      </w:r>
    </w:p>
    <w:p>
      <w:pPr>
        <w:spacing w:after="0" w:line="19" w:lineRule="exact"/>
        <w:rPr>
          <w:sz w:val="20"/>
          <w:szCs w:val="20"/>
          <w:color w:val="auto"/>
        </w:rPr>
      </w:pPr>
    </w:p>
    <w:p>
      <w:pPr>
        <w:jc w:val="center"/>
        <w:ind w:left="7220"/>
        <w:spacing w:after="0"/>
        <w:rPr>
          <w:sz w:val="20"/>
          <w:szCs w:val="20"/>
          <w:color w:val="auto"/>
        </w:rPr>
      </w:pPr>
      <w:r>
        <w:rPr>
          <w:rFonts w:ascii="Arial" w:cs="Arial" w:eastAsia="Arial" w:hAnsi="Arial"/>
          <w:sz w:val="16"/>
          <w:szCs w:val="16"/>
          <w:b w:val="1"/>
          <w:bCs w:val="1"/>
          <w:color w:val="auto"/>
        </w:rPr>
        <w:t>of Series A-1</w:t>
      </w:r>
    </w:p>
    <w:p>
      <w:pPr>
        <w:spacing w:after="0" w:line="19" w:lineRule="exact"/>
        <w:rPr>
          <w:sz w:val="20"/>
          <w:szCs w:val="20"/>
          <w:color w:val="auto"/>
        </w:rPr>
      </w:pPr>
    </w:p>
    <w:p>
      <w:pPr>
        <w:ind w:left="6180"/>
        <w:spacing w:after="0"/>
        <w:tabs>
          <w:tab w:leader="none" w:pos="7760" w:val="left"/>
        </w:tabs>
        <w:rPr>
          <w:sz w:val="20"/>
          <w:szCs w:val="20"/>
          <w:color w:val="auto"/>
        </w:rPr>
      </w:pPr>
      <w:r>
        <w:rPr>
          <w:rFonts w:ascii="Arial" w:cs="Arial" w:eastAsia="Arial" w:hAnsi="Arial"/>
          <w:sz w:val="16"/>
          <w:szCs w:val="16"/>
          <w:b w:val="1"/>
          <w:bCs w:val="1"/>
          <w:color w:val="auto"/>
        </w:rPr>
        <w:t>Aggregate</w:t>
      </w:r>
      <w:r>
        <w:rPr>
          <w:sz w:val="20"/>
          <w:szCs w:val="20"/>
          <w:color w:val="auto"/>
        </w:rPr>
        <w:tab/>
      </w:r>
      <w:r>
        <w:rPr>
          <w:rFonts w:ascii="Arial" w:cs="Arial" w:eastAsia="Arial" w:hAnsi="Arial"/>
          <w:sz w:val="16"/>
          <w:szCs w:val="16"/>
          <w:b w:val="1"/>
          <w:bCs w:val="1"/>
          <w:color w:val="auto"/>
        </w:rPr>
        <w:t>Preferred</w:t>
      </w:r>
    </w:p>
    <w:p>
      <w:pPr>
        <w:spacing w:after="0" w:line="19" w:lineRule="exact"/>
        <w:rPr>
          <w:sz w:val="20"/>
          <w:szCs w:val="20"/>
          <w:color w:val="auto"/>
        </w:rPr>
      </w:pPr>
    </w:p>
    <w:p>
      <w:pPr>
        <w:ind w:left="6020"/>
        <w:spacing w:after="0"/>
        <w:tabs>
          <w:tab w:leader="none" w:pos="7860" w:val="left"/>
        </w:tabs>
        <w:rPr>
          <w:sz w:val="20"/>
          <w:szCs w:val="20"/>
          <w:color w:val="auto"/>
        </w:rPr>
      </w:pPr>
      <w:r>
        <w:rPr>
          <w:rFonts w:ascii="Arial" w:cs="Arial" w:eastAsia="Arial" w:hAnsi="Arial"/>
          <w:sz w:val="16"/>
          <w:szCs w:val="16"/>
          <w:b w:val="1"/>
          <w:bCs w:val="1"/>
          <w:color w:val="auto"/>
        </w:rPr>
        <w:t>Purchase Price</w:t>
      </w:r>
      <w:r>
        <w:rPr>
          <w:sz w:val="20"/>
          <w:szCs w:val="20"/>
          <w:color w:val="auto"/>
        </w:rPr>
        <w:tab/>
      </w:r>
      <w:r>
        <w:rPr>
          <w:rFonts w:ascii="Arial" w:cs="Arial" w:eastAsia="Arial" w:hAnsi="Arial"/>
          <w:sz w:val="13"/>
          <w:szCs w:val="13"/>
          <w:b w:val="1"/>
          <w:bCs w:val="1"/>
          <w:color w:val="auto"/>
        </w:rPr>
        <w:t>Shares</w:t>
      </w:r>
    </w:p>
    <w:p>
      <w:pPr>
        <w:spacing w:after="0" w:line="24"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-116205</wp:posOffset>
            </wp:positionV>
            <wp:extent cx="17837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6" w:lineRule="exact"/>
        <w:rPr>
          <w:sz w:val="20"/>
          <w:szCs w:val="20"/>
          <w:color w:val="auto"/>
        </w:rPr>
      </w:pPr>
    </w:p>
    <w:p>
      <w:pPr>
        <w:ind w:left="120"/>
        <w:spacing w:after="0"/>
        <w:tabs>
          <w:tab w:leader="none" w:pos="5900" w:val="left"/>
          <w:tab w:leader="none" w:pos="6640" w:val="left"/>
          <w:tab w:leader="none" w:pos="7900" w:val="left"/>
        </w:tabs>
        <w:rPr>
          <w:sz w:val="20"/>
          <w:szCs w:val="20"/>
          <w:color w:val="auto"/>
        </w:rPr>
      </w:pPr>
      <w:r>
        <w:rPr>
          <w:rFonts w:ascii="Arial" w:cs="Arial" w:eastAsia="Arial" w:hAnsi="Arial"/>
          <w:sz w:val="18"/>
          <w:szCs w:val="18"/>
          <w:color w:val="auto"/>
        </w:rPr>
        <w:t>Fortissimo Capital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16,000</w:t>
      </w:r>
      <w:r>
        <w:rPr>
          <w:sz w:val="20"/>
          <w:szCs w:val="20"/>
          <w:color w:val="auto"/>
        </w:rPr>
        <w:tab/>
      </w:r>
      <w:r>
        <w:rPr>
          <w:rFonts w:ascii="Arial" w:cs="Arial" w:eastAsia="Arial" w:hAnsi="Arial"/>
          <w:sz w:val="15"/>
          <w:szCs w:val="15"/>
          <w:color w:val="auto"/>
        </w:rPr>
        <w:t>12,628,741</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8"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color w:val="auto"/>
        </w:rPr>
        <w:t>We are party to an amended and restated investors’ rights agreement, dated March 18, 2015, or the Investors’ Rights Agreement, with certain of our shareholders. The Investors’ Rights Agreement provides that certain holders of our ordinary shares and Series A-1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12"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2014, we recorded expenses for management fees paid to Fortissimo of $175,000, $120,000 and $160,000, respectively. The agreement may be terminated when our board of directors includes less than two directors appointed by</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3" w:name="page94"/>
    <w:bookmarkEnd w:id="93"/>
    <w:p>
      <w:pPr>
        <w:jc w:val="both"/>
        <w:ind w:left="120" w:right="219" w:firstLine="216"/>
        <w:spacing w:after="0" w:line="277" w:lineRule="auto"/>
        <w:rPr>
          <w:sz w:val="20"/>
          <w:szCs w:val="20"/>
          <w:color w:val="auto"/>
        </w:rPr>
      </w:pPr>
      <w:r>
        <w:rPr>
          <w:rFonts w:ascii="Arial" w:cs="Arial" w:eastAsia="Arial" w:hAnsi="Arial"/>
          <w:sz w:val="18"/>
          <w:szCs w:val="18"/>
          <w:color w:val="auto"/>
        </w:rPr>
        <w:t>Fortissimo Capital, and the agreement terminates automatically in the event that Fortissimo Capital holds less than 15% of our issued share capital.</w:t>
      </w:r>
    </w:p>
    <w:p>
      <w:pPr>
        <w:spacing w:after="0" w:line="157" w:lineRule="exact"/>
        <w:rPr>
          <w:sz w:val="20"/>
          <w:szCs w:val="20"/>
          <w:color w:val="auto"/>
        </w:rPr>
      </w:pPr>
    </w:p>
    <w:p>
      <w:pPr>
        <w:jc w:val="both"/>
        <w:ind w:left="120" w:right="219" w:firstLine="216"/>
        <w:spacing w:after="0" w:line="302" w:lineRule="auto"/>
        <w:rPr>
          <w:sz w:val="20"/>
          <w:szCs w:val="20"/>
          <w:color w:val="auto"/>
        </w:rPr>
      </w:pPr>
      <w:r>
        <w:rPr>
          <w:rFonts w:ascii="Arial" w:cs="Arial" w:eastAsia="Arial" w:hAnsi="Arial"/>
          <w:sz w:val="16"/>
          <w:szCs w:val="16"/>
          <w:color w:val="auto"/>
        </w:rPr>
        <w:t>We and Fortissimo Capital have agreed to terminate the management services agreement upon the consummation of this offering. As consideration for Fortissimo Capital’s agreement to terminate the management services agreement, we will make a one-time payment of $750,000 to Fortissimo Capital. Fortissimo Capital will receive no other compensation from us in connection with this offering or in connection with the management services agreement.</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Appointment</w:t>
      </w:r>
    </w:p>
    <w:p>
      <w:pPr>
        <w:spacing w:after="0" w:line="229"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Our current board of directors consists of nine directors. Pursuant to our articles of association in effect prior to this offering, certain of our shareholders had rights to appoint members of our board of directors. The following table sets forth the shareholders who are entitled to appoint board members and the number and identities of the members they appointed:</w:t>
      </w:r>
    </w:p>
    <w:p>
      <w:pPr>
        <w:spacing w:after="0" w:line="214"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Members</w:t>
            </w:r>
          </w:p>
        </w:tc>
        <w:tc>
          <w:tcPr>
            <w:tcW w:w="2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Members</w:t>
            </w:r>
          </w:p>
        </w:tc>
      </w:tr>
      <w:tr>
        <w:trPr>
          <w:trHeight w:val="210"/>
        </w:trPr>
        <w:tc>
          <w:tcPr>
            <w:tcW w:w="5440" w:type="dxa"/>
            <w:vAlign w:val="bottom"/>
            <w:gridSpan w:val="2"/>
          </w:tcPr>
          <w:p>
            <w:pPr>
              <w:ind w:left="2000"/>
              <w:spacing w:after="0"/>
              <w:rPr>
                <w:sz w:val="20"/>
                <w:szCs w:val="20"/>
                <w:color w:val="auto"/>
              </w:rPr>
            </w:pPr>
            <w:r>
              <w:rPr>
                <w:rFonts w:ascii="Arial" w:cs="Arial" w:eastAsia="Arial" w:hAnsi="Arial"/>
                <w:sz w:val="16"/>
                <w:szCs w:val="16"/>
                <w:b w:val="1"/>
                <w:bCs w:val="1"/>
                <w:color w:val="auto"/>
              </w:rPr>
              <w:t>Appointing Party</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Appointed</w:t>
            </w:r>
          </w:p>
        </w:tc>
        <w:tc>
          <w:tcPr>
            <w:tcW w:w="2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Appointed</w:t>
            </w:r>
          </w:p>
        </w:tc>
      </w:tr>
      <w:tr>
        <w:trPr>
          <w:trHeight w:val="60"/>
        </w:trPr>
        <w:tc>
          <w:tcPr>
            <w:tcW w:w="52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357"/>
        </w:trPr>
        <w:tc>
          <w:tcPr>
            <w:tcW w:w="5440" w:type="dxa"/>
            <w:vAlign w:val="bottom"/>
            <w:gridSpan w:val="2"/>
          </w:tcPr>
          <w:p>
            <w:pPr>
              <w:spacing w:after="0"/>
              <w:rPr>
                <w:sz w:val="20"/>
                <w:szCs w:val="20"/>
                <w:color w:val="auto"/>
              </w:rPr>
            </w:pPr>
            <w:r>
              <w:rPr>
                <w:rFonts w:ascii="Arial" w:cs="Arial" w:eastAsia="Arial" w:hAnsi="Arial"/>
                <w:sz w:val="18"/>
                <w:szCs w:val="18"/>
                <w:color w:val="auto"/>
              </w:rPr>
              <w:t>Fortissimo Capital</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Four</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Yuval Cohen, Eli</w:t>
            </w:r>
          </w:p>
        </w:tc>
      </w:tr>
      <w:tr>
        <w:trPr>
          <w:trHeight w:val="216"/>
        </w:trPr>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9"/>
              </w:rPr>
              <w:t>Blatt, Marc Lesnick</w:t>
            </w:r>
          </w:p>
        </w:tc>
      </w:tr>
      <w:tr>
        <w:trPr>
          <w:trHeight w:val="230"/>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w w:val="96"/>
              </w:rPr>
              <w:t>and Gabi Seligsohn</w:t>
            </w:r>
          </w:p>
        </w:tc>
      </w:tr>
      <w:tr>
        <w:trPr>
          <w:trHeight w:val="364"/>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Ofer Ben-Zur, together with other shareholders who are not directors,</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One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Ofer Ben-Zur</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officers or 5% shareholders provided such group holds 9% of our</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outstanding ordinary shares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4"/>
        </w:trPr>
        <w:tc>
          <w:tcPr>
            <w:tcW w:w="5440" w:type="dxa"/>
            <w:vAlign w:val="bottom"/>
            <w:gridSpan w:val="2"/>
          </w:tcPr>
          <w:p>
            <w:pPr>
              <w:spacing w:after="0"/>
              <w:rPr>
                <w:sz w:val="20"/>
                <w:szCs w:val="20"/>
                <w:color w:val="auto"/>
              </w:rPr>
            </w:pPr>
            <w:r>
              <w:rPr>
                <w:rFonts w:ascii="Arial" w:cs="Arial" w:eastAsia="Arial" w:hAnsi="Arial"/>
                <w:sz w:val="18"/>
                <w:szCs w:val="18"/>
                <w:color w:val="auto"/>
                <w:w w:val="95"/>
              </w:rPr>
              <w:t>Gavriel Weinshtock, Yossef Nuriel and Yahel (Nur Group) Holdings Ltd.</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One</w:t>
            </w:r>
          </w:p>
        </w:tc>
        <w:tc>
          <w:tcPr>
            <w:tcW w:w="1700" w:type="dxa"/>
            <w:vAlign w:val="bottom"/>
            <w:gridSpan w:val="2"/>
          </w:tcPr>
          <w:p>
            <w:pPr>
              <w:ind w:left="160"/>
              <w:spacing w:after="0"/>
              <w:rPr>
                <w:sz w:val="20"/>
                <w:szCs w:val="20"/>
                <w:color w:val="auto"/>
              </w:rPr>
            </w:pPr>
            <w:r>
              <w:rPr>
                <w:rFonts w:ascii="Arial" w:cs="Arial" w:eastAsia="Arial" w:hAnsi="Arial"/>
                <w:sz w:val="18"/>
                <w:szCs w:val="18"/>
                <w:color w:val="auto"/>
              </w:rPr>
              <w:t>None</w:t>
            </w: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(formerly Yahel Productions K.D.M. and Events Ltd.), together with</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w w:val="98"/>
              </w:rPr>
              <w:t>other shareholders who are not directors, officers or 5% shareholders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color w:val="auto"/>
              </w:rPr>
              <w:t>provided such group holds 9% of our outstanding ordinary shares</w:t>
            </w: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15"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All rights to appoint directors will terminate following the adoption of our amended and restated articles of association upon the closing of this offering, although the existing board members will continue to serve until the end of their respective terms absent their earlier resignation or removal.</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left="120" w:right="459" w:firstLine="216"/>
        <w:spacing w:after="0" w:line="297"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“Management—Share Incentive Plans”. “ If the relationship between us and an executive officer or a director is terminated, except for cause (as defined in the option plans), all options that are vested will generally remain exercisable for ninety days after such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4" w:name="page95"/>
    <w:bookmarkEnd w:id="94"/>
    <w:p>
      <w:pPr>
        <w:ind w:left="120" w:right="379" w:firstLine="216"/>
        <w:spacing w:after="0" w:line="264" w:lineRule="auto"/>
        <w:rPr>
          <w:sz w:val="20"/>
          <w:szCs w:val="20"/>
          <w:color w:val="auto"/>
        </w:rPr>
      </w:pPr>
      <w:r>
        <w:rPr>
          <w:rFonts w:ascii="Arial" w:cs="Arial" w:eastAsia="Arial" w:hAnsi="Arial"/>
          <w:sz w:val="18"/>
          <w:szCs w:val="18"/>
          <w:color w:val="auto"/>
        </w:rPr>
        <w:t>The following table provides information regarding the options to purchase our ordinary shares held by each of our directors and officers who beneficially owns greater than one percent of our ordinary shares immediately prior to the closing of this offering: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3"/>
              </w:rPr>
              <w:t>Underlying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ind w:left="1620"/>
              <w:spacing w:after="0"/>
              <w:rPr>
                <w:sz w:val="20"/>
                <w:szCs w:val="20"/>
                <w:color w:val="auto"/>
              </w:rPr>
            </w:pPr>
            <w:r>
              <w:rPr>
                <w:rFonts w:ascii="Arial" w:cs="Arial" w:eastAsia="Arial" w:hAnsi="Arial"/>
                <w:sz w:val="16"/>
                <w:szCs w:val="16"/>
                <w:b w:val="1"/>
                <w:bCs w:val="1"/>
                <w:color w:val="auto"/>
              </w:rPr>
              <w:t>Name/Title</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Options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6"/>
                <w:szCs w:val="16"/>
                <w:b w:val="1"/>
                <w:bCs w:val="1"/>
                <w:color w:val="auto"/>
              </w:rPr>
              <w:t>Exercise Price</w:t>
            </w:r>
          </w:p>
        </w:tc>
        <w:tc>
          <w:tcPr>
            <w:tcW w:w="1240" w:type="dxa"/>
            <w:vAlign w:val="bottom"/>
          </w:tcPr>
          <w:p>
            <w:pPr>
              <w:ind w:left="60"/>
              <w:spacing w:after="0"/>
              <w:rPr>
                <w:sz w:val="20"/>
                <w:szCs w:val="20"/>
                <w:color w:val="auto"/>
              </w:rPr>
            </w:pPr>
            <w:r>
              <w:rPr>
                <w:rFonts w:ascii="Arial" w:cs="Arial" w:eastAsia="Arial" w:hAnsi="Arial"/>
                <w:sz w:val="16"/>
                <w:szCs w:val="16"/>
                <w:b w:val="1"/>
                <w:bCs w:val="1"/>
                <w:color w:val="auto"/>
                <w:w w:val="98"/>
              </w:rPr>
              <w:t>Expiration Date</w:t>
            </w:r>
          </w:p>
        </w:tc>
      </w:tr>
      <w:tr>
        <w:trPr>
          <w:trHeight w:val="201"/>
        </w:trPr>
        <w:tc>
          <w:tcPr>
            <w:tcW w:w="20" w:type="dxa"/>
            <w:vAlign w:val="bottom"/>
          </w:tcPr>
          <w:p>
            <w:pPr>
              <w:spacing w:after="0"/>
              <w:rPr>
                <w:sz w:val="17"/>
                <w:szCs w:val="17"/>
                <w:color w:val="auto"/>
              </w:rPr>
            </w:pPr>
          </w:p>
        </w:tc>
        <w:tc>
          <w:tcPr>
            <w:tcW w:w="4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Ofer Ben-Zur, President and Chief Technology Officer</w:t>
            </w:r>
          </w:p>
        </w:tc>
        <w:tc>
          <w:tcPr>
            <w:tcW w:w="1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rPr>
              <w:t>and Director</w:t>
            </w:r>
          </w:p>
        </w:tc>
        <w:tc>
          <w:tcPr>
            <w:tcW w:w="1240" w:type="dxa"/>
            <w:vAlign w:val="bottom"/>
          </w:tcPr>
          <w:p>
            <w:pPr>
              <w:jc w:val="right"/>
              <w:spacing w:after="0"/>
              <w:rPr>
                <w:sz w:val="20"/>
                <w:szCs w:val="20"/>
                <w:color w:val="auto"/>
              </w:rPr>
            </w:pPr>
            <w:r>
              <w:rPr>
                <w:rFonts w:ascii="Arial" w:cs="Arial" w:eastAsia="Arial" w:hAnsi="Arial"/>
                <w:sz w:val="18"/>
                <w:szCs w:val="18"/>
                <w:color w:val="auto"/>
              </w:rPr>
              <w:t>19,659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0.36</w:t>
            </w:r>
          </w:p>
        </w:tc>
        <w:tc>
          <w:tcPr>
            <w:tcW w:w="340" w:type="dxa"/>
            <w:vAlign w:val="bottom"/>
          </w:tcPr>
          <w:p>
            <w:pPr>
              <w:spacing w:after="0"/>
              <w:rPr>
                <w:sz w:val="20"/>
                <w:szCs w:val="20"/>
                <w:color w:val="auto"/>
              </w:rPr>
            </w:pPr>
          </w:p>
        </w:tc>
        <w:tc>
          <w:tcPr>
            <w:tcW w:w="1240" w:type="dxa"/>
            <w:vAlign w:val="bottom"/>
          </w:tcPr>
          <w:p>
            <w:pPr>
              <w:ind w:left="40"/>
              <w:spacing w:after="0"/>
              <w:rPr>
                <w:sz w:val="20"/>
                <w:szCs w:val="20"/>
                <w:color w:val="auto"/>
              </w:rPr>
            </w:pPr>
            <w:r>
              <w:rPr>
                <w:rFonts w:ascii="Arial" w:cs="Arial" w:eastAsia="Arial" w:hAnsi="Arial"/>
                <w:sz w:val="18"/>
                <w:szCs w:val="18"/>
                <w:color w:val="auto"/>
                <w:w w:val="94"/>
              </w:rPr>
              <w:t>March 27, 2017</w:t>
            </w:r>
          </w:p>
        </w:tc>
      </w:tr>
      <w:tr>
        <w:trPr>
          <w:trHeight w:val="405"/>
        </w:trPr>
        <w:tc>
          <w:tcPr>
            <w:tcW w:w="4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Indemnification Agreements</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202"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95" w:name="page96"/>
    <w:bookmarkEnd w:id="95"/>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599" w:firstLine="216"/>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effective upon the completion of this offering are summaries and do not purport to be complete.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Upon the closing of this offering, our authorized share capital will consist of 200,000,000 ordinary shares, par value NIS 0.01 per share, of which 28,701,965 shares will be issued and outstanding (assuming that the underwriters do not exercise their option to purchase additional ordinary shares).</w:t>
      </w:r>
    </w:p>
    <w:p>
      <w:pPr>
        <w:spacing w:after="0" w:line="18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120" w:right="759" w:firstLine="216"/>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amended and restated articles of association is to engage in any lawful activity.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and Conversion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187"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 directors must consist of not less than five but no more than nine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 See “Management—Board Practices— External Directors.”</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6" w:name="page97"/>
    <w:bookmarkEnd w:id="96"/>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216"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6"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6"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202" w:lineRule="exact"/>
        <w:rPr>
          <w:sz w:val="20"/>
          <w:szCs w:val="20"/>
          <w:color w:val="auto"/>
        </w:rPr>
      </w:pPr>
    </w:p>
    <w:p>
      <w:pPr>
        <w:ind w:left="120" w:right="239" w:firstLine="216"/>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55" w:lineRule="exact"/>
        <w:rPr>
          <w:sz w:val="20"/>
          <w:szCs w:val="20"/>
          <w:color w:val="auto"/>
        </w:rPr>
      </w:pPr>
    </w:p>
    <w:p>
      <w:pPr>
        <w:ind w:left="120" w:right="239" w:firstLine="216"/>
        <w:spacing w:after="0" w:line="297" w:lineRule="auto"/>
        <w:rPr>
          <w:sz w:val="20"/>
          <w:szCs w:val="20"/>
          <w:color w:val="auto"/>
        </w:rPr>
      </w:pPr>
      <w:r>
        <w:rPr>
          <w:rFonts w:ascii="Arial" w:cs="Arial" w:eastAsia="Arial" w:hAnsi="Arial"/>
          <w:sz w:val="16"/>
          <w:szCs w:val="16"/>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149" w:lineRule="exact"/>
        <w:rPr>
          <w:sz w:val="20"/>
          <w:szCs w:val="20"/>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amendments to our articles of association;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appointment or termination of our auditors;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appointment of external directors;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approval of certain related party transactions;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increases or reductions of our authorized share capital;</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66"/>
        </w:numPr>
        <w:rPr>
          <w:rFonts w:ascii="Arial" w:cs="Arial" w:eastAsia="Arial" w:hAnsi="Arial"/>
          <w:sz w:val="22"/>
          <w:szCs w:val="22"/>
          <w:color w:val="auto"/>
        </w:rPr>
      </w:pPr>
      <w:r>
        <w:rPr>
          <w:rFonts w:ascii="Arial" w:cs="Arial" w:eastAsia="Arial" w:hAnsi="Arial"/>
          <w:sz w:val="18"/>
          <w:szCs w:val="18"/>
          <w:color w:val="auto"/>
        </w:rPr>
        <w:t>a merger; and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7" w:name="page98"/>
    <w:bookmarkEnd w:id="97"/>
    <w:p>
      <w:pPr>
        <w:ind w:left="560" w:right="119" w:hanging="219"/>
        <w:spacing w:after="0" w:line="232" w:lineRule="auto"/>
        <w:tabs>
          <w:tab w:leader="none" w:pos="534" w:val="left"/>
        </w:tabs>
        <w:numPr>
          <w:ilvl w:val="0"/>
          <w:numId w:val="67"/>
        </w:numPr>
        <w:rPr>
          <w:rFonts w:ascii="Arial" w:cs="Arial" w:eastAsia="Arial" w:hAnsi="Arial"/>
          <w:sz w:val="22"/>
          <w:szCs w:val="22"/>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63"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7"/>
          <w:szCs w:val="17"/>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44"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by way of written consent in lieu of a meeting.</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12"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12"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12"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216" w:lineRule="exact"/>
        <w:rPr>
          <w:sz w:val="20"/>
          <w:szCs w:val="20"/>
          <w:color w:val="auto"/>
        </w:rPr>
      </w:pPr>
    </w:p>
    <w:p>
      <w:pPr>
        <w:ind w:left="120" w:right="159" w:firstLine="216"/>
        <w:spacing w:after="0" w:line="342" w:lineRule="auto"/>
        <w:rPr>
          <w:sz w:val="20"/>
          <w:szCs w:val="20"/>
          <w:color w:val="auto"/>
        </w:rPr>
      </w:pPr>
      <w:r>
        <w:rPr>
          <w:rFonts w:ascii="Arial" w:cs="Arial" w:eastAsia="Arial" w:hAnsi="Arial"/>
          <w:sz w:val="16"/>
          <w:szCs w:val="16"/>
          <w:color w:val="auto"/>
        </w:rPr>
        <w:t>Under the Israeli Companies Law and our amended and restated articles of association, the rights attached to any class of share, such as voting, liquidation and dividend rights, may be amended by adoption of a resolution by the holders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8" w:name="page99"/>
    <w:bookmarkEnd w:id="98"/>
    <w:p>
      <w:pPr>
        <w:ind w:left="120" w:right="159"/>
        <w:spacing w:after="0" w:line="277" w:lineRule="auto"/>
        <w:rPr>
          <w:sz w:val="20"/>
          <w:szCs w:val="20"/>
          <w:color w:val="auto"/>
        </w:rPr>
      </w:pPr>
      <w:r>
        <w:rPr>
          <w:rFonts w:ascii="Arial" w:cs="Arial" w:eastAsia="Arial" w:hAnsi="Arial"/>
          <w:sz w:val="18"/>
          <w:szCs w:val="18"/>
          <w:color w:val="auto"/>
        </w:rPr>
        <w:t>majority of the shares of that class present at a separate class meeting, or otherwise in accordance with the rights attached to such class of shares, as set forth in our amended and restated articles of association.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We have entered into the Investors’ Rights Agreement with certain of our shareholders. Upon the closing of this offering, the holders of a total of 20,837,174 of our ordinary shares,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At any time after the closing of this offering, subject to any lock-up agreement entered into with the underwriters of this offering, Fortissimo Capital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jc w:val="both"/>
        <w:ind w:left="120" w:right="179" w:firstLine="216"/>
        <w:spacing w:after="0" w:line="312" w:lineRule="auto"/>
        <w:rPr>
          <w:sz w:val="20"/>
          <w:szCs w:val="20"/>
          <w:color w:val="auto"/>
        </w:rPr>
      </w:pPr>
      <w:r>
        <w:rPr>
          <w:rFonts w:ascii="Arial" w:cs="Arial" w:eastAsia="Arial" w:hAnsi="Arial"/>
          <w:sz w:val="16"/>
          <w:szCs w:val="16"/>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12" w:lineRule="exact"/>
        <w:rPr>
          <w:sz w:val="20"/>
          <w:szCs w:val="20"/>
          <w:color w:val="auto"/>
        </w:rPr>
      </w:pPr>
    </w:p>
    <w:p>
      <w:pPr>
        <w:ind w:left="120" w:right="299" w:firstLine="216"/>
        <w:spacing w:after="0" w:line="264" w:lineRule="auto"/>
        <w:rPr>
          <w:sz w:val="20"/>
          <w:szCs w:val="20"/>
          <w:color w:val="auto"/>
        </w:rPr>
      </w:pPr>
      <w:r>
        <w:rPr>
          <w:rFonts w:ascii="Arial" w:cs="Arial" w:eastAsia="Arial" w:hAnsi="Arial"/>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54" w:lineRule="exact"/>
        <w:rPr>
          <w:sz w:val="20"/>
          <w:szCs w:val="20"/>
          <w:color w:val="auto"/>
        </w:rPr>
      </w:pPr>
    </w:p>
    <w:p>
      <w:pPr>
        <w:jc w:val="both"/>
        <w:ind w:left="120" w:right="199" w:firstLine="216"/>
        <w:spacing w:after="0" w:line="342" w:lineRule="auto"/>
        <w:rPr>
          <w:sz w:val="20"/>
          <w:szCs w:val="20"/>
          <w:color w:val="auto"/>
        </w:rPr>
      </w:pPr>
      <w:r>
        <w:rPr>
          <w:rFonts w:ascii="Arial" w:cs="Arial" w:eastAsia="Arial" w:hAnsi="Arial"/>
          <w:sz w:val="16"/>
          <w:szCs w:val="16"/>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10" w:lineRule="exact"/>
        <w:rPr>
          <w:sz w:val="20"/>
          <w:szCs w:val="20"/>
          <w:color w:val="auto"/>
        </w:rPr>
      </w:pPr>
    </w:p>
    <w:p>
      <w:pPr>
        <w:jc w:val="both"/>
        <w:ind w:left="120" w:right="199" w:firstLine="216"/>
        <w:spacing w:after="0" w:line="302" w:lineRule="auto"/>
        <w:rPr>
          <w:sz w:val="20"/>
          <w:szCs w:val="20"/>
          <w:color w:val="auto"/>
        </w:rPr>
      </w:pPr>
      <w:r>
        <w:rPr>
          <w:rFonts w:ascii="Arial" w:cs="Arial" w:eastAsia="Arial" w:hAnsi="Arial"/>
          <w:sz w:val="16"/>
          <w:szCs w:val="16"/>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198" w:lineRule="exact"/>
        <w:rPr>
          <w:sz w:val="20"/>
          <w:szCs w:val="20"/>
          <w:color w:val="auto"/>
        </w:rPr>
      </w:pPr>
    </w:p>
    <w:p>
      <w:pPr>
        <w:ind w:left="120" w:right="139" w:firstLine="216"/>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73"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93"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67"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left="120" w:right="159" w:firstLine="216"/>
        <w:spacing w:after="0" w:line="312"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shareholder vote, unless a court rules otherwise, the merger will not be deemed approved if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majority of the votes of shares represented at the meeting of shareholders that are held by parties other than the other</w:t>
      </w:r>
    </w:p>
    <w:p>
      <w:pPr>
        <w:spacing w:after="0" w:line="32" w:lineRule="exact"/>
        <w:rPr>
          <w:sz w:val="20"/>
          <w:szCs w:val="20"/>
          <w:color w:val="auto"/>
        </w:rPr>
      </w:pPr>
    </w:p>
    <w:p>
      <w:pPr>
        <w:ind w:left="120" w:right="199"/>
        <w:spacing w:after="0" w:line="252" w:lineRule="auto"/>
        <w:rPr>
          <w:sz w:val="20"/>
          <w:szCs w:val="20"/>
          <w:color w:val="auto"/>
        </w:rPr>
      </w:pPr>
      <w:r>
        <w:rPr>
          <w:rFonts w:ascii="Arial" w:cs="Arial" w:eastAsia="Arial" w:hAnsi="Arial"/>
          <w:sz w:val="18"/>
          <w:szCs w:val="18"/>
          <w:color w:val="auto"/>
        </w:rPr>
        <w:t>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193"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58" w:lineRule="exact"/>
        <w:rPr>
          <w:sz w:val="20"/>
          <w:szCs w:val="20"/>
          <w:color w:val="auto"/>
        </w:rPr>
      </w:pPr>
    </w:p>
    <w:p>
      <w:pPr>
        <w:jc w:val="both"/>
        <w:ind w:left="120" w:right="319" w:firstLine="216"/>
        <w:spacing w:after="0" w:line="312"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7" w:lineRule="exact"/>
        <w:rPr>
          <w:sz w:val="20"/>
          <w:szCs w:val="20"/>
          <w:color w:val="auto"/>
        </w:rPr>
      </w:pPr>
    </w:p>
    <w:p>
      <w:pPr>
        <w:jc w:val="both"/>
        <w:ind w:left="120" w:right="219" w:firstLine="216"/>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left="120" w:right="179" w:firstLine="216"/>
        <w:spacing w:after="0" w:line="312"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1" w:name="page102"/>
    <w:bookmarkEnd w:id="101"/>
    <w:p>
      <w:pPr>
        <w:ind w:left="120" w:right="339"/>
        <w:spacing w:after="0" w:line="277" w:lineRule="auto"/>
        <w:rPr>
          <w:sz w:val="20"/>
          <w:szCs w:val="20"/>
          <w:color w:val="auto"/>
        </w:rPr>
      </w:pPr>
      <w:r>
        <w:rPr>
          <w:rFonts w:ascii="Arial" w:cs="Arial" w:eastAsia="Arial" w:hAnsi="Arial"/>
          <w:sz w:val="18"/>
          <w:szCs w:val="18"/>
          <w:color w:val="auto"/>
        </w:rPr>
        <w:t>payment of dividends in the absence of sufficient retained earnings or profits, require the approval of both our board of directors and an Israeli court.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right="679" w:firstLine="216"/>
        <w:spacing w:after="0" w:line="353" w:lineRule="auto"/>
        <w:rPr>
          <w:sz w:val="20"/>
          <w:szCs w:val="20"/>
          <w:color w:val="auto"/>
        </w:rPr>
      </w:pPr>
      <w:r>
        <w:rPr>
          <w:rFonts w:ascii="Arial" w:cs="Arial" w:eastAsia="Arial" w:hAnsi="Arial"/>
          <w:sz w:val="16"/>
          <w:szCs w:val="16"/>
          <w:color w:val="auto"/>
        </w:rPr>
        <w:t>The transfer agent and registrar for our ordinary shares is American Stock Transfer &amp; Trust Company, LLC. Its address is 6201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Avenue, Brooklyn, New York 11219, and its telephone number is (800) 937-5449.</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20" w:right="859" w:firstLine="216"/>
        <w:spacing w:after="0" w:line="277" w:lineRule="auto"/>
        <w:rPr>
          <w:sz w:val="20"/>
          <w:szCs w:val="20"/>
          <w:color w:val="auto"/>
        </w:rPr>
      </w:pPr>
      <w:r>
        <w:rPr>
          <w:rFonts w:ascii="Arial" w:cs="Arial" w:eastAsia="Arial" w:hAnsi="Arial"/>
          <w:sz w:val="18"/>
          <w:szCs w:val="18"/>
          <w:color w:val="auto"/>
        </w:rPr>
        <w:t>Our ordinary shares have been approved for listing on the NASDAQ Global Select Market under the symbol “KRNT”.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Prior to this offering, no public market existed for our ordinary shares. Sales of substantial amounts of our ordinary shares, including shares issued upon the exercise of outstanding options in the public market following this offering, or the possibility of these sales occurring, could adversely affect the prevailing market price of our ordinary shares and could impair our future ability to obtain capital, especially through an offering of equity securities. Assuming no exercise of options outstanding following this offering, we will have an aggregate of 28,701,965 ordinary shares outstanding upon the completion of this offering. Of these shares, the 7,100,000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82" w:lineRule="exact"/>
        <w:rPr>
          <w:sz w:val="20"/>
          <w:szCs w:val="20"/>
          <w:color w:val="auto"/>
        </w:rPr>
      </w:pPr>
    </w:p>
    <w:p>
      <w:pPr>
        <w:ind w:left="120" w:right="319" w:firstLine="216"/>
        <w:spacing w:after="0" w:line="255" w:lineRule="auto"/>
        <w:rPr>
          <w:sz w:val="20"/>
          <w:szCs w:val="20"/>
          <w:color w:val="auto"/>
        </w:rPr>
      </w:pPr>
      <w:r>
        <w:rPr>
          <w:rFonts w:ascii="Arial" w:cs="Arial" w:eastAsia="Arial" w:hAnsi="Arial"/>
          <w:sz w:val="18"/>
          <w:szCs w:val="18"/>
          <w:color w:val="auto"/>
        </w:rPr>
        <w:t>The remaining 21,601,965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and Rule 701 under the Securities Act. These rules are summarized below.</w:t>
      </w:r>
    </w:p>
    <w:p>
      <w:pPr>
        <w:spacing w:after="0" w:line="193" w:lineRule="exact"/>
        <w:rPr>
          <w:sz w:val="20"/>
          <w:szCs w:val="20"/>
          <w:color w:val="auto"/>
        </w:rPr>
      </w:pPr>
    </w:p>
    <w:p>
      <w:pPr>
        <w:ind w:left="120" w:right="339" w:firstLine="216"/>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restricted securities will be available for sale in the public market as follows:</w:t>
      </w:r>
    </w:p>
    <w:p>
      <w:pPr>
        <w:spacing w:after="0" w:line="16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Date</w:t>
            </w:r>
          </w:p>
        </w:tc>
        <w:tc>
          <w:tcPr>
            <w:tcW w:w="4460" w:type="dxa"/>
            <w:vAlign w:val="bottom"/>
          </w:tcPr>
          <w:p>
            <w:pPr>
              <w:spacing w:after="0"/>
              <w:rPr>
                <w:sz w:val="20"/>
                <w:szCs w:val="20"/>
                <w:color w:val="auto"/>
              </w:rPr>
            </w:pPr>
            <w:r>
              <w:rPr>
                <w:rFonts w:ascii="Arial" w:cs="Arial" w:eastAsia="Arial" w:hAnsi="Arial"/>
                <w:sz w:val="18"/>
                <w:szCs w:val="18"/>
                <w:b w:val="1"/>
                <w:bCs w:val="1"/>
                <w:color w:val="auto"/>
              </w:rPr>
              <w:t>Number of Shares Eligible for Sale</w:t>
            </w:r>
          </w:p>
        </w:tc>
      </w:tr>
      <w:tr>
        <w:trPr>
          <w:trHeight w:val="195"/>
        </w:trPr>
        <w:tc>
          <w:tcPr>
            <w:tcW w:w="20" w:type="dxa"/>
            <w:vAlign w:val="bottom"/>
          </w:tcPr>
          <w:p>
            <w:pPr>
              <w:spacing w:after="0"/>
              <w:rPr>
                <w:sz w:val="16"/>
                <w:szCs w:val="16"/>
                <w:color w:val="auto"/>
              </w:rPr>
            </w:pPr>
          </w:p>
        </w:tc>
        <w:tc>
          <w:tcPr>
            <w:tcW w:w="4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At the date of this prospectus</w:t>
            </w:r>
          </w:p>
        </w:tc>
        <w:tc>
          <w:tcPr>
            <w:tcW w:w="140" w:type="dxa"/>
            <w:vAlign w:val="bottom"/>
          </w:tcPr>
          <w:p>
            <w:pPr>
              <w:spacing w:after="0"/>
              <w:rPr>
                <w:sz w:val="16"/>
                <w:szCs w:val="16"/>
                <w:color w:val="auto"/>
              </w:rPr>
            </w:pPr>
          </w:p>
        </w:tc>
        <w:tc>
          <w:tcPr>
            <w:tcW w:w="4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0.1 million</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Up to 180 days after the date of this prospectus</w:t>
            </w:r>
          </w:p>
        </w:tc>
        <w:tc>
          <w:tcPr>
            <w:tcW w:w="44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180 days after the date of this prospectus</w:t>
            </w:r>
          </w:p>
        </w:tc>
        <w:tc>
          <w:tcPr>
            <w:tcW w:w="4460" w:type="dxa"/>
            <w:vAlign w:val="bottom"/>
          </w:tcPr>
          <w:p>
            <w:pPr>
              <w:spacing w:after="0"/>
              <w:rPr>
                <w:sz w:val="20"/>
                <w:szCs w:val="20"/>
                <w:color w:val="auto"/>
              </w:rPr>
            </w:pPr>
            <w:r>
              <w:rPr>
                <w:rFonts w:ascii="Arial" w:cs="Arial" w:eastAsia="Arial" w:hAnsi="Arial"/>
                <w:sz w:val="18"/>
                <w:szCs w:val="18"/>
                <w:color w:val="auto"/>
              </w:rPr>
              <w:t>21.5 million of which 16.5 million shares are subject to</w:t>
            </w:r>
          </w:p>
        </w:tc>
      </w:tr>
      <w:tr>
        <w:trPr>
          <w:trHeight w:val="230"/>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w w:val="92"/>
              </w:rPr>
              <w:t>volume, manner of sale and other limitations under Rule 144</w:t>
            </w:r>
          </w:p>
        </w:tc>
      </w:tr>
    </w:tbl>
    <w:p>
      <w:pPr>
        <w:spacing w:after="0" w:line="202"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359" w:firstLine="324"/>
        <w:spacing w:after="0" w:line="276"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shares issuable upon the exercise of options,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Citigroup Global Markets Inc. for a period of 180 days after the date of this prospectus.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9" w:lineRule="exact"/>
        <w:rPr>
          <w:sz w:val="20"/>
          <w:szCs w:val="20"/>
          <w:color w:val="auto"/>
        </w:rPr>
      </w:pPr>
    </w:p>
    <w:p>
      <w:pPr>
        <w:jc w:val="both"/>
        <w:ind w:left="120" w:right="359" w:firstLine="216"/>
        <w:spacing w:after="0" w:line="286" w:lineRule="auto"/>
        <w:rPr>
          <w:sz w:val="20"/>
          <w:szCs w:val="20"/>
          <w:color w:val="auto"/>
        </w:rPr>
      </w:pPr>
      <w:r>
        <w:rPr>
          <w:rFonts w:ascii="Arial" w:cs="Arial" w:eastAsia="Arial" w:hAnsi="Arial"/>
          <w:sz w:val="17"/>
          <w:szCs w:val="17"/>
          <w:color w:val="auto"/>
        </w:rPr>
        <w:t>The ordinary shares that are not being sold in this offering, but which will be outstanding at the time this offering is complete, will be eligible for sale into the public market under the provisions of Rule 144 and Rule 701 (but subject to the further contractual restrictions arising under the lock-up agreements described above).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ind w:left="120" w:right="299" w:firstLine="216"/>
        <w:spacing w:after="0" w:line="273"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In general, under Rule 701, any of our employees, directors, officers, consultants or advisors who received or purchased ordinary shares from us under our 2004 Plan or 2012 Plan or other written agreement before the closing of this offering is entitled to resell these shares.</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(under “—Lock-Up Agreements”), may be sold beginning 90 days after the closing of this offering in reliance on Rule 144 by:</w:t>
      </w:r>
    </w:p>
    <w:p>
      <w:pPr>
        <w:spacing w:after="0" w:line="179" w:lineRule="exact"/>
        <w:rPr>
          <w:sz w:val="20"/>
          <w:szCs w:val="20"/>
          <w:color w:val="auto"/>
        </w:rPr>
      </w:pPr>
    </w:p>
    <w:p>
      <w:pPr>
        <w:ind w:left="540" w:hanging="199"/>
        <w:spacing w:after="0"/>
        <w:tabs>
          <w:tab w:leader="none" w:pos="540" w:val="left"/>
        </w:tabs>
        <w:numPr>
          <w:ilvl w:val="0"/>
          <w:numId w:val="68"/>
        </w:numPr>
        <w:rPr>
          <w:rFonts w:ascii="Arial" w:cs="Arial" w:eastAsia="Arial" w:hAnsi="Arial"/>
          <w:sz w:val="22"/>
          <w:szCs w:val="22"/>
          <w:color w:val="auto"/>
        </w:rPr>
      </w:pPr>
      <w:r>
        <w:rPr>
          <w:rFonts w:ascii="Arial" w:cs="Arial" w:eastAsia="Arial" w:hAnsi="Arial"/>
          <w:sz w:val="18"/>
          <w:szCs w:val="18"/>
          <w:color w:val="auto"/>
        </w:rPr>
        <w:t>persons other than affiliates, without restriction; and</w:t>
      </w:r>
    </w:p>
    <w:p>
      <w:pPr>
        <w:spacing w:after="0" w:line="215" w:lineRule="exact"/>
        <w:rPr>
          <w:rFonts w:ascii="Arial" w:cs="Arial" w:eastAsia="Arial" w:hAnsi="Arial"/>
          <w:sz w:val="22"/>
          <w:szCs w:val="22"/>
          <w:color w:val="auto"/>
        </w:rPr>
      </w:pPr>
    </w:p>
    <w:p>
      <w:pPr>
        <w:ind w:left="340" w:right="1019" w:firstLine="1"/>
        <w:spacing w:after="0" w:line="472" w:lineRule="auto"/>
        <w:tabs>
          <w:tab w:leader="none" w:pos="530" w:val="left"/>
        </w:tabs>
        <w:numPr>
          <w:ilvl w:val="0"/>
          <w:numId w:val="68"/>
        </w:numPr>
        <w:rPr>
          <w:rFonts w:ascii="Arial" w:cs="Arial" w:eastAsia="Arial" w:hAnsi="Arial"/>
          <w:sz w:val="21"/>
          <w:szCs w:val="21"/>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left="120" w:right="279" w:firstLine="216"/>
        <w:spacing w:after="0" w:line="286" w:lineRule="auto"/>
        <w:rPr>
          <w:sz w:val="20"/>
          <w:szCs w:val="20"/>
          <w:color w:val="auto"/>
        </w:rPr>
      </w:pPr>
      <w:r>
        <w:rPr>
          <w:rFonts w:ascii="Arial" w:cs="Arial" w:eastAsia="Arial" w:hAnsi="Arial"/>
          <w:sz w:val="17"/>
          <w:szCs w:val="17"/>
          <w:color w:val="auto"/>
        </w:rPr>
        <w:t>Following the completion of this offering, we intend to file a registration statement on Form S-8 under the Securities Act to register up to 3,456,281 ordinary shares issued or reserved for issuance under the 2004 Plan, 2012 Plan and 2015 Plan. The registration statement on Form S-8 will become effective automatically upon filing.</w:t>
      </w:r>
    </w:p>
    <w:p>
      <w:pPr>
        <w:spacing w:after="0" w:line="166"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lock-up agreements with the underwriters and Rule 144 volume limitations applicable to our affiliates, be available for sale in the open market immediately after the 180-day lock-up period expires. See “Management—Share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219" w:firstLine="216"/>
        <w:spacing w:after="0" w:line="291" w:lineRule="auto"/>
        <w:rPr>
          <w:sz w:val="20"/>
          <w:szCs w:val="20"/>
          <w:color w:val="auto"/>
        </w:rPr>
      </w:pPr>
      <w:r>
        <w:rPr>
          <w:rFonts w:ascii="Arial" w:cs="Arial" w:eastAsia="Arial" w:hAnsi="Arial"/>
          <w:sz w:val="16"/>
          <w:szCs w:val="16"/>
          <w:color w:val="auto"/>
        </w:rPr>
        <w:t>Following the completion of this offering, the holders of up to 20,837,174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“Description of Share Capital—Registration Rights.” Any sales of securities by these shareholders could have a material adverse effect on the trading price of our ordinary shares.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74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9" w:lineRule="exact"/>
        <w:rPr>
          <w:sz w:val="20"/>
          <w:szCs w:val="20"/>
          <w:color w:val="auto"/>
        </w:rPr>
      </w:pPr>
    </w:p>
    <w:p>
      <w:pPr>
        <w:ind w:left="120" w:right="539" w:firstLine="216"/>
        <w:spacing w:after="0" w:line="277" w:lineRule="auto"/>
        <w:rPr>
          <w:sz w:val="20"/>
          <w:szCs w:val="20"/>
          <w:color w:val="auto"/>
        </w:rPr>
      </w:pPr>
      <w:r>
        <w:rPr>
          <w:rFonts w:ascii="Arial" w:cs="Arial" w:eastAsia="Arial" w:hAnsi="Arial"/>
          <w:sz w:val="18"/>
          <w:szCs w:val="18"/>
          <w:color w:val="auto"/>
        </w:rPr>
        <w:t>The following is a brief summary of the material Israeli tax laws applicable to us, and certain Israeli Government programs that benefit us.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120" w:right="279" w:firstLine="216"/>
        <w:spacing w:after="0" w:line="257" w:lineRule="auto"/>
        <w:rPr>
          <w:sz w:val="20"/>
          <w:szCs w:val="20"/>
          <w:color w:val="auto"/>
        </w:rPr>
      </w:pPr>
      <w:r>
        <w:rPr>
          <w:rFonts w:ascii="Arial" w:cs="Arial" w:eastAsia="Arial" w:hAnsi="Arial"/>
          <w:sz w:val="18"/>
          <w:szCs w:val="18"/>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225" w:lineRule="exact"/>
        <w:rPr>
          <w:sz w:val="20"/>
          <w:szCs w:val="20"/>
          <w:color w:val="auto"/>
        </w:rPr>
      </w:pPr>
    </w:p>
    <w:p>
      <w:pPr>
        <w:jc w:val="both"/>
        <w:ind w:left="120" w:right="199" w:firstLine="216"/>
        <w:spacing w:after="0" w:line="264"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81"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39" w:lineRule="exact"/>
        <w:rPr>
          <w:sz w:val="20"/>
          <w:szCs w:val="20"/>
          <w:color w:val="auto"/>
        </w:rPr>
      </w:pPr>
    </w:p>
    <w:p>
      <w:pPr>
        <w:ind w:left="560" w:right="139" w:hanging="219"/>
        <w:spacing w:after="0" w:line="232" w:lineRule="auto"/>
        <w:tabs>
          <w:tab w:leader="none" w:pos="534" w:val="left"/>
        </w:tabs>
        <w:numPr>
          <w:ilvl w:val="0"/>
          <w:numId w:val="69"/>
        </w:numPr>
        <w:rPr>
          <w:rFonts w:ascii="Arial" w:cs="Arial" w:eastAsia="Arial" w:hAnsi="Arial"/>
          <w:sz w:val="22"/>
          <w:szCs w:val="22"/>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217" w:lineRule="exact"/>
        <w:rPr>
          <w:rFonts w:ascii="Arial" w:cs="Arial" w:eastAsia="Arial" w:hAnsi="Arial"/>
          <w:sz w:val="22"/>
          <w:szCs w:val="22"/>
          <w:color w:val="auto"/>
        </w:rPr>
      </w:pPr>
    </w:p>
    <w:p>
      <w:pPr>
        <w:ind w:left="540" w:hanging="199"/>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6"/>
          <w:szCs w:val="16"/>
          <w:color w:val="auto"/>
        </w:rPr>
        <w:t>under limited conditions, an election to file consolidated tax returns with related Israeli Industrial Companies; and</w:t>
      </w:r>
    </w:p>
    <w:p>
      <w:pPr>
        <w:spacing w:after="0" w:line="204" w:lineRule="exact"/>
        <w:rPr>
          <w:rFonts w:ascii="Arial" w:cs="Arial" w:eastAsia="Arial" w:hAnsi="Arial"/>
          <w:sz w:val="19"/>
          <w:szCs w:val="19"/>
          <w:color w:val="auto"/>
        </w:rPr>
      </w:pPr>
    </w:p>
    <w:p>
      <w:pPr>
        <w:ind w:left="540" w:hanging="199"/>
        <w:spacing w:after="0"/>
        <w:tabs>
          <w:tab w:leader="none" w:pos="540" w:val="left"/>
        </w:tabs>
        <w:numPr>
          <w:ilvl w:val="0"/>
          <w:numId w:val="69"/>
        </w:numPr>
        <w:rPr>
          <w:rFonts w:ascii="Arial" w:cs="Arial" w:eastAsia="Arial" w:hAnsi="Arial"/>
          <w:sz w:val="22"/>
          <w:szCs w:val="22"/>
          <w:color w:val="auto"/>
        </w:rPr>
      </w:pPr>
      <w:r>
        <w:rPr>
          <w:rFonts w:ascii="Arial" w:cs="Arial" w:eastAsia="Arial" w:hAnsi="Arial"/>
          <w:sz w:val="18"/>
          <w:szCs w:val="18"/>
          <w:color w:val="auto"/>
        </w:rPr>
        <w:t>expenses related to a public offering are deductible in equal amounts over three years.</w:t>
      </w:r>
    </w:p>
    <w:p>
      <w:pPr>
        <w:spacing w:after="0" w:line="202"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There can be no assurance that we will continue to qualify as an Industrial Company or that the benefits described above will be available in the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225" w:lineRule="exact"/>
        <w:rPr>
          <w:sz w:val="20"/>
          <w:szCs w:val="20"/>
          <w:color w:val="auto"/>
        </w:rPr>
      </w:pPr>
    </w:p>
    <w:p>
      <w:pPr>
        <w:ind w:left="120" w:right="539" w:firstLine="216"/>
        <w:spacing w:after="0" w:line="264"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81"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ind w:left="120"/>
        <w:spacing w:after="0"/>
        <w:rPr>
          <w:sz w:val="20"/>
          <w:szCs w:val="20"/>
          <w:color w:val="auto"/>
        </w:rPr>
      </w:pPr>
      <w:r>
        <w:rPr>
          <w:rFonts w:ascii="Arial" w:cs="Arial" w:eastAsia="Arial" w:hAnsi="Arial"/>
          <w:sz w:val="18"/>
          <w:szCs w:val="18"/>
          <w:b w:val="1"/>
          <w:bCs w:val="1"/>
          <w:i w:val="1"/>
          <w:iCs w:val="1"/>
          <w:color w:val="auto"/>
        </w:rPr>
        <w:t>Tax Benefits Subsequent to the 2005 Amendment</w:t>
      </w:r>
    </w:p>
    <w:p>
      <w:pPr>
        <w:spacing w:after="0" w:line="225"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179"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182"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6"/>
          <w:szCs w:val="16"/>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172"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benefits available to a Benefited Enterprise are subject to the fulfillment of conditions stipulated in the Investment Law and its regulations, which are generally required to derive more than 25% of their business income from export to specific markets with a population of at least 14 million in 2012 (with such export criteria increasing in the future by</w:t>
      </w:r>
    </w:p>
    <w:p>
      <w:pPr>
        <w:ind w:left="120" w:right="139"/>
        <w:spacing w:after="0" w:line="267" w:lineRule="auto"/>
        <w:rPr>
          <w:sz w:val="20"/>
          <w:szCs w:val="20"/>
          <w:color w:val="auto"/>
        </w:rPr>
      </w:pPr>
      <w:r>
        <w:rPr>
          <w:rFonts w:ascii="Arial" w:cs="Arial" w:eastAsia="Arial" w:hAnsi="Arial"/>
          <w:sz w:val="17"/>
          <w:szCs w:val="17"/>
          <w:color w:val="auto"/>
        </w:rPr>
        <w:t>1.4% per annum). In order to receive the tax benefits, the amendment states that the company must make an investment which meets all of the conditions that are set out in the amendment for tax benefits and which exceeds a minimum amount specified in the Investment Law. Such investment allows the company to receive a beneficiary enterprise status, and may be made over a period of no more than three years ending at the end of the year in which the company requested to have the tax benefits apply to the beneficiary enterprise. Where the company requests to have the tax benefits apply to an expansion of existing facilities, only the expansion will be considered to be a beneficiary enterprise, and the company's effective tax rate will be the weighted average of the applicable rates. In this case, the minimum investment required in order to qualify as a Benefited Enterprise is required to exceed a certain percentage of the value of the company's production assets before the expansion. If a company does not meet these conditions, it may be required to refund the amount of tax benefits, as adjusted by the Israeli consumer price index, and interest, or other monetary penalties.</w:t>
      </w:r>
    </w:p>
    <w:p>
      <w:pPr>
        <w:spacing w:after="0" w:line="187"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120"/>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225" w:lineRule="exact"/>
        <w:rPr>
          <w:sz w:val="20"/>
          <w:szCs w:val="20"/>
          <w:color w:val="auto"/>
        </w:rPr>
      </w:pPr>
    </w:p>
    <w:p>
      <w:pPr>
        <w:ind w:left="120" w:right="179" w:firstLine="216"/>
        <w:spacing w:after="0" w:line="253" w:lineRule="auto"/>
        <w:rPr>
          <w:sz w:val="20"/>
          <w:szCs w:val="20"/>
          <w:color w:val="auto"/>
        </w:rPr>
      </w:pPr>
      <w:r>
        <w:rPr>
          <w:rFonts w:ascii="Arial" w:cs="Arial" w:eastAsia="Arial" w:hAnsi="Arial"/>
          <w:sz w:val="18"/>
          <w:szCs w:val="18"/>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191" w:lineRule="exact"/>
        <w:rPr>
          <w:sz w:val="20"/>
          <w:szCs w:val="20"/>
          <w:color w:val="auto"/>
        </w:rPr>
      </w:pPr>
    </w:p>
    <w:p>
      <w:pPr>
        <w:jc w:val="both"/>
        <w:ind w:left="120" w:right="179" w:firstLine="216"/>
        <w:spacing w:after="0" w:line="302" w:lineRule="auto"/>
        <w:rPr>
          <w:sz w:val="20"/>
          <w:szCs w:val="20"/>
          <w:color w:val="auto"/>
        </w:rPr>
      </w:pPr>
      <w:r>
        <w:rPr>
          <w:rFonts w:ascii="Arial" w:cs="Arial" w:eastAsia="Arial" w:hAnsi="Arial"/>
          <w:sz w:val="16"/>
          <w:szCs w:val="16"/>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54"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173"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9"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The following is a discussion of the material U.S. and Israeli tax consequences relevant to an investment decision by a U.S. Holder, as defined below, with respect to our ordinary shares. It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Israeli Tax Consequences</w:t>
      </w:r>
    </w:p>
    <w:p>
      <w:pPr>
        <w:spacing w:after="0" w:line="229"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color w:val="auto"/>
        </w:rPr>
        <w:t>This section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i w:val="1"/>
          <w:iCs w:val="1"/>
          <w:color w:val="auto"/>
        </w:rPr>
        <w:t xml:space="preserve">Capital Gains Taxes Applicable to Non-Israeli Resident Shareholders. </w:t>
      </w:r>
      <w:r>
        <w:rPr>
          <w:rFonts w:ascii="Arial" w:cs="Arial" w:eastAsia="Arial" w:hAnsi="Arial"/>
          <w:sz w:val="17"/>
          <w:szCs w:val="17"/>
          <w:color w:val="auto"/>
        </w:rPr>
        <w:t>Generally, a non-Israeli resident who derives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79" w:lineRule="exact"/>
        <w:rPr>
          <w:sz w:val="20"/>
          <w:szCs w:val="20"/>
          <w:color w:val="auto"/>
        </w:rPr>
      </w:pPr>
    </w:p>
    <w:p>
      <w:pPr>
        <w:ind w:left="120" w:right="219" w:firstLine="216"/>
        <w:spacing w:after="0" w:line="287"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9"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192"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In addition,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8" w:name="page109"/>
    <w:bookmarkEnd w:id="108"/>
    <w:p>
      <w:pPr>
        <w:ind w:left="120" w:right="479"/>
        <w:spacing w:after="0" w:line="308" w:lineRule="auto"/>
        <w:rPr>
          <w:sz w:val="20"/>
          <w:szCs w:val="20"/>
          <w:color w:val="auto"/>
        </w:rPr>
      </w:pPr>
      <w:r>
        <w:rPr>
          <w:rFonts w:ascii="Arial" w:cs="Arial" w:eastAsia="Arial" w:hAnsi="Arial"/>
          <w:sz w:val="17"/>
          <w:szCs w:val="17"/>
          <w:color w:val="auto"/>
        </w:rPr>
        <w:t>the tax deferral, a pre-ruling from the Israel Tax Authority might be required only with respect to shareholders which cannot demonstrate that they are exempt from tax on their capital gains from such transaction.</w:t>
      </w:r>
    </w:p>
    <w:p>
      <w:pPr>
        <w:spacing w:after="0" w:line="147"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 attributed to a Preferred Enterprise), unless a reduced tax rate is provided under an applicable tax treaty. We cannot assure you that we will designate the profits that we may distribute in a way that will reduce shareholders’ tax liability.</w:t>
      </w:r>
    </w:p>
    <w:p>
      <w:pPr>
        <w:spacing w:after="0" w:line="98"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97"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94"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171" w:lineRule="exact"/>
        <w:rPr>
          <w:sz w:val="20"/>
          <w:szCs w:val="20"/>
          <w:color w:val="auto"/>
        </w:rPr>
      </w:pPr>
    </w:p>
    <w:p>
      <w:pPr>
        <w:ind w:left="120" w:right="499" w:firstLine="216"/>
        <w:spacing w:after="0" w:line="312" w:lineRule="auto"/>
        <w:rPr>
          <w:sz w:val="20"/>
          <w:szCs w:val="20"/>
          <w:color w:val="auto"/>
        </w:rPr>
      </w:pPr>
      <w:r>
        <w:rPr>
          <w:rFonts w:ascii="Arial" w:cs="Arial" w:eastAsia="Arial" w:hAnsi="Arial"/>
          <w:sz w:val="16"/>
          <w:szCs w:val="16"/>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175" w:lineRule="exact"/>
        <w:rPr>
          <w:sz w:val="20"/>
          <w:szCs w:val="20"/>
          <w:color w:val="auto"/>
        </w:rPr>
      </w:pPr>
    </w:p>
    <w:p>
      <w:pPr>
        <w:ind w:left="120" w:right="139" w:firstLine="216"/>
        <w:spacing w:after="0" w:line="276" w:lineRule="auto"/>
        <w:rPr>
          <w:sz w:val="20"/>
          <w:szCs w:val="20"/>
          <w:color w:val="auto"/>
        </w:rPr>
      </w:pPr>
      <w:r>
        <w:rPr>
          <w:rFonts w:ascii="Arial" w:cs="Arial" w:eastAsia="Arial" w:hAnsi="Arial"/>
          <w:sz w:val="17"/>
          <w:szCs w:val="17"/>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69" w:lineRule="exact"/>
        <w:rPr>
          <w:sz w:val="20"/>
          <w:szCs w:val="20"/>
          <w:color w:val="auto"/>
        </w:rPr>
      </w:pPr>
    </w:p>
    <w:p>
      <w:pPr>
        <w:ind w:left="540" w:hanging="199"/>
        <w:spacing w:after="0"/>
        <w:tabs>
          <w:tab w:leader="none" w:pos="540" w:val="left"/>
        </w:tabs>
        <w:numPr>
          <w:ilvl w:val="0"/>
          <w:numId w:val="70"/>
        </w:numPr>
        <w:rPr>
          <w:rFonts w:ascii="Arial" w:cs="Arial" w:eastAsia="Arial" w:hAnsi="Arial"/>
          <w:sz w:val="22"/>
          <w:szCs w:val="22"/>
          <w:color w:val="auto"/>
        </w:rPr>
      </w:pPr>
      <w:r>
        <w:rPr>
          <w:rFonts w:ascii="Arial" w:cs="Arial" w:eastAsia="Arial" w:hAnsi="Arial"/>
          <w:sz w:val="18"/>
          <w:szCs w:val="18"/>
          <w:color w:val="auto"/>
        </w:rPr>
        <w:t>banks, financial institutions or insurance companies;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real estate investment trusts, regulated investment companies or grantor trusts;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brokers, dealers or traders in securities, commodities or currencies;</w:t>
      </w:r>
    </w:p>
    <w:p>
      <w:pPr>
        <w:spacing w:after="0" w:line="215" w:lineRule="exact"/>
        <w:rPr>
          <w:rFonts w:ascii="Arial" w:cs="Arial" w:eastAsia="Arial" w:hAnsi="Arial"/>
          <w:sz w:val="22"/>
          <w:szCs w:val="22"/>
          <w:color w:val="auto"/>
        </w:rPr>
      </w:pPr>
    </w:p>
    <w:p>
      <w:pPr>
        <w:ind w:left="560" w:right="519" w:hanging="219"/>
        <w:spacing w:after="0" w:line="232" w:lineRule="auto"/>
        <w:tabs>
          <w:tab w:leader="none" w:pos="534" w:val="left"/>
        </w:tabs>
        <w:numPr>
          <w:ilvl w:val="0"/>
          <w:numId w:val="71"/>
        </w:numPr>
        <w:rPr>
          <w:rFonts w:ascii="Arial" w:cs="Arial" w:eastAsia="Arial" w:hAnsi="Arial"/>
          <w:sz w:val="22"/>
          <w:szCs w:val="22"/>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certain former citizens or long-term residents of the United States;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persons that received our shares as compensation for the performance of services;</w:t>
      </w:r>
    </w:p>
    <w:p>
      <w:pPr>
        <w:spacing w:after="0" w:line="215" w:lineRule="exact"/>
        <w:rPr>
          <w:rFonts w:ascii="Arial" w:cs="Arial" w:eastAsia="Arial" w:hAnsi="Arial"/>
          <w:sz w:val="22"/>
          <w:szCs w:val="22"/>
          <w:color w:val="auto"/>
        </w:rPr>
      </w:pPr>
    </w:p>
    <w:p>
      <w:pPr>
        <w:ind w:left="560" w:right="219" w:hanging="219"/>
        <w:spacing w:after="0" w:line="232" w:lineRule="auto"/>
        <w:tabs>
          <w:tab w:leader="none" w:pos="534" w:val="left"/>
        </w:tabs>
        <w:numPr>
          <w:ilvl w:val="0"/>
          <w:numId w:val="71"/>
        </w:numPr>
        <w:rPr>
          <w:rFonts w:ascii="Arial" w:cs="Arial" w:eastAsia="Arial" w:hAnsi="Arial"/>
          <w:sz w:val="22"/>
          <w:szCs w:val="22"/>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217" w:lineRule="exact"/>
        <w:rPr>
          <w:rFonts w:ascii="Arial" w:cs="Arial" w:eastAsia="Arial" w:hAnsi="Arial"/>
          <w:sz w:val="22"/>
          <w:szCs w:val="22"/>
          <w:color w:val="auto"/>
        </w:rPr>
      </w:pPr>
    </w:p>
    <w:p>
      <w:pPr>
        <w:ind w:left="560" w:right="479" w:hanging="219"/>
        <w:spacing w:after="0" w:line="232" w:lineRule="auto"/>
        <w:tabs>
          <w:tab w:leader="none" w:pos="534" w:val="left"/>
        </w:tabs>
        <w:numPr>
          <w:ilvl w:val="0"/>
          <w:numId w:val="71"/>
        </w:numPr>
        <w:rPr>
          <w:rFonts w:ascii="Arial" w:cs="Arial" w:eastAsia="Arial" w:hAnsi="Arial"/>
          <w:sz w:val="22"/>
          <w:szCs w:val="22"/>
          <w:color w:val="auto"/>
        </w:rPr>
      </w:pPr>
      <w:r>
        <w:rPr>
          <w:rFonts w:ascii="Arial" w:cs="Arial" w:eastAsia="Arial" w:hAnsi="Arial"/>
          <w:sz w:val="18"/>
          <w:szCs w:val="18"/>
          <w:color w:val="auto"/>
        </w:rPr>
        <w:t>partnerships (including entities classified as partnerships for United State federal income tax purposes) or other pass-through entities, or holders that will hold our shares through such an entity;</w:t>
      </w:r>
    </w:p>
    <w:p>
      <w:pPr>
        <w:spacing w:after="0" w:line="194" w:lineRule="exact"/>
        <w:rPr>
          <w:rFonts w:ascii="Arial" w:cs="Arial" w:eastAsia="Arial" w:hAnsi="Arial"/>
          <w:sz w:val="22"/>
          <w:szCs w:val="22"/>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S corporations;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holders that acquire ordinary shares as a result of holding or owning our preferred shares;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1"/>
        </w:numPr>
        <w:rPr>
          <w:rFonts w:ascii="Arial" w:cs="Arial" w:eastAsia="Arial" w:hAnsi="Arial"/>
          <w:sz w:val="22"/>
          <w:szCs w:val="22"/>
          <w:color w:val="auto"/>
        </w:rPr>
      </w:pPr>
      <w:r>
        <w:rPr>
          <w:rFonts w:ascii="Arial" w:cs="Arial" w:eastAsia="Arial" w:hAnsi="Arial"/>
          <w:sz w:val="18"/>
          <w:szCs w:val="18"/>
          <w:color w:val="auto"/>
        </w:rPr>
        <w:t>U.S. holders whose “functional currency” is not the U.S. Dollar; or</w:t>
      </w:r>
    </w:p>
    <w:p>
      <w:pPr>
        <w:spacing w:after="0" w:line="215" w:lineRule="exact"/>
        <w:rPr>
          <w:rFonts w:ascii="Arial" w:cs="Arial" w:eastAsia="Arial" w:hAnsi="Arial"/>
          <w:sz w:val="22"/>
          <w:szCs w:val="22"/>
          <w:color w:val="auto"/>
        </w:rPr>
      </w:pPr>
    </w:p>
    <w:p>
      <w:pPr>
        <w:ind w:left="560" w:right="639" w:hanging="219"/>
        <w:spacing w:after="0" w:line="232" w:lineRule="auto"/>
        <w:tabs>
          <w:tab w:leader="none" w:pos="534" w:val="left"/>
        </w:tabs>
        <w:numPr>
          <w:ilvl w:val="0"/>
          <w:numId w:val="71"/>
        </w:numPr>
        <w:rPr>
          <w:rFonts w:ascii="Arial" w:cs="Arial" w:eastAsia="Arial" w:hAnsi="Arial"/>
          <w:sz w:val="22"/>
          <w:szCs w:val="22"/>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04"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24"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167"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161" w:lineRule="exact"/>
        <w:rPr>
          <w:sz w:val="20"/>
          <w:szCs w:val="20"/>
          <w:color w:val="auto"/>
        </w:rPr>
      </w:pPr>
    </w:p>
    <w:p>
      <w:pPr>
        <w:ind w:left="540" w:hanging="199"/>
        <w:spacing w:after="0"/>
        <w:tabs>
          <w:tab w:leader="none" w:pos="540" w:val="left"/>
        </w:tabs>
        <w:numPr>
          <w:ilvl w:val="0"/>
          <w:numId w:val="72"/>
        </w:numPr>
        <w:rPr>
          <w:rFonts w:ascii="Arial" w:cs="Arial" w:eastAsia="Arial" w:hAnsi="Arial"/>
          <w:sz w:val="22"/>
          <w:szCs w:val="22"/>
          <w:color w:val="auto"/>
        </w:rPr>
      </w:pPr>
      <w:r>
        <w:rPr>
          <w:rFonts w:ascii="Arial" w:cs="Arial" w:eastAsia="Arial" w:hAnsi="Arial"/>
          <w:sz w:val="18"/>
          <w:szCs w:val="18"/>
          <w:color w:val="auto"/>
        </w:rPr>
        <w:t>a citizen or individual resident of the United States;</w:t>
      </w:r>
    </w:p>
    <w:p>
      <w:pPr>
        <w:spacing w:after="0" w:line="215" w:lineRule="exact"/>
        <w:rPr>
          <w:rFonts w:ascii="Arial" w:cs="Arial" w:eastAsia="Arial" w:hAnsi="Arial"/>
          <w:sz w:val="22"/>
          <w:szCs w:val="22"/>
          <w:color w:val="auto"/>
        </w:rPr>
      </w:pPr>
    </w:p>
    <w:p>
      <w:pPr>
        <w:ind w:left="560" w:right="619" w:hanging="219"/>
        <w:spacing w:after="0" w:line="232" w:lineRule="auto"/>
        <w:tabs>
          <w:tab w:leader="none" w:pos="534" w:val="left"/>
        </w:tabs>
        <w:numPr>
          <w:ilvl w:val="0"/>
          <w:numId w:val="72"/>
        </w:numPr>
        <w:rPr>
          <w:rFonts w:ascii="Arial" w:cs="Arial" w:eastAsia="Arial" w:hAnsi="Arial"/>
          <w:sz w:val="22"/>
          <w:szCs w:val="22"/>
          <w:color w:val="auto"/>
        </w:rPr>
      </w:pPr>
      <w:r>
        <w:rPr>
          <w:rFonts w:ascii="Arial" w:cs="Arial" w:eastAsia="Arial" w:hAnsi="Arial"/>
          <w:sz w:val="18"/>
          <w:szCs w:val="18"/>
          <w:color w:val="auto"/>
        </w:rPr>
        <w:t>a corporation created or organized in or under the laws of the United States or any state thereof, including the District of Columbia;</w:t>
      </w:r>
    </w:p>
    <w:p>
      <w:pPr>
        <w:spacing w:after="0" w:line="206" w:lineRule="exact"/>
        <w:rPr>
          <w:rFonts w:ascii="Arial" w:cs="Arial" w:eastAsia="Arial" w:hAnsi="Arial"/>
          <w:sz w:val="22"/>
          <w:szCs w:val="22"/>
          <w:color w:val="auto"/>
        </w:rPr>
      </w:pPr>
    </w:p>
    <w:p>
      <w:pPr>
        <w:ind w:left="540" w:hanging="199"/>
        <w:spacing w:after="0"/>
        <w:tabs>
          <w:tab w:leader="none" w:pos="540" w:val="left"/>
        </w:tabs>
        <w:numPr>
          <w:ilvl w:val="0"/>
          <w:numId w:val="72"/>
        </w:numPr>
        <w:rPr>
          <w:rFonts w:ascii="Arial" w:cs="Arial" w:eastAsia="Arial" w:hAnsi="Arial"/>
          <w:sz w:val="21"/>
          <w:szCs w:val="21"/>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15" w:lineRule="exact"/>
        <w:rPr>
          <w:rFonts w:ascii="Arial" w:cs="Arial" w:eastAsia="Arial" w:hAnsi="Arial"/>
          <w:sz w:val="21"/>
          <w:szCs w:val="21"/>
          <w:color w:val="auto"/>
        </w:rPr>
      </w:pPr>
    </w:p>
    <w:p>
      <w:pPr>
        <w:jc w:val="both"/>
        <w:ind w:left="560" w:right="239" w:hanging="219"/>
        <w:spacing w:after="0" w:line="285" w:lineRule="auto"/>
        <w:tabs>
          <w:tab w:leader="none" w:pos="534" w:val="left"/>
        </w:tabs>
        <w:numPr>
          <w:ilvl w:val="0"/>
          <w:numId w:val="72"/>
        </w:numPr>
        <w:rPr>
          <w:rFonts w:ascii="Arial" w:cs="Arial" w:eastAsia="Arial" w:hAnsi="Arial"/>
          <w:sz w:val="19"/>
          <w:szCs w:val="19"/>
          <w:color w:val="auto"/>
        </w:rPr>
      </w:pPr>
      <w:r>
        <w:rPr>
          <w:rFonts w:ascii="Arial" w:cs="Arial" w:eastAsia="Arial" w:hAnsi="Arial"/>
          <w:sz w:val="16"/>
          <w:szCs w:val="16"/>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68" w:lineRule="exact"/>
        <w:rPr>
          <w:sz w:val="20"/>
          <w:szCs w:val="20"/>
          <w:color w:val="auto"/>
        </w:rPr>
      </w:pPr>
    </w:p>
    <w:p>
      <w:pPr>
        <w:ind w:left="120" w:right="219" w:firstLine="216"/>
        <w:spacing w:after="0" w:line="302" w:lineRule="auto"/>
        <w:rPr>
          <w:sz w:val="20"/>
          <w:szCs w:val="20"/>
          <w:color w:val="auto"/>
        </w:rPr>
      </w:pPr>
      <w:r>
        <w:rPr>
          <w:rFonts w:ascii="Arial" w:cs="Arial" w:eastAsia="Arial" w:hAnsi="Arial"/>
          <w:sz w:val="16"/>
          <w:szCs w:val="16"/>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10" w:name="page111"/>
    <w:bookmarkEnd w:id="110"/>
    <w:p>
      <w:pPr>
        <w:ind w:left="120" w:right="3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owning and disposing of our ordinary shares.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 tax) will generally be treated as a “dividend” for U.S. federal income tax purposes. Any such dividend income will not be eligible for the dividends-received deduction allowed to corporate U.S. holders.</w:t>
      </w:r>
    </w:p>
    <w:p>
      <w:pPr>
        <w:spacing w:after="0" w:line="126"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 (i) 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166" w:lineRule="exact"/>
        <w:rPr>
          <w:sz w:val="20"/>
          <w:szCs w:val="20"/>
          <w:color w:val="auto"/>
        </w:rPr>
      </w:pPr>
    </w:p>
    <w:p>
      <w:pPr>
        <w:ind w:left="120" w:right="139" w:firstLine="216"/>
        <w:spacing w:after="0" w:line="304" w:lineRule="auto"/>
        <w:rPr>
          <w:sz w:val="20"/>
          <w:szCs w:val="20"/>
          <w:color w:val="auto"/>
        </w:rPr>
      </w:pPr>
      <w:r>
        <w:rPr>
          <w:rFonts w:ascii="Arial" w:cs="Arial" w:eastAsia="Arial" w:hAnsi="Arial"/>
          <w:sz w:val="15"/>
          <w:szCs w:val="15"/>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w:t>
      </w:r>
    </w:p>
    <w:p>
      <w:pPr>
        <w:spacing w:after="0" w:line="2" w:lineRule="exact"/>
        <w:rPr>
          <w:sz w:val="20"/>
          <w:szCs w:val="20"/>
          <w:color w:val="auto"/>
        </w:rPr>
      </w:pPr>
    </w:p>
    <w:p>
      <w:pPr>
        <w:ind w:left="120" w:right="119" w:firstLine="5"/>
        <w:spacing w:after="0" w:line="253" w:lineRule="auto"/>
        <w:tabs>
          <w:tab w:leader="none" w:pos="3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51"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141"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U.S. Holders should consult their tax advisers regarding the availability of the foreign tax credit in their particular circumstances.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jc w:val="both"/>
        <w:ind w:left="120" w:right="739" w:firstLine="216"/>
        <w:spacing w:after="0" w:line="264" w:lineRule="auto"/>
        <w:rPr>
          <w:sz w:val="20"/>
          <w:szCs w:val="20"/>
          <w:color w:val="auto"/>
        </w:rPr>
      </w:pPr>
      <w:r>
        <w:rPr>
          <w:rFonts w:ascii="Arial" w:cs="Arial" w:eastAsia="Arial" w:hAnsi="Arial"/>
          <w:sz w:val="18"/>
          <w:szCs w:val="18"/>
          <w:color w:val="auto"/>
        </w:rPr>
        <w:t>Subject to the discussion below under “Passive Foreign Investment Company Considerations,” a U.S. Holder generally will recognize gain or loss, for U.S. federal income tax purposes, on the sale, exchange or other taxable disposition of our</w:t>
      </w:r>
    </w:p>
    <w:p>
      <w:pPr>
        <w:sectPr>
          <w:pgSz w:w="11900" w:h="16838" w:orient="portrait"/>
          <w:cols w:equalWidth="0" w:num="1">
            <w:col w:w="9019"/>
          </w:cols>
          <w:pgMar w:left="1440" w:top="121" w:right="1440"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11" w:name="page112"/>
    <w:bookmarkEnd w:id="111"/>
    <w:p>
      <w:pPr>
        <w:ind w:left="120" w:right="159"/>
        <w:spacing w:after="0" w:line="270" w:lineRule="auto"/>
        <w:rPr>
          <w:sz w:val="20"/>
          <w:szCs w:val="20"/>
          <w:color w:val="auto"/>
        </w:rPr>
      </w:pPr>
      <w:r>
        <w:rPr>
          <w:rFonts w:ascii="Arial" w:cs="Arial" w:eastAsia="Arial" w:hAnsi="Arial"/>
          <w:sz w:val="17"/>
          <w:szCs w:val="17"/>
          <w:color w:val="auto"/>
        </w:rPr>
        <w:t>ordinary shares, in an amount equal to the difference,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8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A U.S. Holder’s initial tax basis in the ordinary shares will generally be the U.S. dollar value of the purchase price of our ordinary shares on the date of purchase. The amount realized on a sale or other disposition of ordinary shares, for an amount in foreign currency, will be the 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7" w:lineRule="exact"/>
        <w:rPr>
          <w:sz w:val="20"/>
          <w:szCs w:val="20"/>
          <w:color w:val="auto"/>
        </w:rPr>
      </w:pPr>
    </w:p>
    <w:p>
      <w:pPr>
        <w:jc w:val="both"/>
        <w:ind w:left="120" w:right="499" w:firstLine="216"/>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2" w:lineRule="exact"/>
        <w:rPr>
          <w:sz w:val="20"/>
          <w:szCs w:val="20"/>
          <w:color w:val="auto"/>
        </w:rPr>
      </w:pPr>
    </w:p>
    <w:p>
      <w:pPr>
        <w:ind w:left="540" w:hanging="199"/>
        <w:spacing w:after="0"/>
        <w:tabs>
          <w:tab w:leader="none" w:pos="540" w:val="left"/>
        </w:tabs>
        <w:numPr>
          <w:ilvl w:val="0"/>
          <w:numId w:val="74"/>
        </w:numPr>
        <w:rPr>
          <w:rFonts w:ascii="Arial" w:cs="Arial" w:eastAsia="Arial" w:hAnsi="Arial"/>
          <w:sz w:val="22"/>
          <w:szCs w:val="22"/>
          <w:color w:val="auto"/>
        </w:rPr>
      </w:pPr>
      <w:r>
        <w:rPr>
          <w:rFonts w:ascii="Arial" w:cs="Arial" w:eastAsia="Arial" w:hAnsi="Arial"/>
          <w:sz w:val="18"/>
          <w:szCs w:val="18"/>
          <w:color w:val="auto"/>
        </w:rPr>
        <w:t>at least 75% of its gross income is “passive income”; or</w:t>
      </w:r>
    </w:p>
    <w:p>
      <w:pPr>
        <w:spacing w:after="0" w:line="215" w:lineRule="exact"/>
        <w:rPr>
          <w:rFonts w:ascii="Arial" w:cs="Arial" w:eastAsia="Arial" w:hAnsi="Arial"/>
          <w:sz w:val="22"/>
          <w:szCs w:val="22"/>
          <w:color w:val="auto"/>
        </w:rPr>
      </w:pPr>
    </w:p>
    <w:p>
      <w:pPr>
        <w:jc w:val="both"/>
        <w:ind w:left="560" w:right="199" w:hanging="219"/>
        <w:spacing w:after="0" w:line="260" w:lineRule="auto"/>
        <w:tabs>
          <w:tab w:leader="none" w:pos="534" w:val="left"/>
        </w:tabs>
        <w:numPr>
          <w:ilvl w:val="0"/>
          <w:numId w:val="74"/>
        </w:numPr>
        <w:rPr>
          <w:rFonts w:ascii="Arial" w:cs="Arial" w:eastAsia="Arial" w:hAnsi="Arial"/>
          <w:sz w:val="21"/>
          <w:szCs w:val="21"/>
          <w:color w:val="auto"/>
        </w:rPr>
      </w:pPr>
      <w:r>
        <w:rPr>
          <w:rFonts w:ascii="Arial" w:cs="Arial" w:eastAsia="Arial" w:hAnsi="Arial"/>
          <w:sz w:val="17"/>
          <w:szCs w:val="17"/>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18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82"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Based on certain estimates of our gross income and gross assets, our intended use of the proceeds of this offering, and the nature of our business, we do not expect that we will be classified as a PFIC for the taxable year ending December 31, 2015. However, because PFIC status is based on our income, assets and activities for the entire taxable year, it is not possible to determine whether we will be characterized as a PFIC for the 2015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offering in our business. There can be no assurance that we will not be considered a PFIC for any taxable year.</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ind w:left="120" w:right="219" w:firstLine="216"/>
        <w:spacing w:after="0" w:line="302"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54" w:lineRule="exact"/>
        <w:rPr>
          <w:sz w:val="20"/>
          <w:szCs w:val="20"/>
          <w:color w:val="auto"/>
        </w:rPr>
      </w:pPr>
    </w:p>
    <w:p>
      <w:pPr>
        <w:ind w:left="120" w:right="199" w:firstLine="216"/>
        <w:spacing w:after="0" w:line="286" w:lineRule="auto"/>
        <w:rPr>
          <w:sz w:val="20"/>
          <w:szCs w:val="20"/>
          <w:color w:val="auto"/>
        </w:rPr>
      </w:pPr>
      <w:r>
        <w:rPr>
          <w:rFonts w:ascii="Arial" w:cs="Arial" w:eastAsia="Arial" w:hAnsi="Arial"/>
          <w:sz w:val="16"/>
          <w:szCs w:val="16"/>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75" w:lineRule="exact"/>
        <w:rPr>
          <w:sz w:val="20"/>
          <w:szCs w:val="20"/>
          <w:color w:val="auto"/>
        </w:rPr>
      </w:pPr>
    </w:p>
    <w:p>
      <w:pPr>
        <w:ind w:left="120" w:right="279" w:firstLine="216"/>
        <w:spacing w:after="0" w:line="279"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Select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9"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75"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 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3" w:name="page114"/>
    <w:bookmarkEnd w:id="113"/>
    <w:p>
      <w:pPr>
        <w:ind w:left="120" w:right="399" w:firstLine="216"/>
        <w:spacing w:after="0" w:line="277" w:lineRule="auto"/>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ind w:left="120" w:right="379" w:firstLine="216"/>
        <w:spacing w:after="0" w:line="302"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4" w:name="page115"/>
    <w:bookmarkEnd w:id="114"/>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39" w:firstLine="216"/>
        <w:spacing w:after="0" w:line="312" w:lineRule="auto"/>
        <w:rPr>
          <w:sz w:val="20"/>
          <w:szCs w:val="20"/>
          <w:color w:val="auto"/>
        </w:rPr>
      </w:pPr>
      <w:r>
        <w:rPr>
          <w:rFonts w:ascii="Arial" w:cs="Arial" w:eastAsia="Arial" w:hAnsi="Arial"/>
          <w:sz w:val="16"/>
          <w:szCs w:val="16"/>
          <w:color w:val="auto"/>
        </w:rPr>
        <w:t>Barclays Capital Inc. and Citigroup Global Markets Inc. are acting as representatives of the underwriters and joint book-running managers of this offering. Under the terms of an underwriting agreement, each of the underwriters named below has severally agreed to purchase from us the respective number of ordinary shares shown opposite its name below:</w:t>
      </w:r>
    </w:p>
    <w:p>
      <w:pPr>
        <w:spacing w:after="0" w:line="14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ind w:right="172"/>
              <w:spacing w:after="0"/>
              <w:rPr>
                <w:sz w:val="20"/>
                <w:szCs w:val="20"/>
                <w:color w:val="auto"/>
              </w:rPr>
            </w:pPr>
            <w:r>
              <w:rPr>
                <w:rFonts w:ascii="Arial" w:cs="Arial" w:eastAsia="Arial" w:hAnsi="Arial"/>
                <w:sz w:val="16"/>
                <w:szCs w:val="16"/>
                <w:b w:val="1"/>
                <w:bCs w:val="1"/>
                <w:color w:val="auto"/>
              </w:rPr>
              <w:t>Number of</w:t>
            </w:r>
          </w:p>
        </w:tc>
      </w:tr>
      <w:tr>
        <w:trPr>
          <w:trHeight w:val="213"/>
        </w:trPr>
        <w:tc>
          <w:tcPr>
            <w:tcW w:w="7380" w:type="dxa"/>
            <w:vAlign w:val="bottom"/>
            <w:gridSpan w:val="3"/>
          </w:tcPr>
          <w:p>
            <w:pPr>
              <w:spacing w:after="0"/>
              <w:rPr>
                <w:sz w:val="20"/>
                <w:szCs w:val="20"/>
                <w:color w:val="auto"/>
              </w:rPr>
            </w:pPr>
            <w:r>
              <w:rPr>
                <w:rFonts w:ascii="Arial" w:cs="Arial" w:eastAsia="Arial" w:hAnsi="Arial"/>
                <w:sz w:val="16"/>
                <w:szCs w:val="16"/>
                <w:b w:val="1"/>
                <w:bCs w:val="1"/>
                <w:color w:val="auto"/>
              </w:rPr>
              <w:t>Underwriters</w:t>
            </w:r>
          </w:p>
        </w:tc>
        <w:tc>
          <w:tcPr>
            <w:tcW w:w="1240" w:type="dxa"/>
            <w:vAlign w:val="bottom"/>
          </w:tcPr>
          <w:p>
            <w:pPr>
              <w:jc w:val="right"/>
              <w:ind w:right="312"/>
              <w:spacing w:after="0"/>
              <w:rPr>
                <w:sz w:val="20"/>
                <w:szCs w:val="20"/>
                <w:color w:val="auto"/>
              </w:rPr>
            </w:pPr>
            <w:r>
              <w:rPr>
                <w:rFonts w:ascii="Arial" w:cs="Arial" w:eastAsia="Arial" w:hAnsi="Arial"/>
                <w:sz w:val="16"/>
                <w:szCs w:val="16"/>
                <w:b w:val="1"/>
                <w:bCs w:val="1"/>
                <w:color w:val="auto"/>
              </w:rPr>
              <w:t>Shares</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r>
        <w:trPr>
          <w:trHeight w:val="401"/>
        </w:trPr>
        <w:tc>
          <w:tcPr>
            <w:tcW w:w="7380" w:type="dxa"/>
            <w:vAlign w:val="bottom"/>
            <w:gridSpan w:val="3"/>
          </w:tcPr>
          <w:p>
            <w:pPr>
              <w:spacing w:after="0"/>
              <w:rPr>
                <w:sz w:val="20"/>
                <w:szCs w:val="20"/>
                <w:color w:val="auto"/>
              </w:rPr>
            </w:pPr>
            <w:r>
              <w:rPr>
                <w:rFonts w:ascii="Arial" w:cs="Arial" w:eastAsia="Arial" w:hAnsi="Arial"/>
                <w:sz w:val="18"/>
                <w:szCs w:val="18"/>
                <w:color w:val="auto"/>
              </w:rPr>
              <w:t>Barclays Capital Inc.</w:t>
            </w:r>
          </w:p>
        </w:tc>
        <w:tc>
          <w:tcPr>
            <w:tcW w:w="1240" w:type="dxa"/>
            <w:vAlign w:val="bottom"/>
          </w:tcPr>
          <w:p>
            <w:pPr>
              <w:jc w:val="right"/>
              <w:spacing w:after="0"/>
              <w:rPr>
                <w:sz w:val="20"/>
                <w:szCs w:val="20"/>
                <w:color w:val="auto"/>
              </w:rPr>
            </w:pPr>
            <w:r>
              <w:rPr>
                <w:rFonts w:ascii="Arial" w:cs="Arial" w:eastAsia="Arial" w:hAnsi="Arial"/>
                <w:sz w:val="18"/>
                <w:szCs w:val="18"/>
                <w:color w:val="auto"/>
              </w:rPr>
              <w:t>2,414,000</w:t>
            </w: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color w:val="auto"/>
              </w:rPr>
              <w:t>Citigroup Global Markets Inc.</w:t>
            </w:r>
          </w:p>
        </w:tc>
        <w:tc>
          <w:tcPr>
            <w:tcW w:w="1240" w:type="dxa"/>
            <w:vAlign w:val="bottom"/>
          </w:tcPr>
          <w:p>
            <w:pPr>
              <w:jc w:val="right"/>
              <w:spacing w:after="0"/>
              <w:rPr>
                <w:sz w:val="20"/>
                <w:szCs w:val="20"/>
                <w:color w:val="auto"/>
              </w:rPr>
            </w:pPr>
            <w:r>
              <w:rPr>
                <w:rFonts w:ascii="Arial" w:cs="Arial" w:eastAsia="Arial" w:hAnsi="Arial"/>
                <w:sz w:val="18"/>
                <w:szCs w:val="18"/>
                <w:color w:val="auto"/>
              </w:rPr>
              <w:t>2,414,000</w:t>
            </w: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color w:val="auto"/>
              </w:rPr>
              <w:t>William Blair &amp; Company, L.L.C.</w:t>
            </w:r>
          </w:p>
        </w:tc>
        <w:tc>
          <w:tcPr>
            <w:tcW w:w="1240" w:type="dxa"/>
            <w:vAlign w:val="bottom"/>
          </w:tcPr>
          <w:p>
            <w:pPr>
              <w:jc w:val="right"/>
              <w:spacing w:after="0"/>
              <w:rPr>
                <w:sz w:val="20"/>
                <w:szCs w:val="20"/>
                <w:color w:val="auto"/>
              </w:rPr>
            </w:pPr>
            <w:r>
              <w:rPr>
                <w:rFonts w:ascii="Arial" w:cs="Arial" w:eastAsia="Arial" w:hAnsi="Arial"/>
                <w:sz w:val="18"/>
                <w:szCs w:val="18"/>
                <w:color w:val="auto"/>
              </w:rPr>
              <w:t>710,000</w:t>
            </w: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color w:val="auto"/>
              </w:rPr>
              <w:t>Stifel, Nicolaus &amp; Company, Incorporated</w:t>
            </w:r>
          </w:p>
        </w:tc>
        <w:tc>
          <w:tcPr>
            <w:tcW w:w="1240" w:type="dxa"/>
            <w:vAlign w:val="bottom"/>
          </w:tcPr>
          <w:p>
            <w:pPr>
              <w:jc w:val="right"/>
              <w:spacing w:after="0"/>
              <w:rPr>
                <w:sz w:val="20"/>
                <w:szCs w:val="20"/>
                <w:color w:val="auto"/>
              </w:rPr>
            </w:pPr>
            <w:r>
              <w:rPr>
                <w:rFonts w:ascii="Arial" w:cs="Arial" w:eastAsia="Arial" w:hAnsi="Arial"/>
                <w:sz w:val="18"/>
                <w:szCs w:val="18"/>
                <w:color w:val="auto"/>
              </w:rPr>
              <w:t>710,000</w:t>
            </w:r>
          </w:p>
        </w:tc>
      </w:tr>
      <w:tr>
        <w:trPr>
          <w:trHeight w:val="216"/>
        </w:trPr>
        <w:tc>
          <w:tcPr>
            <w:tcW w:w="7380" w:type="dxa"/>
            <w:vAlign w:val="bottom"/>
            <w:gridSpan w:val="3"/>
          </w:tcPr>
          <w:p>
            <w:pPr>
              <w:spacing w:after="0"/>
              <w:rPr>
                <w:sz w:val="20"/>
                <w:szCs w:val="20"/>
                <w:color w:val="auto"/>
              </w:rPr>
            </w:pPr>
            <w:r>
              <w:rPr>
                <w:rFonts w:ascii="Arial" w:cs="Arial" w:eastAsia="Arial" w:hAnsi="Arial"/>
                <w:sz w:val="18"/>
                <w:szCs w:val="18"/>
                <w:color w:val="auto"/>
              </w:rPr>
              <w:t>Canaccord Genuity Inc.</w:t>
            </w:r>
          </w:p>
        </w:tc>
        <w:tc>
          <w:tcPr>
            <w:tcW w:w="1240" w:type="dxa"/>
            <w:vAlign w:val="bottom"/>
          </w:tcPr>
          <w:p>
            <w:pPr>
              <w:jc w:val="right"/>
              <w:spacing w:after="0"/>
              <w:rPr>
                <w:sz w:val="20"/>
                <w:szCs w:val="20"/>
                <w:color w:val="auto"/>
              </w:rPr>
            </w:pPr>
            <w:r>
              <w:rPr>
                <w:rFonts w:ascii="Arial" w:cs="Arial" w:eastAsia="Arial" w:hAnsi="Arial"/>
                <w:sz w:val="18"/>
                <w:szCs w:val="18"/>
                <w:color w:val="auto"/>
              </w:rPr>
              <w:t>426,000</w:t>
            </w:r>
          </w:p>
        </w:tc>
      </w:tr>
      <w:tr>
        <w:trPr>
          <w:trHeight w:val="244"/>
        </w:trPr>
        <w:tc>
          <w:tcPr>
            <w:tcW w:w="7380" w:type="dxa"/>
            <w:vAlign w:val="bottom"/>
            <w:gridSpan w:val="3"/>
          </w:tcPr>
          <w:p>
            <w:pPr>
              <w:spacing w:after="0"/>
              <w:rPr>
                <w:sz w:val="20"/>
                <w:szCs w:val="20"/>
                <w:color w:val="auto"/>
              </w:rPr>
            </w:pPr>
            <w:r>
              <w:rPr>
                <w:rFonts w:ascii="Arial" w:cs="Arial" w:eastAsia="Arial" w:hAnsi="Arial"/>
                <w:sz w:val="18"/>
                <w:szCs w:val="18"/>
                <w:color w:val="auto"/>
              </w:rPr>
              <w:t>Needham &amp; Company, LLC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426,000</w:t>
            </w:r>
          </w:p>
        </w:tc>
      </w:tr>
      <w:tr>
        <w:trPr>
          <w:trHeight w:val="210"/>
        </w:trPr>
        <w:tc>
          <w:tcPr>
            <w:tcW w:w="20" w:type="dxa"/>
            <w:vAlign w:val="bottom"/>
          </w:tcPr>
          <w:p>
            <w:pPr>
              <w:spacing w:after="0"/>
              <w:rPr>
                <w:sz w:val="18"/>
                <w:szCs w:val="18"/>
                <w:color w:val="auto"/>
              </w:rPr>
            </w:pPr>
          </w:p>
        </w:tc>
        <w:tc>
          <w:tcPr>
            <w:tcW w:w="73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7,100,000</w:t>
            </w: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57" w:lineRule="exact"/>
        <w:rPr>
          <w:sz w:val="20"/>
          <w:szCs w:val="20"/>
          <w:color w:val="auto"/>
        </w:rPr>
      </w:pPr>
    </w:p>
    <w:p>
      <w:pPr>
        <w:ind w:left="560" w:right="459" w:hanging="219"/>
        <w:spacing w:after="0" w:line="297" w:lineRule="auto"/>
        <w:tabs>
          <w:tab w:leader="none" w:pos="534" w:val="left"/>
        </w:tabs>
        <w:numPr>
          <w:ilvl w:val="0"/>
          <w:numId w:val="75"/>
        </w:numPr>
        <w:rPr>
          <w:rFonts w:ascii="Arial" w:cs="Arial" w:eastAsia="Arial" w:hAnsi="Arial"/>
          <w:sz w:val="19"/>
          <w:szCs w:val="19"/>
          <w:color w:val="auto"/>
        </w:rPr>
      </w:pPr>
      <w:r>
        <w:rPr>
          <w:rFonts w:ascii="Arial" w:cs="Arial" w:eastAsia="Arial" w:hAnsi="Arial"/>
          <w:sz w:val="16"/>
          <w:szCs w:val="16"/>
          <w:color w:val="auto"/>
        </w:rPr>
        <w:t>the obligation to purchase all of the ordinary shares offered hereby (other than those ordinary shares covered by their option to purchase additional shares as described below), if any of the shares are purchased;</w:t>
      </w:r>
    </w:p>
    <w:p>
      <w:pPr>
        <w:spacing w:after="0" w:line="100" w:lineRule="exact"/>
        <w:rPr>
          <w:rFonts w:ascii="Arial" w:cs="Arial" w:eastAsia="Arial" w:hAnsi="Arial"/>
          <w:sz w:val="19"/>
          <w:szCs w:val="19"/>
          <w:color w:val="auto"/>
        </w:rPr>
      </w:pPr>
    </w:p>
    <w:p>
      <w:pPr>
        <w:ind w:left="540" w:hanging="199"/>
        <w:spacing w:after="0"/>
        <w:tabs>
          <w:tab w:leader="none" w:pos="540" w:val="left"/>
        </w:tabs>
        <w:numPr>
          <w:ilvl w:val="0"/>
          <w:numId w:val="75"/>
        </w:numPr>
        <w:rPr>
          <w:rFonts w:ascii="Arial" w:cs="Arial" w:eastAsia="Arial" w:hAnsi="Arial"/>
          <w:sz w:val="22"/>
          <w:szCs w:val="22"/>
          <w:color w:val="auto"/>
        </w:rPr>
      </w:pPr>
      <w:r>
        <w:rPr>
          <w:rFonts w:ascii="Arial" w:cs="Arial" w:eastAsia="Arial" w:hAnsi="Arial"/>
          <w:sz w:val="18"/>
          <w:szCs w:val="18"/>
          <w:color w:val="auto"/>
        </w:rPr>
        <w:t>the representations and warranties made by us to the underwriters are true;</w:t>
      </w:r>
    </w:p>
    <w:p>
      <w:pPr>
        <w:spacing w:after="0" w:line="152" w:lineRule="exact"/>
        <w:rPr>
          <w:rFonts w:ascii="Arial" w:cs="Arial" w:eastAsia="Arial" w:hAnsi="Arial"/>
          <w:sz w:val="22"/>
          <w:szCs w:val="22"/>
          <w:color w:val="auto"/>
        </w:rPr>
      </w:pPr>
    </w:p>
    <w:p>
      <w:pPr>
        <w:ind w:left="540" w:hanging="199"/>
        <w:spacing w:after="0"/>
        <w:tabs>
          <w:tab w:leader="none" w:pos="540" w:val="left"/>
        </w:tabs>
        <w:numPr>
          <w:ilvl w:val="0"/>
          <w:numId w:val="75"/>
        </w:numPr>
        <w:rPr>
          <w:rFonts w:ascii="Arial" w:cs="Arial" w:eastAsia="Arial" w:hAnsi="Arial"/>
          <w:sz w:val="22"/>
          <w:szCs w:val="22"/>
          <w:color w:val="auto"/>
        </w:rPr>
      </w:pPr>
      <w:r>
        <w:rPr>
          <w:rFonts w:ascii="Arial" w:cs="Arial" w:eastAsia="Arial" w:hAnsi="Arial"/>
          <w:sz w:val="18"/>
          <w:szCs w:val="18"/>
          <w:color w:val="auto"/>
        </w:rPr>
        <w:t>there is no material change in our business or the financial markets; and</w:t>
      </w:r>
    </w:p>
    <w:p>
      <w:pPr>
        <w:spacing w:after="0" w:line="165" w:lineRule="exact"/>
        <w:rPr>
          <w:rFonts w:ascii="Arial" w:cs="Arial" w:eastAsia="Arial" w:hAnsi="Arial"/>
          <w:sz w:val="22"/>
          <w:szCs w:val="22"/>
          <w:color w:val="auto"/>
        </w:rPr>
      </w:pPr>
    </w:p>
    <w:p>
      <w:pPr>
        <w:ind w:left="540" w:hanging="199"/>
        <w:spacing w:after="0"/>
        <w:tabs>
          <w:tab w:leader="none" w:pos="540" w:val="left"/>
        </w:tabs>
        <w:numPr>
          <w:ilvl w:val="0"/>
          <w:numId w:val="75"/>
        </w:numPr>
        <w:rPr>
          <w:rFonts w:ascii="Arial" w:cs="Arial" w:eastAsia="Arial" w:hAnsi="Arial"/>
          <w:sz w:val="22"/>
          <w:szCs w:val="22"/>
          <w:color w:val="auto"/>
        </w:rPr>
      </w:pPr>
      <w:r>
        <w:rPr>
          <w:rFonts w:ascii="Arial" w:cs="Arial" w:eastAsia="Arial" w:hAnsi="Arial"/>
          <w:sz w:val="18"/>
          <w:szCs w:val="18"/>
          <w:color w:val="auto"/>
        </w:rPr>
        <w:t>we deliver customary closing documents to the underwriters.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ordinary shares.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89"/>
              </w:rPr>
              <w:t>No Exercise</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6"/>
                <w:szCs w:val="16"/>
                <w:b w:val="1"/>
                <w:bCs w:val="1"/>
                <w:color w:val="auto"/>
                <w:w w:val="93"/>
              </w:rPr>
              <w:t>Full Exercise</w:t>
            </w: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color w:val="auto"/>
              </w:rPr>
              <w:t>Per Share</w:t>
            </w:r>
          </w:p>
        </w:tc>
        <w:tc>
          <w:tcPr>
            <w:tcW w:w="25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0.70</w:t>
            </w:r>
          </w:p>
        </w:tc>
        <w:tc>
          <w:tcPr>
            <w:tcW w:w="3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0.70</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4,970,000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5,715,500</w:t>
            </w:r>
          </w:p>
        </w:tc>
      </w:tr>
    </w:tbl>
    <w:p>
      <w:pPr>
        <w:spacing w:after="0" w:line="161"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ordinary shares directly to the public at the public offering price set forth on the cover of this prospectus and to selected dealers, which may include the underwriters, at such offering price less a selling concession not in excess of $0.42 per share. After the offering, the representatives may change the offering price and other selling terms.</w:t>
      </w:r>
    </w:p>
    <w:p>
      <w:pPr>
        <w:spacing w:after="0" w:line="146" w:lineRule="exact"/>
        <w:rPr>
          <w:sz w:val="20"/>
          <w:szCs w:val="20"/>
          <w:color w:val="auto"/>
        </w:rPr>
      </w:pPr>
    </w:p>
    <w:p>
      <w:pPr>
        <w:jc w:val="both"/>
        <w:ind w:left="120" w:right="759" w:firstLine="216"/>
        <w:spacing w:after="0" w:line="312" w:lineRule="auto"/>
        <w:rPr>
          <w:sz w:val="20"/>
          <w:szCs w:val="20"/>
          <w:color w:val="auto"/>
        </w:rPr>
      </w:pPr>
      <w:r>
        <w:rPr>
          <w:rFonts w:ascii="Arial" w:cs="Arial" w:eastAsia="Arial" w:hAnsi="Arial"/>
          <w:sz w:val="16"/>
          <w:szCs w:val="16"/>
          <w:color w:val="auto"/>
        </w:rPr>
        <w:t>The expenses of the offering that are payable by us are estimated to be approximately $2.5 million (excluding underwriting discounts and commissions). We have agreed to reimburse the underwriters for expenses relating to clearance of this offering with the Financial Industry Regulatory Authority up to $30,000.</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We have granted the underwriters an option exercisable for 30 days after the date of this prospectus to purchase, from time to time, in whole or in part, up to an aggregate of 1,065,000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19" w:firstLine="216"/>
        <w:spacing w:after="0" w:line="283"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shares issuable upon the exercise of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or rights with respect to any ordinary shares or securities convertible into or exchangeable for ordinary shares (other than, with respect to us, the grant of options pursuant to option plans existing on the date of this prospectus),</w:t>
      </w:r>
    </w:p>
    <w:p>
      <w:pPr>
        <w:spacing w:after="0" w:line="4" w:lineRule="exact"/>
        <w:rPr>
          <w:sz w:val="20"/>
          <w:szCs w:val="20"/>
          <w:color w:val="auto"/>
        </w:rPr>
      </w:pPr>
    </w:p>
    <w:p>
      <w:pPr>
        <w:ind w:left="120" w:right="159" w:firstLine="5"/>
        <w:spacing w:after="0" w:line="252" w:lineRule="auto"/>
        <w:tabs>
          <w:tab w:leader="none" w:pos="375" w:val="left"/>
        </w:tabs>
        <w:numPr>
          <w:ilvl w:val="0"/>
          <w:numId w:val="76"/>
        </w:numPr>
        <w:rPr>
          <w:rFonts w:ascii="Arial" w:cs="Arial" w:eastAsia="Arial" w:hAnsi="Arial"/>
          <w:sz w:val="18"/>
          <w:szCs w:val="18"/>
          <w:color w:val="auto"/>
        </w:rPr>
      </w:pPr>
      <w:r>
        <w:rPr>
          <w:rFonts w:ascii="Arial" w:cs="Arial" w:eastAsia="Arial" w:hAnsi="Arial"/>
          <w:sz w:val="18"/>
          <w:szCs w:val="18"/>
          <w:color w:val="auto"/>
        </w:rPr>
        <w:t>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93"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any of our officers or directors, Barclays Capital Inc. and Citigroup Global Markets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Price Determination</w:t>
      </w:r>
    </w:p>
    <w:p>
      <w:pPr>
        <w:spacing w:after="0" w:line="229"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was negotiated between the representatives and us. In determining the initial public offering price of our ordinary shares, the representatives considered:</w:t>
      </w:r>
    </w:p>
    <w:p>
      <w:pPr>
        <w:spacing w:after="0" w:line="172" w:lineRule="exact"/>
        <w:rPr>
          <w:sz w:val="20"/>
          <w:szCs w:val="20"/>
          <w:color w:val="auto"/>
        </w:rPr>
      </w:pPr>
    </w:p>
    <w:p>
      <w:pPr>
        <w:ind w:left="540" w:hanging="199"/>
        <w:spacing w:after="0"/>
        <w:tabs>
          <w:tab w:leader="none" w:pos="540" w:val="left"/>
        </w:tabs>
        <w:numPr>
          <w:ilvl w:val="0"/>
          <w:numId w:val="77"/>
        </w:numPr>
        <w:rPr>
          <w:rFonts w:ascii="Arial" w:cs="Arial" w:eastAsia="Arial" w:hAnsi="Arial"/>
          <w:sz w:val="22"/>
          <w:szCs w:val="22"/>
          <w:color w:val="auto"/>
        </w:rPr>
      </w:pPr>
      <w:r>
        <w:rPr>
          <w:rFonts w:ascii="Arial" w:cs="Arial" w:eastAsia="Arial" w:hAnsi="Arial"/>
          <w:sz w:val="18"/>
          <w:szCs w:val="18"/>
          <w:color w:val="auto"/>
        </w:rPr>
        <w:t>the history and prospects for the industry in which we compete;</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7"/>
        </w:numPr>
        <w:rPr>
          <w:rFonts w:ascii="Arial" w:cs="Arial" w:eastAsia="Arial" w:hAnsi="Arial"/>
          <w:sz w:val="22"/>
          <w:szCs w:val="22"/>
          <w:color w:val="auto"/>
        </w:rPr>
      </w:pPr>
      <w:r>
        <w:rPr>
          <w:rFonts w:ascii="Arial" w:cs="Arial" w:eastAsia="Arial" w:hAnsi="Arial"/>
          <w:sz w:val="18"/>
          <w:szCs w:val="18"/>
          <w:color w:val="auto"/>
        </w:rPr>
        <w:t>our financial information;</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7"/>
        </w:numPr>
        <w:rPr>
          <w:rFonts w:ascii="Arial" w:cs="Arial" w:eastAsia="Arial" w:hAnsi="Arial"/>
          <w:sz w:val="22"/>
          <w:szCs w:val="22"/>
          <w:color w:val="auto"/>
        </w:rPr>
      </w:pPr>
      <w:r>
        <w:rPr>
          <w:rFonts w:ascii="Arial" w:cs="Arial" w:eastAsia="Arial" w:hAnsi="Arial"/>
          <w:sz w:val="18"/>
          <w:szCs w:val="18"/>
          <w:color w:val="auto"/>
        </w:rPr>
        <w:t>the ability of our management and our business potential and earning prospects;</w:t>
      </w:r>
    </w:p>
    <w:p>
      <w:pPr>
        <w:spacing w:after="0" w:line="192" w:lineRule="exact"/>
        <w:rPr>
          <w:rFonts w:ascii="Arial" w:cs="Arial" w:eastAsia="Arial" w:hAnsi="Arial"/>
          <w:sz w:val="22"/>
          <w:szCs w:val="22"/>
          <w:color w:val="auto"/>
        </w:rPr>
      </w:pPr>
    </w:p>
    <w:p>
      <w:pPr>
        <w:ind w:left="540" w:hanging="199"/>
        <w:spacing w:after="0"/>
        <w:tabs>
          <w:tab w:leader="none" w:pos="540" w:val="left"/>
        </w:tabs>
        <w:numPr>
          <w:ilvl w:val="0"/>
          <w:numId w:val="77"/>
        </w:numPr>
        <w:rPr>
          <w:rFonts w:ascii="Arial" w:cs="Arial" w:eastAsia="Arial" w:hAnsi="Arial"/>
          <w:sz w:val="22"/>
          <w:szCs w:val="22"/>
          <w:color w:val="auto"/>
        </w:rPr>
      </w:pPr>
      <w:r>
        <w:rPr>
          <w:rFonts w:ascii="Arial" w:cs="Arial" w:eastAsia="Arial" w:hAnsi="Arial"/>
          <w:sz w:val="18"/>
          <w:szCs w:val="18"/>
          <w:color w:val="auto"/>
        </w:rPr>
        <w:t>the prevailing securities markets at the time of this offering; and</w:t>
      </w:r>
    </w:p>
    <w:p>
      <w:pPr>
        <w:spacing w:after="0" w:line="204" w:lineRule="exact"/>
        <w:rPr>
          <w:rFonts w:ascii="Arial" w:cs="Arial" w:eastAsia="Arial" w:hAnsi="Arial"/>
          <w:sz w:val="22"/>
          <w:szCs w:val="22"/>
          <w:color w:val="auto"/>
        </w:rPr>
      </w:pPr>
    </w:p>
    <w:p>
      <w:pPr>
        <w:ind w:left="540" w:hanging="199"/>
        <w:spacing w:after="0"/>
        <w:tabs>
          <w:tab w:leader="none" w:pos="540" w:val="left"/>
        </w:tabs>
        <w:numPr>
          <w:ilvl w:val="0"/>
          <w:numId w:val="77"/>
        </w:numPr>
        <w:rPr>
          <w:rFonts w:ascii="Arial" w:cs="Arial" w:eastAsia="Arial" w:hAnsi="Arial"/>
          <w:sz w:val="21"/>
          <w:szCs w:val="21"/>
          <w:color w:val="auto"/>
        </w:rPr>
      </w:pPr>
      <w:r>
        <w:rPr>
          <w:rFonts w:ascii="Arial" w:cs="Arial" w:eastAsia="Arial" w:hAnsi="Arial"/>
          <w:sz w:val="17"/>
          <w:szCs w:val="17"/>
          <w:color w:val="auto"/>
        </w:rPr>
        <w:t>the recent market prices of, and the demand for, publicly traded shares of generally comparable companies.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20" w:right="239" w:firstLine="216"/>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6" w:name="page117"/>
    <w:bookmarkEnd w:id="116"/>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ind w:left="120" w:right="459" w:firstLine="216"/>
        <w:spacing w:after="0" w:line="264"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95" w:lineRule="exact"/>
        <w:rPr>
          <w:sz w:val="20"/>
          <w:szCs w:val="20"/>
          <w:color w:val="auto"/>
        </w:rPr>
      </w:pPr>
    </w:p>
    <w:p>
      <w:pPr>
        <w:ind w:left="560" w:right="159" w:hanging="219"/>
        <w:spacing w:after="0" w:line="232" w:lineRule="auto"/>
        <w:tabs>
          <w:tab w:leader="none" w:pos="534" w:val="left"/>
        </w:tabs>
        <w:numPr>
          <w:ilvl w:val="0"/>
          <w:numId w:val="78"/>
        </w:numPr>
        <w:rPr>
          <w:rFonts w:ascii="Arial" w:cs="Arial" w:eastAsia="Arial" w:hAnsi="Arial"/>
          <w:sz w:val="22"/>
          <w:szCs w:val="22"/>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217" w:lineRule="exact"/>
        <w:rPr>
          <w:rFonts w:ascii="Arial" w:cs="Arial" w:eastAsia="Arial" w:hAnsi="Arial"/>
          <w:sz w:val="22"/>
          <w:szCs w:val="22"/>
          <w:color w:val="auto"/>
        </w:rPr>
      </w:pPr>
    </w:p>
    <w:p>
      <w:pPr>
        <w:ind w:left="560" w:right="159" w:hanging="219"/>
        <w:spacing w:after="0" w:line="282" w:lineRule="auto"/>
        <w:tabs>
          <w:tab w:leader="none" w:pos="534" w:val="left"/>
        </w:tabs>
        <w:numPr>
          <w:ilvl w:val="0"/>
          <w:numId w:val="78"/>
        </w:numPr>
        <w:rPr>
          <w:rFonts w:ascii="Arial" w:cs="Arial" w:eastAsia="Arial" w:hAnsi="Arial"/>
          <w:sz w:val="19"/>
          <w:szCs w:val="19"/>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7" w:lineRule="exact"/>
        <w:rPr>
          <w:rFonts w:ascii="Arial" w:cs="Arial" w:eastAsia="Arial" w:hAnsi="Arial"/>
          <w:sz w:val="19"/>
          <w:szCs w:val="19"/>
          <w:color w:val="auto"/>
        </w:rPr>
      </w:pPr>
    </w:p>
    <w:p>
      <w:pPr>
        <w:ind w:left="560" w:right="339" w:hanging="219"/>
        <w:spacing w:after="0" w:line="232" w:lineRule="auto"/>
        <w:tabs>
          <w:tab w:leader="none" w:pos="534" w:val="left"/>
        </w:tabs>
        <w:numPr>
          <w:ilvl w:val="0"/>
          <w:numId w:val="78"/>
        </w:numPr>
        <w:rPr>
          <w:rFonts w:ascii="Arial" w:cs="Arial" w:eastAsia="Arial" w:hAnsi="Arial"/>
          <w:sz w:val="22"/>
          <w:szCs w:val="22"/>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217" w:lineRule="exact"/>
        <w:rPr>
          <w:rFonts w:ascii="Arial" w:cs="Arial" w:eastAsia="Arial" w:hAnsi="Arial"/>
          <w:sz w:val="22"/>
          <w:szCs w:val="22"/>
          <w:color w:val="auto"/>
        </w:rPr>
      </w:pPr>
    </w:p>
    <w:p>
      <w:pPr>
        <w:ind w:left="560" w:right="219" w:hanging="219"/>
        <w:spacing w:after="0" w:line="238" w:lineRule="auto"/>
        <w:tabs>
          <w:tab w:leader="none" w:pos="534" w:val="left"/>
        </w:tabs>
        <w:numPr>
          <w:ilvl w:val="0"/>
          <w:numId w:val="78"/>
        </w:numPr>
        <w:rPr>
          <w:rFonts w:ascii="Arial" w:cs="Arial" w:eastAsia="Arial" w:hAnsi="Arial"/>
          <w:sz w:val="22"/>
          <w:szCs w:val="22"/>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20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Select Market or otherwise and, if commenced, may be discontinued at any time.</w:t>
      </w:r>
    </w:p>
    <w:p>
      <w:pPr>
        <w:spacing w:after="0" w:line="188" w:lineRule="exact"/>
        <w:rPr>
          <w:sz w:val="20"/>
          <w:szCs w:val="20"/>
          <w:color w:val="auto"/>
        </w:rPr>
      </w:pPr>
    </w:p>
    <w:p>
      <w:pPr>
        <w:jc w:val="both"/>
        <w:ind w:left="120" w:right="239" w:firstLine="216"/>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Select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ordinary shares have been approved for listing on the NASDAQ Global Select Market under the symbol “KRNT.”</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left="120" w:right="159" w:firstLine="216"/>
        <w:spacing w:after="0" w:line="264" w:lineRule="auto"/>
        <w:rPr>
          <w:sz w:val="20"/>
          <w:szCs w:val="20"/>
          <w:color w:val="auto"/>
        </w:rPr>
      </w:pPr>
      <w:r>
        <w:rPr>
          <w:rFonts w:ascii="Arial" w:cs="Arial" w:eastAsia="Arial" w:hAnsi="Arial"/>
          <w:sz w:val="18"/>
          <w:szCs w:val="18"/>
          <w:color w:val="auto"/>
        </w:rPr>
        <w:t>If you purchase ordinary shares offered in this prospectus outside the United States,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7" w:name="page118"/>
    <w:bookmarkEnd w:id="117"/>
    <w:p>
      <w:pPr>
        <w:ind w:left="120" w:right="119"/>
        <w:spacing w:after="0" w:line="264" w:lineRule="auto"/>
        <w:rPr>
          <w:sz w:val="20"/>
          <w:szCs w:val="20"/>
          <w:color w:val="auto"/>
        </w:rPr>
      </w:pPr>
      <w:r>
        <w:rPr>
          <w:rFonts w:ascii="Arial" w:cs="Arial" w:eastAsia="Arial" w:hAnsi="Arial"/>
          <w:sz w:val="18"/>
          <w:szCs w:val="18"/>
          <w:color w:val="auto"/>
        </w:rPr>
        <w:t>research, principal investment, hedging, financing and brokerage activities. The underwriters and certain of their affiliates may in the future perform various commercial and investment banking and financial advisory services for the issuer and its affiliates, for which they may receive customary fees and expenses.</w:t>
      </w:r>
    </w:p>
    <w:p>
      <w:pPr>
        <w:spacing w:after="0" w:line="181" w:lineRule="exact"/>
        <w:rPr>
          <w:sz w:val="20"/>
          <w:szCs w:val="20"/>
          <w:color w:val="auto"/>
        </w:rPr>
      </w:pPr>
    </w:p>
    <w:p>
      <w:pPr>
        <w:ind w:left="120" w:right="259" w:firstLine="216"/>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 Outside the United States</w:t>
      </w:r>
    </w:p>
    <w:p>
      <w:pPr>
        <w:spacing w:after="0" w:line="229"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120" w:right="299" w:firstLine="216"/>
        <w:spacing w:after="0" w:line="27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63" w:lineRule="exact"/>
        <w:rPr>
          <w:sz w:val="20"/>
          <w:szCs w:val="20"/>
          <w:color w:val="auto"/>
        </w:rPr>
      </w:pPr>
    </w:p>
    <w:p>
      <w:pPr>
        <w:ind w:left="540" w:hanging="199"/>
        <w:spacing w:after="0"/>
        <w:tabs>
          <w:tab w:leader="none" w:pos="540" w:val="left"/>
        </w:tabs>
        <w:numPr>
          <w:ilvl w:val="0"/>
          <w:numId w:val="79"/>
        </w:numPr>
        <w:rPr>
          <w:rFonts w:ascii="Arial" w:cs="Arial" w:eastAsia="Arial" w:hAnsi="Arial"/>
          <w:sz w:val="22"/>
          <w:szCs w:val="22"/>
          <w:color w:val="auto"/>
        </w:rPr>
      </w:pPr>
      <w:r>
        <w:rPr>
          <w:rFonts w:ascii="Arial" w:cs="Arial" w:eastAsia="Arial" w:hAnsi="Arial"/>
          <w:sz w:val="18"/>
          <w:szCs w:val="18"/>
          <w:color w:val="auto"/>
        </w:rPr>
        <w:t>to legal entities which are qualified investors as defined under the Prospectus Directive;</w:t>
      </w:r>
    </w:p>
    <w:p>
      <w:pPr>
        <w:spacing w:after="0" w:line="215" w:lineRule="exact"/>
        <w:rPr>
          <w:rFonts w:ascii="Arial" w:cs="Arial" w:eastAsia="Arial" w:hAnsi="Arial"/>
          <w:sz w:val="22"/>
          <w:szCs w:val="22"/>
          <w:color w:val="auto"/>
        </w:rPr>
      </w:pPr>
    </w:p>
    <w:p>
      <w:pPr>
        <w:ind w:left="560" w:right="179" w:hanging="219"/>
        <w:spacing w:after="0" w:line="241" w:lineRule="auto"/>
        <w:tabs>
          <w:tab w:leader="none" w:pos="534" w:val="left"/>
        </w:tabs>
        <w:numPr>
          <w:ilvl w:val="0"/>
          <w:numId w:val="79"/>
        </w:numPr>
        <w:rPr>
          <w:rFonts w:ascii="Arial" w:cs="Arial" w:eastAsia="Arial" w:hAnsi="Arial"/>
          <w:sz w:val="22"/>
          <w:szCs w:val="22"/>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93" w:lineRule="exact"/>
        <w:rPr>
          <w:rFonts w:ascii="Arial" w:cs="Arial" w:eastAsia="Arial" w:hAnsi="Arial"/>
          <w:sz w:val="22"/>
          <w:szCs w:val="22"/>
          <w:color w:val="auto"/>
        </w:rPr>
      </w:pPr>
    </w:p>
    <w:p>
      <w:pPr>
        <w:ind w:left="540" w:hanging="199"/>
        <w:spacing w:after="0"/>
        <w:tabs>
          <w:tab w:leader="none" w:pos="540" w:val="left"/>
        </w:tabs>
        <w:numPr>
          <w:ilvl w:val="0"/>
          <w:numId w:val="79"/>
        </w:numPr>
        <w:rPr>
          <w:rFonts w:ascii="Arial" w:cs="Arial" w:eastAsia="Arial" w:hAnsi="Arial"/>
          <w:sz w:val="22"/>
          <w:szCs w:val="22"/>
          <w:color w:val="auto"/>
        </w:rPr>
      </w:pPr>
      <w:r>
        <w:rPr>
          <w:rFonts w:ascii="Arial" w:cs="Arial" w:eastAsia="Arial" w:hAnsi="Arial"/>
          <w:sz w:val="18"/>
          <w:szCs w:val="18"/>
          <w:color w:val="auto"/>
        </w:rPr>
        <w:t>in any other circumstances falling within Article 3(2) of the Prospectus Directive,</w:t>
      </w:r>
    </w:p>
    <w:p>
      <w:pPr>
        <w:spacing w:after="0" w:line="202"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provided that no such offer of ordinary shares shall result in a requirement for us or any underwriter to publish a prospectus pursuant to Article 3 of the Prospectus Directive or supplement a prospectus pursuant to Article 16 of the Prospectus Directive.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8" w:name="page119"/>
    <w:bookmarkEnd w:id="118"/>
    <w:p>
      <w:pPr>
        <w:jc w:val="both"/>
        <w:ind w:left="120" w:right="139" w:firstLine="216"/>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172" w:lineRule="exact"/>
        <w:rPr>
          <w:sz w:val="20"/>
          <w:szCs w:val="20"/>
          <w:color w:val="auto"/>
        </w:rPr>
      </w:pPr>
    </w:p>
    <w:p>
      <w:pPr>
        <w:ind w:left="540" w:hanging="199"/>
        <w:spacing w:after="0"/>
        <w:tabs>
          <w:tab w:leader="none" w:pos="540" w:val="left"/>
        </w:tabs>
        <w:numPr>
          <w:ilvl w:val="0"/>
          <w:numId w:val="80"/>
        </w:numPr>
        <w:rPr>
          <w:rFonts w:ascii="Arial" w:cs="Arial" w:eastAsia="Arial" w:hAnsi="Arial"/>
          <w:sz w:val="22"/>
          <w:szCs w:val="22"/>
          <w:color w:val="auto"/>
        </w:rPr>
      </w:pPr>
      <w:r>
        <w:rPr>
          <w:rFonts w:ascii="Arial" w:cs="Arial" w:eastAsia="Arial" w:hAnsi="Arial"/>
          <w:sz w:val="18"/>
          <w:szCs w:val="18"/>
          <w:color w:val="auto"/>
        </w:rPr>
        <w:t>it is a qualified investor as defined under the Prospectus Directive; and</w:t>
      </w:r>
    </w:p>
    <w:p>
      <w:pPr>
        <w:spacing w:after="0" w:line="215" w:lineRule="exact"/>
        <w:rPr>
          <w:rFonts w:ascii="Arial" w:cs="Arial" w:eastAsia="Arial" w:hAnsi="Arial"/>
          <w:sz w:val="22"/>
          <w:szCs w:val="22"/>
          <w:color w:val="auto"/>
        </w:rPr>
      </w:pPr>
    </w:p>
    <w:p>
      <w:pPr>
        <w:ind w:left="560" w:right="259" w:hanging="219"/>
        <w:spacing w:after="0" w:line="246" w:lineRule="auto"/>
        <w:tabs>
          <w:tab w:leader="none" w:pos="534" w:val="left"/>
        </w:tabs>
        <w:numPr>
          <w:ilvl w:val="0"/>
          <w:numId w:val="80"/>
        </w:numPr>
        <w:rPr>
          <w:rFonts w:ascii="Arial" w:cs="Arial" w:eastAsia="Arial" w:hAnsi="Arial"/>
          <w:sz w:val="22"/>
          <w:szCs w:val="22"/>
          <w:color w:val="auto"/>
        </w:rPr>
      </w:pPr>
      <w:r>
        <w:rPr>
          <w:rFonts w:ascii="Arial" w:cs="Arial" w:eastAsia="Arial" w:hAnsi="Arial"/>
          <w:sz w:val="18"/>
          <w:szCs w:val="18"/>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200" w:lineRule="exact"/>
        <w:rPr>
          <w:sz w:val="20"/>
          <w:szCs w:val="20"/>
          <w:color w:val="auto"/>
        </w:rPr>
      </w:pPr>
    </w:p>
    <w:p>
      <w:pPr>
        <w:ind w:left="120" w:right="239" w:firstLine="216"/>
        <w:spacing w:after="0" w:line="290"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EXPENSES RELATED TO THIS OFFERING</w:t>
      </w:r>
    </w:p>
    <w:p>
      <w:pPr>
        <w:spacing w:after="0" w:line="162" w:lineRule="exact"/>
        <w:rPr>
          <w:sz w:val="20"/>
          <w:szCs w:val="20"/>
          <w:color w:val="auto"/>
        </w:rPr>
      </w:pPr>
    </w:p>
    <w:p>
      <w:pPr>
        <w:ind w:left="120" w:right="419" w:firstLine="216"/>
        <w:spacing w:after="0" w:line="264" w:lineRule="auto"/>
        <w:rPr>
          <w:sz w:val="20"/>
          <w:szCs w:val="20"/>
          <w:color w:val="auto"/>
        </w:rPr>
      </w:pPr>
      <w:r>
        <w:rPr>
          <w:rFonts w:ascii="Arial" w:cs="Arial" w:eastAsia="Arial" w:hAnsi="Arial"/>
          <w:sz w:val="18"/>
          <w:szCs w:val="18"/>
          <w:color w:val="auto"/>
        </w:rPr>
        <w:t>The following table sets forth all expenses to be paid by us, other than underwriting discounts and commissions, in connection with this offering. All amounts shown are estimates except for the Securities and Exchange Commission registration fee, NASDAQ listing fee and FINRA filing fee:</w:t>
      </w:r>
    </w:p>
    <w:p>
      <w:pPr>
        <w:sectPr>
          <w:pgSz w:w="11900" w:h="16838" w:orient="portrait"/>
          <w:cols w:equalWidth="0" w:num="1">
            <w:col w:w="9019"/>
          </w:cols>
          <w:pgMar w:left="1440" w:top="121"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 registration fee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Printing and engraving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Miscellaneous fees and expenses</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08"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EXPERTS</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center"/>
        <w:ind w:right="298"/>
        <w:spacing w:after="0"/>
        <w:rPr>
          <w:sz w:val="20"/>
          <w:szCs w:val="20"/>
          <w:color w:val="auto"/>
        </w:rPr>
      </w:pPr>
      <w:r>
        <w:rPr>
          <w:rFonts w:ascii="Arial" w:cs="Arial" w:eastAsia="Arial" w:hAnsi="Arial"/>
          <w:sz w:val="16"/>
          <w:szCs w:val="16"/>
          <w:b w:val="1"/>
          <w:bCs w:val="1"/>
          <w:color w:val="auto"/>
        </w:rPr>
        <w:t>Amount to be</w:t>
      </w:r>
    </w:p>
    <w:p>
      <w:pPr>
        <w:spacing w:after="0" w:line="26" w:lineRule="exact"/>
        <w:rPr>
          <w:sz w:val="20"/>
          <w:szCs w:val="20"/>
          <w:color w:val="auto"/>
        </w:rPr>
      </w:pPr>
    </w:p>
    <w:p>
      <w:pPr>
        <w:jc w:val="center"/>
        <w:ind w:right="298"/>
        <w:spacing w:after="0"/>
        <w:rPr>
          <w:sz w:val="20"/>
          <w:szCs w:val="20"/>
          <w:color w:val="auto"/>
        </w:rPr>
      </w:pPr>
      <w:r>
        <w:rPr>
          <w:rFonts w:ascii="Arial" w:cs="Arial" w:eastAsia="Arial" w:hAnsi="Arial"/>
          <w:sz w:val="16"/>
          <w:szCs w:val="16"/>
          <w:b w:val="1"/>
          <w:bCs w:val="1"/>
          <w:color w:val="auto"/>
        </w:rPr>
        <w:t>Paid</w:t>
      </w:r>
    </w:p>
    <w:p>
      <w:pPr>
        <w:spacing w:after="0" w:line="24" w:lineRule="exact"/>
        <w:rPr>
          <w:sz w:val="20"/>
          <w:szCs w:val="20"/>
          <w:color w:val="auto"/>
        </w:rPr>
      </w:pPr>
    </w:p>
    <w:p>
      <w:pPr>
        <w:ind w:left="741" w:hanging="741"/>
        <w:spacing w:after="0"/>
        <w:tabs>
          <w:tab w:leader="none" w:pos="741" w:val="left"/>
        </w:tabs>
        <w:numPr>
          <w:ilvl w:val="0"/>
          <w:numId w:val="81"/>
        </w:numPr>
        <w:rPr>
          <w:rFonts w:ascii="Arial" w:cs="Arial" w:eastAsia="Arial" w:hAnsi="Arial"/>
          <w:sz w:val="15"/>
          <w:szCs w:val="15"/>
          <w:color w:val="auto"/>
        </w:rPr>
      </w:pPr>
      <w:r>
        <w:rPr>
          <w:rFonts w:ascii="Arial" w:cs="Arial" w:eastAsia="Arial" w:hAnsi="Arial"/>
          <w:sz w:val="15"/>
          <w:szCs w:val="15"/>
          <w:color w:val="auto"/>
        </w:rPr>
        <w:t>14,232</w:t>
      </w:r>
    </w:p>
    <w:p>
      <w:pPr>
        <w:spacing w:after="0" w:line="57" w:lineRule="exact"/>
        <w:rPr>
          <w:rFonts w:ascii="Arial" w:cs="Arial" w:eastAsia="Arial" w:hAnsi="Arial"/>
          <w:sz w:val="15"/>
          <w:szCs w:val="15"/>
          <w:color w:val="auto"/>
        </w:rPr>
      </w:pPr>
    </w:p>
    <w:p>
      <w:pPr>
        <w:ind w:left="741"/>
        <w:spacing w:after="0"/>
        <w:rPr>
          <w:rFonts w:ascii="Arial" w:cs="Arial" w:eastAsia="Arial" w:hAnsi="Arial"/>
          <w:sz w:val="15"/>
          <w:szCs w:val="15"/>
          <w:color w:val="auto"/>
        </w:rPr>
      </w:pPr>
      <w:r>
        <w:rPr>
          <w:rFonts w:ascii="Arial" w:cs="Arial" w:eastAsia="Arial" w:hAnsi="Arial"/>
          <w:sz w:val="15"/>
          <w:szCs w:val="15"/>
          <w:color w:val="auto"/>
        </w:rPr>
        <w:t>18,871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-254635</wp:posOffset>
            </wp:positionV>
            <wp:extent cx="7804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4"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125,000</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403,000</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90,000</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1,500,000</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5,000</w:t>
      </w:r>
    </w:p>
    <w:p>
      <w:pPr>
        <w:spacing w:after="0" w:line="9"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343,897</w:t>
      </w:r>
    </w:p>
    <w:p>
      <w:pPr>
        <w:spacing w:after="0" w:line="9" w:lineRule="exact"/>
        <w:rPr>
          <w:sz w:val="20"/>
          <w:szCs w:val="20"/>
          <w:color w:val="auto"/>
        </w:rPr>
      </w:pPr>
    </w:p>
    <w:p>
      <w:pPr>
        <w:ind w:left="501" w:hanging="501"/>
        <w:spacing w:after="0"/>
        <w:tabs>
          <w:tab w:leader="none" w:pos="501" w:val="left"/>
        </w:tabs>
        <w:numPr>
          <w:ilvl w:val="0"/>
          <w:numId w:val="82"/>
        </w:numPr>
        <w:rPr>
          <w:rFonts w:ascii="Arial" w:cs="Arial" w:eastAsia="Arial" w:hAnsi="Arial"/>
          <w:sz w:val="16"/>
          <w:szCs w:val="16"/>
          <w:color w:val="auto"/>
        </w:rPr>
      </w:pPr>
      <w:r>
        <w:rPr>
          <w:rFonts w:ascii="Arial" w:cs="Arial" w:eastAsia="Arial" w:hAnsi="Arial"/>
          <w:sz w:val="16"/>
          <w:szCs w:val="16"/>
          <w:color w:val="auto"/>
        </w:rPr>
        <w:t>2,500,000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804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46355</wp:posOffset>
            </wp:positionV>
            <wp:extent cx="7804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804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7804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585" w:lineRule="exact"/>
        <w:rPr>
          <w:sz w:val="20"/>
          <w:szCs w:val="20"/>
          <w:color w:val="auto"/>
        </w:rPr>
      </w:pPr>
    </w:p>
    <w:p>
      <w:pPr>
        <w:sectPr>
          <w:pgSz w:w="11900" w:h="16838" w:orient="portrait"/>
          <w:cols w:equalWidth="0" w:num="2">
            <w:col w:w="6779" w:space="720"/>
            <w:col w:w="1521"/>
          </w:cols>
          <w:pgMar w:left="1440" w:top="121" w:right="1440" w:bottom="1440" w:gutter="0" w:footer="0" w:header="0"/>
          <w:type w:val="continuous"/>
        </w:sectPr>
      </w:pPr>
    </w:p>
    <w:p>
      <w:pPr>
        <w:ind w:left="120" w:right="139" w:firstLine="216"/>
        <w:spacing w:after="0" w:line="276" w:lineRule="auto"/>
        <w:rPr>
          <w:sz w:val="20"/>
          <w:szCs w:val="20"/>
          <w:color w:val="auto"/>
        </w:rPr>
      </w:pPr>
      <w:r>
        <w:rPr>
          <w:rFonts w:ascii="Arial" w:cs="Arial" w:eastAsia="Arial" w:hAnsi="Arial"/>
          <w:sz w:val="17"/>
          <w:szCs w:val="17"/>
          <w:color w:val="auto"/>
        </w:rPr>
        <w:t>The consolidated financial statements of Kornit Digital Ltd. at December 31, 2013 and 2014, and for each of the three years in the period ended December 31, 2014,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The validity of the ordinary shares being offered by this prospectus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62"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spacing w:after="0" w:line="105" w:lineRule="exact"/>
        <w:rPr>
          <w:sz w:val="20"/>
          <w:szCs w:val="20"/>
          <w:color w:val="auto"/>
        </w:rPr>
      </w:pPr>
    </w:p>
    <w:p>
      <w:pPr>
        <w:ind w:left="120" w:right="199" w:firstLine="216"/>
        <w:spacing w:after="0" w:line="293" w:lineRule="auto"/>
        <w:rPr>
          <w:sz w:val="20"/>
          <w:szCs w:val="20"/>
          <w:color w:val="auto"/>
        </w:rPr>
      </w:pPr>
      <w:r>
        <w:rPr>
          <w:rFonts w:ascii="Arial" w:cs="Arial" w:eastAsia="Arial" w:hAnsi="Arial"/>
          <w:sz w:val="16"/>
          <w:szCs w:val="16"/>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84"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24" w:lineRule="exact"/>
        <w:rPr>
          <w:sz w:val="20"/>
          <w:szCs w:val="20"/>
          <w:color w:val="auto"/>
        </w:rPr>
      </w:pPr>
    </w:p>
    <w:p>
      <w:pPr>
        <w:ind w:left="560" w:right="299" w:hanging="219"/>
        <w:spacing w:after="0" w:line="297" w:lineRule="auto"/>
        <w:tabs>
          <w:tab w:leader="none" w:pos="534" w:val="left"/>
        </w:tabs>
        <w:numPr>
          <w:ilvl w:val="0"/>
          <w:numId w:val="83"/>
        </w:numPr>
        <w:rPr>
          <w:rFonts w:ascii="Arial" w:cs="Arial" w:eastAsia="Arial" w:hAnsi="Arial"/>
          <w:sz w:val="19"/>
          <w:szCs w:val="19"/>
          <w:color w:val="auto"/>
        </w:rPr>
      </w:pPr>
      <w:r>
        <w:rPr>
          <w:rFonts w:ascii="Arial" w:cs="Arial" w:eastAsia="Arial" w:hAnsi="Arial"/>
          <w:sz w:val="16"/>
          <w:szCs w:val="16"/>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120" w:name="page121"/>
    <w:bookmarkEnd w:id="120"/>
    <w:p>
      <w:pPr>
        <w:ind w:left="540" w:hanging="199"/>
        <w:spacing w:after="0"/>
        <w:tabs>
          <w:tab w:leader="none" w:pos="540" w:val="left"/>
        </w:tabs>
        <w:numPr>
          <w:ilvl w:val="0"/>
          <w:numId w:val="84"/>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147" w:lineRule="exact"/>
        <w:rPr>
          <w:rFonts w:ascii="Arial" w:cs="Arial" w:eastAsia="Arial" w:hAnsi="Arial"/>
          <w:sz w:val="22"/>
          <w:szCs w:val="22"/>
          <w:color w:val="auto"/>
        </w:rPr>
      </w:pPr>
    </w:p>
    <w:p>
      <w:pPr>
        <w:ind w:left="560" w:right="159" w:hanging="219"/>
        <w:spacing w:after="0" w:line="232" w:lineRule="auto"/>
        <w:tabs>
          <w:tab w:leader="none" w:pos="534" w:val="left"/>
        </w:tabs>
        <w:numPr>
          <w:ilvl w:val="0"/>
          <w:numId w:val="84"/>
        </w:numPr>
        <w:rPr>
          <w:rFonts w:ascii="Arial" w:cs="Arial" w:eastAsia="Arial" w:hAnsi="Arial"/>
          <w:sz w:val="22"/>
          <w:szCs w:val="22"/>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149" w:lineRule="exact"/>
        <w:rPr>
          <w:rFonts w:ascii="Arial" w:cs="Arial" w:eastAsia="Arial" w:hAnsi="Arial"/>
          <w:sz w:val="22"/>
          <w:szCs w:val="22"/>
          <w:color w:val="auto"/>
        </w:rPr>
      </w:pPr>
    </w:p>
    <w:p>
      <w:pPr>
        <w:ind w:left="560" w:right="159" w:hanging="219"/>
        <w:spacing w:after="0" w:line="232" w:lineRule="auto"/>
        <w:tabs>
          <w:tab w:leader="none" w:pos="534" w:val="left"/>
        </w:tabs>
        <w:numPr>
          <w:ilvl w:val="0"/>
          <w:numId w:val="84"/>
        </w:numPr>
        <w:rPr>
          <w:rFonts w:ascii="Arial" w:cs="Arial" w:eastAsia="Arial" w:hAnsi="Arial"/>
          <w:sz w:val="22"/>
          <w:szCs w:val="22"/>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136" w:lineRule="exact"/>
        <w:rPr>
          <w:rFonts w:ascii="Arial" w:cs="Arial" w:eastAsia="Arial" w:hAnsi="Arial"/>
          <w:sz w:val="22"/>
          <w:szCs w:val="22"/>
          <w:color w:val="auto"/>
        </w:rPr>
      </w:pPr>
    </w:p>
    <w:p>
      <w:pPr>
        <w:ind w:left="560" w:right="459" w:hanging="219"/>
        <w:spacing w:after="0" w:line="232" w:lineRule="auto"/>
        <w:tabs>
          <w:tab w:leader="none" w:pos="534" w:val="left"/>
        </w:tabs>
        <w:numPr>
          <w:ilvl w:val="0"/>
          <w:numId w:val="84"/>
        </w:numPr>
        <w:rPr>
          <w:rFonts w:ascii="Arial" w:cs="Arial" w:eastAsia="Arial" w:hAnsi="Arial"/>
          <w:sz w:val="22"/>
          <w:szCs w:val="22"/>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149" w:lineRule="exact"/>
        <w:rPr>
          <w:rFonts w:ascii="Arial" w:cs="Arial" w:eastAsia="Arial" w:hAnsi="Arial"/>
          <w:sz w:val="22"/>
          <w:szCs w:val="22"/>
          <w:color w:val="auto"/>
        </w:rPr>
      </w:pPr>
    </w:p>
    <w:p>
      <w:pPr>
        <w:ind w:left="560" w:right="579" w:hanging="219"/>
        <w:spacing w:after="0" w:line="232" w:lineRule="auto"/>
        <w:tabs>
          <w:tab w:leader="none" w:pos="534" w:val="left"/>
        </w:tabs>
        <w:numPr>
          <w:ilvl w:val="0"/>
          <w:numId w:val="84"/>
        </w:numPr>
        <w:rPr>
          <w:rFonts w:ascii="Arial" w:cs="Arial" w:eastAsia="Arial" w:hAnsi="Arial"/>
          <w:sz w:val="22"/>
          <w:szCs w:val="22"/>
          <w:color w:val="auto"/>
        </w:rPr>
      </w:pPr>
      <w:r>
        <w:rPr>
          <w:rFonts w:ascii="Arial" w:cs="Arial" w:eastAsia="Arial" w:hAnsi="Arial"/>
          <w:sz w:val="18"/>
          <w:szCs w:val="18"/>
          <w:color w:val="auto"/>
        </w:rPr>
        <w:t>the judgment was not obtained by fraud and do not conflict with any other valid judgments in the same matter between the same parties;</w:t>
      </w:r>
    </w:p>
    <w:p>
      <w:pPr>
        <w:spacing w:after="0" w:line="149" w:lineRule="exact"/>
        <w:rPr>
          <w:rFonts w:ascii="Arial" w:cs="Arial" w:eastAsia="Arial" w:hAnsi="Arial"/>
          <w:sz w:val="22"/>
          <w:szCs w:val="22"/>
          <w:color w:val="auto"/>
        </w:rPr>
      </w:pPr>
    </w:p>
    <w:p>
      <w:pPr>
        <w:ind w:left="560" w:right="359" w:hanging="219"/>
        <w:spacing w:after="0" w:line="232" w:lineRule="auto"/>
        <w:tabs>
          <w:tab w:leader="none" w:pos="534" w:val="left"/>
        </w:tabs>
        <w:numPr>
          <w:ilvl w:val="0"/>
          <w:numId w:val="84"/>
        </w:numPr>
        <w:rPr>
          <w:rFonts w:ascii="Arial" w:cs="Arial" w:eastAsia="Arial" w:hAnsi="Arial"/>
          <w:sz w:val="22"/>
          <w:szCs w:val="22"/>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136" w:lineRule="exact"/>
        <w:rPr>
          <w:rFonts w:ascii="Arial" w:cs="Arial" w:eastAsia="Arial" w:hAnsi="Arial"/>
          <w:sz w:val="22"/>
          <w:szCs w:val="22"/>
          <w:color w:val="auto"/>
        </w:rPr>
      </w:pPr>
    </w:p>
    <w:p>
      <w:pPr>
        <w:ind w:left="560" w:right="119" w:hanging="219"/>
        <w:spacing w:after="0" w:line="232" w:lineRule="auto"/>
        <w:tabs>
          <w:tab w:leader="none" w:pos="534" w:val="left"/>
        </w:tabs>
        <w:numPr>
          <w:ilvl w:val="0"/>
          <w:numId w:val="84"/>
        </w:numPr>
        <w:rPr>
          <w:rFonts w:ascii="Arial" w:cs="Arial" w:eastAsia="Arial" w:hAnsi="Arial"/>
          <w:sz w:val="22"/>
          <w:szCs w:val="22"/>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204"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We have filed with the Commission a registration statement on Form F-1 under the Securities Act relating to this offering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78" w:lineRule="exact"/>
        <w:rPr>
          <w:sz w:val="20"/>
          <w:szCs w:val="20"/>
          <w:color w:val="auto"/>
        </w:rPr>
      </w:pPr>
    </w:p>
    <w:p>
      <w:pPr>
        <w:ind w:left="120" w:right="219" w:firstLine="216"/>
        <w:spacing w:after="0" w:line="254"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192"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24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27"/>
        </w:trPr>
        <w:tc>
          <w:tcPr>
            <w:tcW w:w="7540" w:type="dxa"/>
            <w:vAlign w:val="bottom"/>
            <w:gridSpan w:val="2"/>
            <w:vMerge w:val="continue"/>
          </w:tcPr>
          <w:p>
            <w:pPr>
              <w:spacing w:after="0"/>
              <w:rPr>
                <w:sz w:val="19"/>
                <w:szCs w:val="19"/>
                <w:color w:val="auto"/>
              </w:rPr>
            </w:pPr>
          </w:p>
        </w:tc>
        <w:tc>
          <w:tcPr>
            <w:tcW w:w="1240" w:type="dxa"/>
            <w:vAlign w:val="bottom"/>
          </w:tcPr>
          <w:p>
            <w:pPr>
              <w:ind w:left="4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431"/>
        </w:trPr>
        <w:tc>
          <w:tcPr>
            <w:tcW w:w="754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2013 and 2014</w:t>
            </w:r>
          </w:p>
        </w:tc>
        <w:tc>
          <w:tcPr>
            <w:tcW w:w="1240" w:type="dxa"/>
            <w:vAlign w:val="bottom"/>
          </w:tcPr>
          <w:p>
            <w:pPr>
              <w:ind w:left="4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Consolidated Statements of Income for the years ended December 31, 2012, 2013 and 2014</w:t>
            </w:r>
          </w:p>
        </w:tc>
        <w:tc>
          <w:tcPr>
            <w:tcW w:w="1240" w:type="dxa"/>
            <w:vAlign w:val="bottom"/>
          </w:tcPr>
          <w:p>
            <w:pPr>
              <w:ind w:left="4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w w:val="95"/>
              </w:rPr>
              <w:t>Consolidated Statements of Comprehensive Income for the years ended December 31, 2012, 2013</w:t>
            </w:r>
          </w:p>
        </w:tc>
        <w:tc>
          <w:tcPr>
            <w:tcW w:w="1240" w:type="dxa"/>
            <w:vAlign w:val="bottom"/>
          </w:tcPr>
          <w:p>
            <w:pPr>
              <w:ind w:left="4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and 2014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w w:val="92"/>
              </w:rPr>
              <w:t>Consolidated Statements of Changes in Shareholders’ Equity for the years ended December 31, 2012,</w:t>
            </w:r>
          </w:p>
        </w:tc>
        <w:tc>
          <w:tcPr>
            <w:tcW w:w="1240" w:type="dxa"/>
            <w:vAlign w:val="bottom"/>
          </w:tcPr>
          <w:p>
            <w:pPr>
              <w:ind w:left="48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2013 and 2014</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w w:val="97"/>
              </w:rPr>
              <w:t>Consolidated Statements of Cash Flows for the years ended December 31, 2012, 2013 and 2014</w:t>
            </w:r>
          </w:p>
        </w:tc>
        <w:tc>
          <w:tcPr>
            <w:tcW w:w="1240" w:type="dxa"/>
            <w:vAlign w:val="bottom"/>
          </w:tcPr>
          <w:p>
            <w:pPr>
              <w:ind w:left="4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240" w:type="dxa"/>
            <w:vAlign w:val="bottom"/>
          </w:tcPr>
          <w:p>
            <w:pPr>
              <w:ind w:left="42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20" w:type="dxa"/>
            <w:vAlign w:val="bottom"/>
            <w:tcBorders>
              <w:bottom w:val="single" w:sz="8" w:color="auto"/>
            </w:tcBorders>
          </w:tcPr>
          <w:p>
            <w:pPr>
              <w:ind w:left="4280"/>
              <w:spacing w:after="0"/>
              <w:rPr>
                <w:sz w:val="20"/>
                <w:szCs w:val="20"/>
                <w:color w:val="auto"/>
              </w:rPr>
            </w:pPr>
            <w:r>
              <w:rPr>
                <w:rFonts w:ascii="Arial" w:cs="Arial" w:eastAsia="Arial" w:hAnsi="Arial"/>
                <w:sz w:val="14"/>
                <w:szCs w:val="14"/>
                <w:color w:val="auto"/>
              </w:rPr>
              <w:t>F-1</w:t>
            </w: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1" w:right="1440" w:bottom="1440" w:gutter="0" w:footer="0" w:header="0"/>
        </w:sectPr>
      </w:pPr>
    </w:p>
    <w:bookmarkStart w:id="122" w:name="page123"/>
    <w:bookmarkEnd w:id="1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226060</wp:posOffset>
            </wp:positionV>
            <wp:extent cx="840740" cy="9690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840740" cy="969010"/>
                    </a:xfrm>
                    <a:prstGeom prst="rect">
                      <a:avLst/>
                    </a:prstGeom>
                    <a:noFill/>
                  </pic:spPr>
                </pic:pic>
              </a:graphicData>
            </a:graphic>
          </wp:anchor>
        </w:drawing>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We have audited the accompanying consolidated balance sheets of Kornit Digital Ltd. and its subsidiaries (the “Company”) as of December 31, 2013 and 2014, and the related consolidated statements of income, comprehensive income, shareholders’ equity and cash flows for each of the three years in the period ended December 31, 2014.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1"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subsidiaries at December 31, 2013 and 2014, and the consolidated results of their operations and their cash flows for each of the three years in the period ended December 31, 2014, in conformity with U.S. generally accepted accounting principles.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4580" w:type="dxa"/>
            <w:vAlign w:val="bottom"/>
          </w:tcPr>
          <w:p>
            <w:pPr>
              <w:jc w:val="center"/>
              <w:spacing w:after="0"/>
              <w:rPr>
                <w:sz w:val="20"/>
                <w:szCs w:val="20"/>
                <w:color w:val="auto"/>
              </w:rPr>
            </w:pPr>
            <w:r>
              <w:rPr>
                <w:rFonts w:ascii="Arial" w:cs="Arial" w:eastAsia="Arial" w:hAnsi="Arial"/>
                <w:sz w:val="18"/>
                <w:szCs w:val="18"/>
                <w:color w:val="auto"/>
                <w:w w:val="91"/>
              </w:rPr>
              <w:t>/s/ Kost Forer Gabbay &amp; Kasierer</w:t>
            </w:r>
          </w:p>
        </w:tc>
      </w:tr>
      <w:tr>
        <w:trPr>
          <w:trHeight w:val="229"/>
        </w:trPr>
        <w:tc>
          <w:tcPr>
            <w:tcW w:w="4200" w:type="dxa"/>
            <w:vAlign w:val="bottom"/>
            <w:gridSpan w:val="2"/>
          </w:tcPr>
          <w:p>
            <w:pPr>
              <w:spacing w:after="0"/>
              <w:rPr>
                <w:sz w:val="20"/>
                <w:szCs w:val="20"/>
                <w:color w:val="auto"/>
              </w:rPr>
            </w:pPr>
            <w:r>
              <w:rPr>
                <w:rFonts w:ascii="Arial" w:cs="Arial" w:eastAsia="Arial" w:hAnsi="Arial"/>
                <w:sz w:val="18"/>
                <w:szCs w:val="18"/>
                <w:color w:val="auto"/>
              </w:rPr>
              <w:t>Tel-Aviv, Israel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KOST FORER GABBAY &amp; KASIERER</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February 25, 2015</w:t>
            </w:r>
          </w:p>
        </w:tc>
        <w:tc>
          <w:tcPr>
            <w:tcW w:w="4580" w:type="dxa"/>
            <w:vAlign w:val="bottom"/>
          </w:tcPr>
          <w:p>
            <w:pPr>
              <w:jc w:val="center"/>
              <w:spacing w:after="0"/>
              <w:rPr>
                <w:sz w:val="20"/>
                <w:szCs w:val="20"/>
                <w:color w:val="auto"/>
              </w:rPr>
            </w:pPr>
            <w:r>
              <w:rPr>
                <w:rFonts w:ascii="Arial" w:cs="Arial" w:eastAsia="Arial" w:hAnsi="Arial"/>
                <w:sz w:val="18"/>
                <w:szCs w:val="18"/>
                <w:color w:val="auto"/>
                <w:w w:val="93"/>
              </w:rPr>
              <w:t>A Member of Ernst &amp; Young Global</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w w:val="92"/>
              </w:rPr>
              <w:t>Except for Notes 2v, 9, 10, 11i, 15c and 15d to which the</w:t>
            </w:r>
          </w:p>
        </w:tc>
        <w:tc>
          <w:tcPr>
            <w:tcW w:w="4580" w:type="dxa"/>
            <w:vAlign w:val="bottom"/>
          </w:tcPr>
          <w:p>
            <w:pPr>
              <w:spacing w:after="0"/>
              <w:rPr>
                <w:sz w:val="18"/>
                <w:szCs w:val="18"/>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date is March 18, 2015</w:t>
            </w:r>
          </w:p>
        </w:tc>
        <w:tc>
          <w:tcPr>
            <w:tcW w:w="4580" w:type="dxa"/>
            <w:vAlign w:val="bottom"/>
          </w:tcPr>
          <w:p>
            <w:pPr>
              <w:spacing w:after="0"/>
              <w:rPr>
                <w:sz w:val="20"/>
                <w:szCs w:val="20"/>
                <w:color w:val="auto"/>
              </w:rPr>
            </w:pPr>
          </w:p>
        </w:tc>
      </w:tr>
      <w:tr>
        <w:trPr>
          <w:trHeight w:val="284"/>
        </w:trPr>
        <w:tc>
          <w:tcPr>
            <w:tcW w:w="20" w:type="dxa"/>
            <w:vAlign w:val="bottom"/>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F-2</w:t>
            </w:r>
          </w:p>
        </w:tc>
      </w:tr>
    </w:tbl>
    <w:p>
      <w:pPr>
        <w:sectPr>
          <w:pgSz w:w="11900" w:h="16838" w:orient="portrait"/>
          <w:cols w:equalWidth="0" w:num="1">
            <w:col w:w="9019"/>
          </w:cols>
          <w:pgMar w:left="1440" w:top="1440" w:right="1440" w:bottom="1440" w:gutter="0" w:footer="0" w:header="0"/>
        </w:sectPr>
      </w:pPr>
    </w:p>
    <w:bookmarkStart w:id="123" w:name="page124"/>
    <w:bookmarkEnd w:id="12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8"/>
        </w:trPr>
        <w:tc>
          <w:tcPr>
            <w:tcW w:w="38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5,329</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4,993</w:t>
            </w:r>
          </w:p>
        </w:tc>
        <w:tc>
          <w:tcPr>
            <w:tcW w:w="16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Short-term bank deposits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2,635</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Trade receivables, net</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9,770</w:t>
            </w:r>
          </w:p>
        </w:tc>
        <w:tc>
          <w:tcPr>
            <w:tcW w:w="16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w w:val="98"/>
              </w:rPr>
              <w:t>Other accounts receivable and prepaid expenses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1,775</w:t>
            </w:r>
          </w:p>
        </w:tc>
        <w:tc>
          <w:tcPr>
            <w:tcW w:w="160" w:type="dxa"/>
            <w:vAlign w:val="bottom"/>
          </w:tcPr>
          <w:p>
            <w:pPr>
              <w:spacing w:after="0"/>
              <w:rPr>
                <w:sz w:val="18"/>
                <w:szCs w:val="18"/>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Inventories</w:t>
            </w:r>
          </w:p>
        </w:tc>
        <w:tc>
          <w:tcPr>
            <w:tcW w:w="1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11,986</w:t>
            </w:r>
          </w:p>
        </w:tc>
        <w:tc>
          <w:tcPr>
            <w:tcW w:w="160" w:type="dxa"/>
            <w:vAlign w:val="bottom"/>
          </w:tcPr>
          <w:p>
            <w:pPr>
              <w:spacing w:after="0"/>
              <w:rPr>
                <w:sz w:val="20"/>
                <w:szCs w:val="20"/>
                <w:color w:val="auto"/>
              </w:rPr>
            </w:pPr>
          </w:p>
        </w:tc>
      </w:tr>
      <w:tr>
        <w:trPr>
          <w:trHeight w:val="385"/>
        </w:trPr>
        <w:tc>
          <w:tcPr>
            <w:tcW w:w="388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27,283</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28,524</w:t>
            </w:r>
          </w:p>
        </w:tc>
        <w:tc>
          <w:tcPr>
            <w:tcW w:w="160" w:type="dxa"/>
            <w:vAlign w:val="bottom"/>
          </w:tcPr>
          <w:p>
            <w:pPr>
              <w:spacing w:after="0"/>
              <w:rPr>
                <w:sz w:val="24"/>
                <w:szCs w:val="2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1"/>
        </w:trPr>
        <w:tc>
          <w:tcPr>
            <w:tcW w:w="3880" w:type="dxa"/>
            <w:vAlign w:val="bottom"/>
            <w:gridSpan w:val="3"/>
          </w:tcPr>
          <w:p>
            <w:pPr>
              <w:spacing w:after="0"/>
              <w:rPr>
                <w:sz w:val="20"/>
                <w:szCs w:val="20"/>
                <w:color w:val="auto"/>
              </w:rPr>
            </w:pPr>
            <w:r>
              <w:rPr>
                <w:rFonts w:ascii="Arial" w:cs="Arial" w:eastAsia="Arial" w:hAnsi="Arial"/>
                <w:sz w:val="18"/>
                <w:szCs w:val="18"/>
                <w:color w:val="auto"/>
              </w:rPr>
              <w:t>Severance pay fund</w:t>
            </w:r>
          </w:p>
        </w:tc>
        <w:tc>
          <w:tcPr>
            <w:tcW w:w="1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w:t>
            </w:r>
          </w:p>
        </w:tc>
        <w:tc>
          <w:tcPr>
            <w:tcW w:w="160" w:type="dxa"/>
            <w:vAlign w:val="bottom"/>
          </w:tcPr>
          <w:p>
            <w:pPr>
              <w:spacing w:after="0"/>
              <w:rPr>
                <w:sz w:val="24"/>
                <w:szCs w:val="24"/>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3,660</w:t>
            </w:r>
          </w:p>
        </w:tc>
        <w:tc>
          <w:tcPr>
            <w:tcW w:w="16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Deferred issuance costs</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w:t>
            </w:r>
          </w:p>
        </w:tc>
        <w:tc>
          <w:tcPr>
            <w:tcW w:w="160" w:type="dxa"/>
            <w:vAlign w:val="bottom"/>
          </w:tcPr>
          <w:p>
            <w:pPr>
              <w:spacing w:after="0"/>
              <w:rPr>
                <w:sz w:val="18"/>
                <w:szCs w:val="18"/>
                <w:color w:val="auto"/>
              </w:rPr>
            </w:pPr>
          </w:p>
        </w:tc>
      </w:tr>
      <w:tr>
        <w:trPr>
          <w:trHeight w:val="230"/>
        </w:trPr>
        <w:tc>
          <w:tcPr>
            <w:tcW w:w="388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19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Pr>
          <w:p>
            <w:pPr>
              <w:spacing w:after="0"/>
              <w:rPr>
                <w:sz w:val="20"/>
                <w:szCs w:val="20"/>
                <w:color w:val="auto"/>
              </w:rPr>
            </w:pPr>
          </w:p>
        </w:tc>
      </w:tr>
      <w:tr>
        <w:trPr>
          <w:trHeight w:val="169"/>
        </w:trPr>
        <w:tc>
          <w:tcPr>
            <w:tcW w:w="3880" w:type="dxa"/>
            <w:vAlign w:val="bottom"/>
            <w:gridSpan w:val="3"/>
          </w:tcPr>
          <w:p>
            <w:pPr>
              <w:spacing w:after="0" w:line="170" w:lineRule="exact"/>
              <w:rPr>
                <w:sz w:val="20"/>
                <w:szCs w:val="20"/>
                <w:color w:val="auto"/>
              </w:rPr>
            </w:pPr>
            <w:r>
              <w:rPr>
                <w:rFonts w:ascii="Arial" w:cs="Arial" w:eastAsia="Arial" w:hAnsi="Arial"/>
                <w:sz w:val="18"/>
                <w:szCs w:val="18"/>
                <w:color w:val="auto"/>
              </w:rPr>
              <w:t>Total long-term assets</w:t>
            </w:r>
          </w:p>
        </w:tc>
        <w:tc>
          <w:tcPr>
            <w:tcW w:w="1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8"/>
                <w:szCs w:val="18"/>
                <w:color w:val="auto"/>
              </w:rPr>
              <w:t>4,344</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6,190</w:t>
            </w:r>
          </w:p>
        </w:tc>
        <w:tc>
          <w:tcPr>
            <w:tcW w:w="160" w:type="dxa"/>
            <w:vAlign w:val="bottom"/>
          </w:tcPr>
          <w:p>
            <w:pPr>
              <w:spacing w:after="0"/>
              <w:rPr>
                <w:sz w:val="14"/>
                <w:szCs w:val="14"/>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38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31,627</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34,714</w:t>
            </w: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6"/>
        </w:trPr>
        <w:tc>
          <w:tcPr>
            <w:tcW w:w="6200" w:type="dxa"/>
            <w:vAlign w:val="bottom"/>
            <w:gridSpan w:val="5"/>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1700"/>
              <w:spacing w:after="0"/>
              <w:rPr>
                <w:sz w:val="20"/>
                <w:szCs w:val="20"/>
                <w:color w:val="auto"/>
              </w:rPr>
            </w:pPr>
            <w:r>
              <w:rPr>
                <w:rFonts w:ascii="Arial" w:cs="Arial" w:eastAsia="Arial" w:hAnsi="Arial"/>
                <w:sz w:val="14"/>
                <w:szCs w:val="14"/>
                <w:color w:val="auto"/>
              </w:rPr>
              <w:t>F-3</w:t>
            </w: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7" w:right="1440" w:bottom="1440" w:gutter="0" w:footer="0" w:header="0"/>
        </w:sectPr>
      </w:pPr>
    </w:p>
    <w:bookmarkStart w:id="124" w:name="page125"/>
    <w:bookmarkEnd w:id="12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Liabilities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Equity as of</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4"/>
              </w:rPr>
              <w:t>Unaudited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rPr>
              <w:t>LIABILITIES AND EQUITY</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120" w:type="dxa"/>
            <w:vAlign w:val="bottom"/>
            <w:gridSpan w:val="5"/>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Trade payables</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7,225</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5,901</w:t>
            </w:r>
          </w:p>
        </w:tc>
        <w:tc>
          <w:tcPr>
            <w:tcW w:w="20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Employees and payroll accruals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2,133</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Deferred revenues and advances from customers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5"/>
          </w:tcPr>
          <w:p>
            <w:pPr>
              <w:spacing w:after="0"/>
              <w:rPr>
                <w:sz w:val="20"/>
                <w:szCs w:val="20"/>
                <w:color w:val="auto"/>
              </w:rPr>
            </w:pPr>
            <w:r>
              <w:rPr>
                <w:rFonts w:ascii="Arial" w:cs="Arial" w:eastAsia="Arial" w:hAnsi="Arial"/>
                <w:sz w:val="18"/>
                <w:szCs w:val="18"/>
                <w:color w:val="auto"/>
              </w:rPr>
              <w:t>Other payables and accrued expenses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120" w:type="dxa"/>
            <w:vAlign w:val="bottom"/>
            <w:gridSpan w:val="5"/>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14,402</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13,338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13,338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120" w:type="dxa"/>
            <w:vAlign w:val="bottom"/>
            <w:gridSpan w:val="5"/>
            <w:vMerge w:val="restart"/>
          </w:tcPr>
          <w:p>
            <w:pPr>
              <w:spacing w:after="0"/>
              <w:rPr>
                <w:sz w:val="20"/>
                <w:szCs w:val="20"/>
                <w:color w:val="auto"/>
              </w:rPr>
            </w:pPr>
            <w:r>
              <w:rPr>
                <w:rFonts w:ascii="Arial" w:cs="Arial" w:eastAsia="Arial" w:hAnsi="Arial"/>
                <w:sz w:val="18"/>
                <w:szCs w:val="18"/>
                <w:color w:val="auto"/>
              </w:rPr>
              <w:t>LONG-TERM LIABILITIES:</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1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spacing w:after="0"/>
              <w:rPr>
                <w:sz w:val="20"/>
                <w:szCs w:val="20"/>
                <w:color w:val="auto"/>
              </w:rPr>
            </w:pPr>
            <w:r>
              <w:rPr>
                <w:rFonts w:ascii="Arial" w:cs="Arial" w:eastAsia="Arial" w:hAnsi="Arial"/>
                <w:sz w:val="18"/>
                <w:szCs w:val="18"/>
                <w:color w:val="auto"/>
              </w:rPr>
              <w:t>Accrued severance pay</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5"/>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4120" w:type="dxa"/>
            <w:vAlign w:val="bottom"/>
            <w:gridSpan w:val="5"/>
          </w:tcPr>
          <w:p>
            <w:pPr>
              <w:spacing w:after="0"/>
              <w:rPr>
                <w:sz w:val="20"/>
                <w:szCs w:val="20"/>
                <w:color w:val="auto"/>
              </w:rPr>
            </w:pPr>
            <w:r>
              <w:rPr>
                <w:rFonts w:ascii="Arial" w:cs="Arial" w:eastAsia="Arial" w:hAnsi="Arial"/>
                <w:sz w:val="18"/>
                <w:szCs w:val="18"/>
                <w:color w:val="auto"/>
              </w:rPr>
              <w:t>Total long-term liabilities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1,617</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120" w:type="dxa"/>
            <w:vAlign w:val="bottom"/>
            <w:gridSpan w:val="5"/>
            <w:vMerge w:val="restart"/>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1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w w:val="93"/>
              </w:rPr>
              <w:t>Ordinary shares of NIS 0.01 par value – Authorized: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9"/>
              </w:rPr>
              <w:t>26,345,297 shares at December 31, 2013 and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4"/>
              </w:rPr>
              <w:t>2014; Issued and Outstanding: 8,953,565 shares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3"/>
              </w:rPr>
              <w:t>and 8,973,224 shares at December 31, 2013 and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2"/>
              </w:rPr>
              <w:t>2014, respectively; 21,601,965 shares issued and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6"/>
              </w:rPr>
              <w:t>outstanding pro forma (unaudited) at December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5"/>
          </w:tcPr>
          <w:p>
            <w:pPr>
              <w:ind w:left="440"/>
              <w:spacing w:after="0"/>
              <w:rPr>
                <w:sz w:val="20"/>
                <w:szCs w:val="20"/>
                <w:color w:val="auto"/>
              </w:rPr>
            </w:pPr>
            <w:r>
              <w:rPr>
                <w:rFonts w:ascii="Arial" w:cs="Arial" w:eastAsia="Arial" w:hAnsi="Arial"/>
                <w:sz w:val="18"/>
                <w:szCs w:val="18"/>
                <w:color w:val="auto"/>
              </w:rPr>
              <w:t>31, 2014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rPr>
              <w:t>Preferred A-1 shares of NIS 0.01 par value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8"/>
              </w:rPr>
              <w:t>Authorized: 1,927,220 shares at December 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2013 and 2014; Issued and Outstanding:</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89"/>
              </w:rPr>
              <w:t>1,927,140 shares at December 31, 2013 and 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0 shares issued and outstanding pro forma</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(unaudited) at December 31, 2014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w w:val="99"/>
              </w:rPr>
              <w:t>Accumulated other comprehensive income (loss)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11,867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3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15,608</w:t>
            </w: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19,351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19,351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100" w:type="dxa"/>
            <w:vAlign w:val="bottom"/>
            <w:gridSpan w:val="4"/>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31,627</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34,714</w:t>
            </w:r>
          </w:p>
        </w:tc>
        <w:tc>
          <w:tcPr>
            <w:tcW w:w="2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34,714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6200" w:type="dxa"/>
            <w:vAlign w:val="bottom"/>
            <w:gridSpan w:val="10"/>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F-4</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97" w:right="1440" w:bottom="1440" w:gutter="0" w:footer="0" w:header="0"/>
        </w:sectPr>
      </w:pPr>
    </w:p>
    <w:bookmarkStart w:id="125" w:name="page126"/>
    <w:bookmarkEnd w:id="125"/>
    <w:p>
      <w:pPr>
        <w:jc w:val="right"/>
        <w:ind w:right="119"/>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600"/>
        </w:trPr>
        <w:tc>
          <w:tcPr>
            <w:tcW w:w="390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66,364</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37,187</w:t>
            </w: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29,177</w:t>
            </w:r>
          </w:p>
        </w:tc>
        <w:tc>
          <w:tcPr>
            <w:tcW w:w="0" w:type="dxa"/>
            <w:vAlign w:val="bottom"/>
          </w:tcPr>
          <w:p>
            <w:pPr>
              <w:spacing w:after="0"/>
              <w:rPr>
                <w:sz w:val="1"/>
                <w:szCs w:val="1"/>
                <w:color w:val="auto"/>
              </w:rPr>
            </w:pPr>
          </w:p>
        </w:tc>
      </w:tr>
      <w:tr>
        <w:trPr>
          <w:trHeight w:val="411"/>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9,475</w:t>
            </w:r>
          </w:p>
        </w:tc>
        <w:tc>
          <w:tcPr>
            <w:tcW w:w="0" w:type="dxa"/>
            <w:vAlign w:val="bottom"/>
          </w:tcPr>
          <w:p>
            <w:pPr>
              <w:spacing w:after="0"/>
              <w:rPr>
                <w:sz w:val="1"/>
                <w:szCs w:val="1"/>
                <w:color w:val="auto"/>
              </w:rPr>
            </w:pPr>
          </w:p>
        </w:tc>
      </w:tr>
      <w:tr>
        <w:trPr>
          <w:trHeight w:val="216"/>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Selling and marketing</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4,668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30"/>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385"/>
        </w:trPr>
        <w:tc>
          <w:tcPr>
            <w:tcW w:w="39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12,599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18,455</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25,357</w:t>
            </w:r>
          </w:p>
        </w:tc>
        <w:tc>
          <w:tcPr>
            <w:tcW w:w="0" w:type="dxa"/>
            <w:vAlign w:val="bottom"/>
          </w:tcPr>
          <w:p>
            <w:pPr>
              <w:spacing w:after="0"/>
              <w:rPr>
                <w:sz w:val="1"/>
                <w:szCs w:val="1"/>
                <w:color w:val="auto"/>
              </w:rPr>
            </w:pPr>
          </w:p>
        </w:tc>
      </w:tr>
      <w:tr>
        <w:trPr>
          <w:trHeight w:val="21"/>
        </w:trPr>
        <w:tc>
          <w:tcPr>
            <w:tcW w:w="42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Finance expenses, net</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1"/>
        </w:trPr>
        <w:tc>
          <w:tcPr>
            <w:tcW w:w="3900" w:type="dxa"/>
            <w:vAlign w:val="bottom"/>
            <w:gridSpan w:val="2"/>
          </w:tcPr>
          <w:p>
            <w:pPr>
              <w:spacing w:after="0"/>
              <w:rPr>
                <w:sz w:val="20"/>
                <w:szCs w:val="20"/>
                <w:color w:val="auto"/>
              </w:rPr>
            </w:pPr>
            <w:r>
              <w:rPr>
                <w:rFonts w:ascii="Arial" w:cs="Arial" w:eastAsia="Arial" w:hAnsi="Arial"/>
                <w:sz w:val="18"/>
                <w:szCs w:val="18"/>
                <w:color w:val="auto"/>
              </w:rPr>
              <w:t>Income before taxes on income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Basic pro forma net earnings per ordinary share</w:t>
            </w: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2"/>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w w:val="98"/>
              </w:rPr>
              <w:t>Diluted pro forma net earnings per ordinary share</w:t>
            </w: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9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vMerge w:val="restart"/>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2"/>
        </w:trPr>
        <w:tc>
          <w:tcPr>
            <w:tcW w:w="3900" w:type="dxa"/>
            <w:vAlign w:val="bottom"/>
            <w:gridSpan w:val="2"/>
          </w:tcPr>
          <w:p>
            <w:pPr>
              <w:ind w:left="22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26" w:name="page127"/>
    <w:bookmarkEnd w:id="12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439"/>
        <w:spacing w:after="0" w:line="298" w:lineRule="auto"/>
        <w:rPr>
          <w:sz w:val="20"/>
          <w:szCs w:val="20"/>
          <w:color w:val="auto"/>
        </w:rPr>
      </w:pPr>
      <w:r>
        <w:rPr>
          <w:rFonts w:ascii="Arial" w:cs="Arial" w:eastAsia="Arial" w:hAnsi="Arial"/>
          <w:sz w:val="18"/>
          <w:szCs w:val="18"/>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615"/>
        </w:trPr>
        <w:tc>
          <w:tcPr>
            <w:tcW w:w="41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160" w:type="dxa"/>
            <w:vAlign w:val="bottom"/>
          </w:tcPr>
          <w:p>
            <w:pPr>
              <w:spacing w:after="0"/>
              <w:rPr>
                <w:sz w:val="24"/>
                <w:szCs w:val="24"/>
                <w:color w:val="auto"/>
              </w:rPr>
            </w:pPr>
          </w:p>
        </w:tc>
      </w:tr>
      <w:tr>
        <w:trPr>
          <w:trHeight w:val="418"/>
        </w:trPr>
        <w:tc>
          <w:tcPr>
            <w:tcW w:w="412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color w:val="auto"/>
                <w:w w:val="89"/>
              </w:rPr>
              <w:t>Net change in accumulated comprehensive income (loss)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41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46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2,840</w:t>
            </w: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86"/>
        </w:trPr>
        <w:tc>
          <w:tcPr>
            <w:tcW w:w="7040" w:type="dxa"/>
            <w:vAlign w:val="bottom"/>
            <w:gridSpan w:val="8"/>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5"/>
        </w:trPr>
        <w:tc>
          <w:tcPr>
            <w:tcW w:w="20" w:type="dxa"/>
            <w:vAlign w:val="bottom"/>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F-6</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7" w:right="1440" w:bottom="1440" w:gutter="0" w:footer="0" w:header="0"/>
        </w:sectPr>
      </w:pPr>
    </w:p>
    <w:bookmarkStart w:id="127" w:name="page128"/>
    <w:bookmarkEnd w:id="12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859"/>
        <w:spacing w:after="0" w:line="298" w:lineRule="auto"/>
        <w:rPr>
          <w:sz w:val="20"/>
          <w:szCs w:val="20"/>
          <w:color w:val="auto"/>
        </w:rPr>
      </w:pPr>
      <w:r>
        <w:rPr>
          <w:rFonts w:ascii="Arial" w:cs="Arial" w:eastAsia="Arial" w:hAnsi="Arial"/>
          <w:sz w:val="18"/>
          <w:szCs w:val="18"/>
          <w:b w:val="1"/>
          <w:bCs w:val="1"/>
          <w:color w:val="auto"/>
        </w:rPr>
        <w:t>STATEMENTS OF CHANGES IN SHAREHOLDERS’ EQUITY U.S. dollars 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Preferred A-1 shares</w:t>
            </w:r>
          </w:p>
        </w:tc>
        <w:tc>
          <w:tcPr>
            <w:tcW w:w="180" w:type="dxa"/>
            <w:vAlign w:val="bottom"/>
          </w:tcPr>
          <w:p>
            <w:pPr>
              <w:spacing w:after="0"/>
              <w:rPr>
                <w:sz w:val="14"/>
                <w:szCs w:val="14"/>
                <w:color w:val="auto"/>
              </w:rPr>
            </w:pPr>
          </w:p>
        </w:tc>
        <w:tc>
          <w:tcPr>
            <w:tcW w:w="15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Ordinary shares</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0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other</w:t>
            </w:r>
          </w:p>
        </w:tc>
        <w:tc>
          <w:tcPr>
            <w:tcW w:w="6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0"/>
                <w:szCs w:val="10"/>
                <w:color w:val="auto"/>
              </w:rPr>
            </w:pPr>
          </w:p>
        </w:tc>
        <w:tc>
          <w:tcPr>
            <w:tcW w:w="88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7"/>
              </w:rPr>
              <w:t>Other comprehensive income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w:t>
            </w:r>
          </w:p>
        </w:tc>
        <w:tc>
          <w:tcPr>
            <w:tcW w:w="8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7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paid in</w:t>
            </w:r>
          </w:p>
        </w:tc>
        <w:tc>
          <w:tcPr>
            <w:tcW w:w="11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680" w:type="dxa"/>
            <w:vAlign w:val="bottom"/>
            <w:gridSpan w:val="3"/>
            <w:vMerge w:val="continue"/>
          </w:tcPr>
          <w:p>
            <w:pPr>
              <w:spacing w:after="0"/>
              <w:rPr>
                <w:sz w:val="12"/>
                <w:szCs w:val="12"/>
                <w:color w:val="auto"/>
              </w:rPr>
            </w:pPr>
          </w:p>
        </w:tc>
        <w:tc>
          <w:tcPr>
            <w:tcW w:w="96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97"/>
              </w:rPr>
              <w:t>shareholders’</w:t>
            </w: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9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outstanding</w:t>
            </w:r>
          </w:p>
        </w:tc>
        <w:tc>
          <w:tcPr>
            <w:tcW w:w="660" w:type="dxa"/>
            <w:vAlign w:val="bottom"/>
            <w:gridSpan w:val="2"/>
            <w:vMerge w:val="continue"/>
          </w:tcPr>
          <w:p>
            <w:pPr>
              <w:spacing w:after="0"/>
              <w:rPr>
                <w:sz w:val="14"/>
                <w:szCs w:val="14"/>
                <w:color w:val="auto"/>
              </w:rPr>
            </w:pPr>
          </w:p>
        </w:tc>
        <w:tc>
          <w:tcPr>
            <w:tcW w:w="96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w w:val="92"/>
              </w:rPr>
              <w:t>outstanding</w:t>
            </w:r>
          </w:p>
        </w:tc>
        <w:tc>
          <w:tcPr>
            <w:tcW w:w="800" w:type="dxa"/>
            <w:vAlign w:val="bottom"/>
            <w:gridSpan w:val="3"/>
            <w:vMerge w:val="continue"/>
          </w:tcPr>
          <w:p>
            <w:pPr>
              <w:spacing w:after="0"/>
              <w:rPr>
                <w:sz w:val="14"/>
                <w:szCs w:val="14"/>
                <w:color w:val="auto"/>
              </w:rPr>
            </w:pPr>
          </w:p>
        </w:tc>
        <w:tc>
          <w:tcPr>
            <w:tcW w:w="700" w:type="dxa"/>
            <w:vAlign w:val="bottom"/>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income</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549"/>
        </w:trPr>
        <w:tc>
          <w:tcPr>
            <w:tcW w:w="1940" w:type="dxa"/>
            <w:vAlign w:val="bottom"/>
          </w:tcPr>
          <w:p>
            <w:pPr>
              <w:spacing w:after="0"/>
              <w:rPr>
                <w:sz w:val="20"/>
                <w:szCs w:val="20"/>
                <w:color w:val="auto"/>
              </w:rPr>
            </w:pPr>
            <w:r>
              <w:rPr>
                <w:rFonts w:ascii="Arial" w:cs="Arial" w:eastAsia="Arial" w:hAnsi="Arial"/>
                <w:sz w:val="14"/>
                <w:szCs w:val="14"/>
                <w:color w:val="auto"/>
                <w:w w:val="99"/>
              </w:rPr>
              <w:t>Balance at December 31, 2011</w:t>
            </w:r>
          </w:p>
        </w:tc>
        <w:tc>
          <w:tcPr>
            <w:tcW w:w="1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12,628,741</w:t>
            </w:r>
          </w:p>
        </w:tc>
        <w:tc>
          <w:tcPr>
            <w:tcW w:w="16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8,953,565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11,664</w:t>
            </w: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94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2,314</w:t>
            </w: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2,314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77</w:t>
            </w:r>
          </w:p>
        </w:tc>
        <w:tc>
          <w:tcPr>
            <w:tcW w:w="160" w:type="dxa"/>
            <w:vAlign w:val="bottom"/>
          </w:tcPr>
          <w:p>
            <w:pPr>
              <w:spacing w:after="0"/>
              <w:rPr>
                <w:sz w:val="14"/>
                <w:szCs w:val="1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1940" w:type="dxa"/>
            <w:vAlign w:val="bottom"/>
          </w:tcPr>
          <w:p>
            <w:pPr>
              <w:spacing w:after="0"/>
              <w:rPr>
                <w:sz w:val="20"/>
                <w:szCs w:val="20"/>
                <w:color w:val="auto"/>
              </w:rPr>
            </w:pPr>
            <w:r>
              <w:rPr>
                <w:rFonts w:ascii="Arial" w:cs="Arial" w:eastAsia="Arial" w:hAnsi="Arial"/>
                <w:sz w:val="14"/>
                <w:szCs w:val="14"/>
                <w:color w:val="auto"/>
                <w:w w:val="99"/>
              </w:rPr>
              <w:t>Balance at December 31, 2012</w:t>
            </w:r>
          </w:p>
        </w:tc>
        <w:tc>
          <w:tcPr>
            <w:tcW w:w="1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12,628,741</w:t>
            </w:r>
          </w:p>
        </w:tc>
        <w:tc>
          <w:tcPr>
            <w:tcW w:w="16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8,953,565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11,741</w:t>
            </w: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2,516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14,311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94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1,134</w:t>
            </w: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1,134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126</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126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1940" w:type="dxa"/>
            <w:vAlign w:val="bottom"/>
          </w:tcPr>
          <w:p>
            <w:pPr>
              <w:spacing w:after="0"/>
              <w:rPr>
                <w:sz w:val="20"/>
                <w:szCs w:val="20"/>
                <w:color w:val="auto"/>
              </w:rPr>
            </w:pPr>
            <w:r>
              <w:rPr>
                <w:rFonts w:ascii="Arial" w:cs="Arial" w:eastAsia="Arial" w:hAnsi="Arial"/>
                <w:sz w:val="14"/>
                <w:szCs w:val="14"/>
                <w:color w:val="auto"/>
                <w:w w:val="99"/>
              </w:rPr>
              <w:t>Balance at December 31, 2013</w:t>
            </w:r>
          </w:p>
        </w:tc>
        <w:tc>
          <w:tcPr>
            <w:tcW w:w="16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12,628,741</w:t>
            </w:r>
          </w:p>
        </w:tc>
        <w:tc>
          <w:tcPr>
            <w:tcW w:w="160" w:type="dxa"/>
            <w:vAlign w:val="bottom"/>
          </w:tcPr>
          <w:p>
            <w:pPr>
              <w:spacing w:after="0"/>
              <w:rPr>
                <w:sz w:val="24"/>
                <w:szCs w:val="2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8,953,565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11,867</w:t>
            </w:r>
          </w:p>
        </w:tc>
        <w:tc>
          <w:tcPr>
            <w:tcW w:w="160" w:type="dxa"/>
            <w:vAlign w:val="bottom"/>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15,608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940" w:type="dxa"/>
            <w:vAlign w:val="bottom"/>
          </w:tcPr>
          <w:p>
            <w:pPr>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3,023</w:t>
            </w: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3,023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Exercise of options</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19,659</w:t>
            </w:r>
          </w:p>
        </w:tc>
        <w:tc>
          <w:tcPr>
            <w:tcW w:w="8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897</w:t>
            </w:r>
          </w:p>
        </w:tc>
        <w:tc>
          <w:tcPr>
            <w:tcW w:w="16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897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4"/>
                <w:szCs w:val="14"/>
                <w:color w:val="auto"/>
              </w:rPr>
              <w:t>(183)</w:t>
            </w:r>
          </w:p>
        </w:tc>
        <w:tc>
          <w:tcPr>
            <w:tcW w:w="6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940" w:type="dxa"/>
            <w:vAlign w:val="bottom"/>
          </w:tcPr>
          <w:p>
            <w:pPr>
              <w:spacing w:after="0"/>
              <w:rPr>
                <w:sz w:val="20"/>
                <w:szCs w:val="20"/>
                <w:color w:val="auto"/>
              </w:rPr>
            </w:pPr>
            <w:r>
              <w:rPr>
                <w:rFonts w:ascii="Arial" w:cs="Arial" w:eastAsia="Arial" w:hAnsi="Arial"/>
                <w:sz w:val="14"/>
                <w:szCs w:val="14"/>
                <w:color w:val="auto"/>
                <w:w w:val="99"/>
              </w:rPr>
              <w:t>Balance at December 31, 2014</w:t>
            </w: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w w:val="99"/>
              </w:rPr>
              <w:t>12,628,741</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8,973,224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22</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12,770</w:t>
            </w:r>
          </w:p>
        </w:tc>
        <w:tc>
          <w:tcPr>
            <w:tcW w:w="1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6,673</w:t>
            </w:r>
          </w:p>
        </w:tc>
        <w:tc>
          <w:tcPr>
            <w:tcW w:w="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19,351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an amount lower than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28" w:name="page129"/>
    <w:bookmarkEnd w:id="128"/>
    <w:p>
      <w:pPr>
        <w:jc w:val="right"/>
        <w:ind w:right="119"/>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2"/>
              </w:rPr>
              <w:t>Cash flows used in operating activities:</w:t>
            </w:r>
          </w:p>
        </w:tc>
        <w:tc>
          <w:tcPr>
            <w:tcW w:w="15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408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080" w:type="dxa"/>
            <w:vAlign w:val="bottom"/>
            <w:gridSpan w:val="4"/>
          </w:tcPr>
          <w:p>
            <w:pPr>
              <w:spacing w:after="0"/>
              <w:rPr>
                <w:sz w:val="20"/>
                <w:szCs w:val="20"/>
                <w:color w:val="auto"/>
              </w:rPr>
            </w:pPr>
            <w:r>
              <w:rPr>
                <w:rFonts w:ascii="Arial" w:cs="Arial" w:eastAsia="Arial" w:hAnsi="Arial"/>
                <w:sz w:val="16"/>
                <w:szCs w:val="16"/>
                <w:color w:val="auto"/>
                <w:w w:val="95"/>
              </w:rPr>
              <w:t>Adjustments to reconcile net income to net cash provided by</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(used in) operating activities: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1,352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080" w:type="dxa"/>
            <w:vAlign w:val="bottom"/>
            <w:gridSpan w:val="4"/>
          </w:tcPr>
          <w:p>
            <w:pPr>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Share-based compensation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(decrease) in accrued severance pay,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Changes in deferred income taxes,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trade receivables,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Decrease (increase) in other accounts receivable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inventories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(3,437)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21"/>
        </w:trPr>
        <w:tc>
          <w:tcPr>
            <w:tcW w:w="4080" w:type="dxa"/>
            <w:vAlign w:val="bottom"/>
            <w:gridSpan w:val="4"/>
          </w:tcPr>
          <w:p>
            <w:pPr>
              <w:spacing w:after="0"/>
              <w:rPr>
                <w:sz w:val="20"/>
                <w:szCs w:val="20"/>
                <w:color w:val="auto"/>
              </w:rPr>
            </w:pPr>
            <w:r>
              <w:rPr>
                <w:rFonts w:ascii="Arial" w:cs="Arial" w:eastAsia="Arial" w:hAnsi="Arial"/>
                <w:sz w:val="16"/>
                <w:szCs w:val="16"/>
                <w:color w:val="auto"/>
              </w:rPr>
              <w:t>Increase (decrease) in trade payables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03"/>
        </w:trPr>
        <w:tc>
          <w:tcPr>
            <w:tcW w:w="4080" w:type="dxa"/>
            <w:vAlign w:val="bottom"/>
            <w:gridSpan w:val="4"/>
          </w:tcPr>
          <w:p>
            <w:pPr>
              <w:spacing w:after="0"/>
              <w:rPr>
                <w:sz w:val="20"/>
                <w:szCs w:val="20"/>
                <w:color w:val="auto"/>
              </w:rPr>
            </w:pPr>
            <w:r>
              <w:rPr>
                <w:rFonts w:ascii="Arial" w:cs="Arial" w:eastAsia="Arial" w:hAnsi="Arial"/>
                <w:sz w:val="16"/>
                <w:szCs w:val="16"/>
                <w:color w:val="auto"/>
                <w:w w:val="93"/>
              </w:rPr>
              <w:t>Increase (decrease) in deferred revenues and advances from</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1,170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98"/>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customers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employees and payroll accruals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in other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w w:val="93"/>
              </w:rPr>
              <w:t>Increase (decrease) in other payables and accrued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Interest on short-term bank deposit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Gain from sale of property and equipment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Foreign currency re-measurement gain (loss)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(1,042)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385"/>
        </w:trPr>
        <w:tc>
          <w:tcPr>
            <w:tcW w:w="2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2"/>
              </w:rPr>
              <w:t>Cash flows used in investing activities:</w:t>
            </w:r>
          </w:p>
        </w:tc>
        <w:tc>
          <w:tcPr>
            <w:tcW w:w="1540" w:type="dxa"/>
            <w:vAlign w:val="bottom"/>
            <w:gridSpan w:val="3"/>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80" w:type="dxa"/>
            <w:vAlign w:val="bottom"/>
            <w:gridSpan w:val="4"/>
          </w:tcPr>
          <w:p>
            <w:pPr>
              <w:spacing w:after="0"/>
              <w:rPr>
                <w:sz w:val="20"/>
                <w:szCs w:val="20"/>
                <w:color w:val="auto"/>
              </w:rPr>
            </w:pPr>
            <w:r>
              <w:rPr>
                <w:rFonts w:ascii="Arial" w:cs="Arial" w:eastAsia="Arial" w:hAnsi="Arial"/>
                <w:sz w:val="16"/>
                <w:szCs w:val="16"/>
                <w:color w:val="auto"/>
              </w:rPr>
              <w:t>Purchase of property and equipment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(1,076)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Purchase of intangible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Proceeds from (investment in) bank deposits,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Proceeds from sale of property and equipment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(2,103)</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3"/>
              </w:rPr>
              <w:t>Cash flows used in financing activities:</w:t>
            </w:r>
          </w:p>
        </w:tc>
        <w:tc>
          <w:tcPr>
            <w:tcW w:w="15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4080" w:type="dxa"/>
            <w:vAlign w:val="bottom"/>
            <w:gridSpan w:val="4"/>
          </w:tcPr>
          <w:p>
            <w:pPr>
              <w:spacing w:after="0"/>
              <w:rPr>
                <w:sz w:val="20"/>
                <w:szCs w:val="20"/>
                <w:color w:val="auto"/>
              </w:rPr>
            </w:pPr>
            <w:r>
              <w:rPr>
                <w:rFonts w:ascii="Arial" w:cs="Arial" w:eastAsia="Arial" w:hAnsi="Arial"/>
                <w:sz w:val="16"/>
                <w:szCs w:val="16"/>
                <w:color w:val="auto"/>
              </w:rPr>
              <w:t>Payment of deferred issuance costs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Exercise of employee stock options</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Net cash used in financing activities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6"/>
                <w:szCs w:val="16"/>
                <w:color w:val="auto"/>
                <w:w w:val="96"/>
              </w:rPr>
              <w:t>Foreign currency translation adjustments on cash and cash</w:t>
            </w: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40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8"/>
        </w:trPr>
        <w:tc>
          <w:tcPr>
            <w:tcW w:w="4080" w:type="dxa"/>
            <w:vAlign w:val="bottom"/>
            <w:gridSpan w:val="4"/>
          </w:tcPr>
          <w:p>
            <w:pPr>
              <w:ind w:left="220"/>
              <w:spacing w:after="0"/>
              <w:rPr>
                <w:sz w:val="20"/>
                <w:szCs w:val="20"/>
                <w:color w:val="auto"/>
              </w:rPr>
            </w:pPr>
            <w:r>
              <w:rPr>
                <w:rFonts w:ascii="Arial" w:cs="Arial" w:eastAsia="Arial" w:hAnsi="Arial"/>
                <w:sz w:val="16"/>
                <w:szCs w:val="16"/>
                <w:color w:val="auto"/>
              </w:rPr>
              <w:t>equivalents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0"/>
        </w:trPr>
        <w:tc>
          <w:tcPr>
            <w:tcW w:w="4080" w:type="dxa"/>
            <w:vAlign w:val="bottom"/>
            <w:gridSpan w:val="4"/>
          </w:tcPr>
          <w:p>
            <w:pPr>
              <w:spacing w:after="0"/>
              <w:rPr>
                <w:sz w:val="20"/>
                <w:szCs w:val="20"/>
                <w:color w:val="auto"/>
              </w:rPr>
            </w:pPr>
            <w:r>
              <w:rPr>
                <w:rFonts w:ascii="Arial" w:cs="Arial" w:eastAsia="Arial" w:hAnsi="Arial"/>
                <w:sz w:val="16"/>
                <w:szCs w:val="16"/>
                <w:color w:val="auto"/>
              </w:rPr>
              <w:t>Cash and cash equivalents at the beginning of the year</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080" w:type="dxa"/>
            <w:vAlign w:val="bottom"/>
            <w:gridSpan w:val="4"/>
          </w:tcPr>
          <w:p>
            <w:pPr>
              <w:spacing w:after="0"/>
              <w:rPr>
                <w:sz w:val="20"/>
                <w:szCs w:val="20"/>
                <w:color w:val="auto"/>
              </w:rPr>
            </w:pPr>
            <w:r>
              <w:rPr>
                <w:rFonts w:ascii="Arial" w:cs="Arial" w:eastAsia="Arial" w:hAnsi="Arial"/>
                <w:sz w:val="16"/>
                <w:szCs w:val="16"/>
                <w:color w:val="auto"/>
              </w:rPr>
              <w:t>Cash and cash equivalents at the end of the year</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4,663</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5,329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4,993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gridSpan w:val="4"/>
            <w:vMerge w:val="restart"/>
          </w:tcPr>
          <w:p>
            <w:pPr>
              <w:spacing w:after="0"/>
              <w:rPr>
                <w:sz w:val="20"/>
                <w:szCs w:val="20"/>
                <w:color w:val="auto"/>
              </w:rPr>
            </w:pPr>
            <w:r>
              <w:rPr>
                <w:rFonts w:ascii="Arial" w:cs="Arial" w:eastAsia="Arial" w:hAnsi="Arial"/>
                <w:sz w:val="16"/>
                <w:szCs w:val="16"/>
                <w:color w:val="auto"/>
              </w:rPr>
              <w:t>Supplemental disclosure of cash flow information:</w:t>
            </w: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8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2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Cash paid during the year for income taxes</w:t>
            </w:r>
          </w:p>
        </w:tc>
        <w:tc>
          <w:tcPr>
            <w:tcW w:w="8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29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29" w:name="page130"/>
    <w:bookmarkEnd w:id="129"/>
    <w:p>
      <w:pPr>
        <w:jc w:val="right"/>
        <w:ind w:right="119"/>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72"/>
        </w:trPr>
        <w:tc>
          <w:tcPr>
            <w:tcW w:w="4060" w:type="dxa"/>
            <w:vAlign w:val="bottom"/>
            <w:gridSpan w:val="3"/>
          </w:tcPr>
          <w:p>
            <w:pPr>
              <w:spacing w:after="0"/>
              <w:rPr>
                <w:sz w:val="20"/>
                <w:szCs w:val="20"/>
                <w:color w:val="auto"/>
              </w:rPr>
            </w:pPr>
            <w:r>
              <w:rPr>
                <w:rFonts w:ascii="Arial" w:cs="Arial" w:eastAsia="Arial" w:hAnsi="Arial"/>
                <w:sz w:val="18"/>
                <w:szCs w:val="18"/>
                <w:color w:val="auto"/>
              </w:rPr>
              <w:t>(a)  Non-cash investing and financing activities: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111</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line="20" w:lineRule="exact"/>
              <w:rPr>
                <w:sz w:val="1"/>
                <w:szCs w:val="1"/>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line="20" w:lineRule="exact"/>
              <w:rPr>
                <w:sz w:val="1"/>
                <w:szCs w:val="1"/>
                <w:color w:val="auto"/>
              </w:rPr>
            </w:pPr>
          </w:p>
        </w:tc>
      </w:tr>
      <w:tr>
        <w:trPr>
          <w:trHeight w:val="453"/>
        </w:trPr>
        <w:tc>
          <w:tcPr>
            <w:tcW w:w="38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Purchase of property and equipment on credit</w:t>
            </w:r>
          </w:p>
        </w:tc>
        <w:tc>
          <w:tcPr>
            <w:tcW w:w="42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460" w:type="dxa"/>
            <w:vAlign w:val="bottom"/>
            <w:gridSpan w:val="2"/>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380"/>
              <w:spacing w:after="0" w:line="195" w:lineRule="exact"/>
              <w:rPr>
                <w:sz w:val="20"/>
                <w:szCs w:val="20"/>
                <w:color w:val="auto"/>
              </w:rPr>
            </w:pPr>
            <w:r>
              <w:rPr>
                <w:rFonts w:ascii="Arial" w:cs="Arial" w:eastAsia="Arial" w:hAnsi="Arial"/>
                <w:sz w:val="18"/>
                <w:szCs w:val="18"/>
                <w:color w:val="auto"/>
                <w:w w:val="95"/>
              </w:rPr>
              <w:t>Inventory transferred to be used as property and</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gridSpan w:val="3"/>
            <w:vMerge w:val="continue"/>
          </w:tcPr>
          <w:p>
            <w:pPr>
              <w:spacing w:after="0"/>
              <w:rPr>
                <w:sz w:val="13"/>
                <w:szCs w:val="13"/>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380</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13"/>
                <w:szCs w:val="13"/>
                <w:color w:val="auto"/>
              </w:rPr>
            </w:pP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7"/>
        </w:trPr>
        <w:tc>
          <w:tcPr>
            <w:tcW w:w="4060" w:type="dxa"/>
            <w:vAlign w:val="bottom"/>
            <w:gridSpan w:val="3"/>
          </w:tcPr>
          <w:p>
            <w:pPr>
              <w:ind w:left="380"/>
              <w:spacing w:after="0"/>
              <w:rPr>
                <w:sz w:val="20"/>
                <w:szCs w:val="20"/>
                <w:color w:val="auto"/>
              </w:rPr>
            </w:pPr>
            <w:r>
              <w:rPr>
                <w:rFonts w:ascii="Arial" w:cs="Arial" w:eastAsia="Arial" w:hAnsi="Arial"/>
                <w:sz w:val="18"/>
                <w:szCs w:val="18"/>
                <w:color w:val="auto"/>
              </w:rPr>
              <w:t>equipment</w:t>
            </w: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380"/>
              <w:spacing w:after="0" w:line="195" w:lineRule="exact"/>
              <w:rPr>
                <w:sz w:val="20"/>
                <w:szCs w:val="20"/>
                <w:color w:val="auto"/>
              </w:rPr>
            </w:pPr>
            <w:r>
              <w:rPr>
                <w:rFonts w:ascii="Arial" w:cs="Arial" w:eastAsia="Arial" w:hAnsi="Arial"/>
                <w:sz w:val="18"/>
                <w:szCs w:val="18"/>
                <w:color w:val="auto"/>
                <w:w w:val="92"/>
              </w:rPr>
              <w:t>Property and equipment transferred to be used as</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060" w:type="dxa"/>
            <w:vAlign w:val="bottom"/>
            <w:gridSpan w:val="3"/>
            <w:vMerge w:val="continue"/>
          </w:tcPr>
          <w:p>
            <w:pPr>
              <w:spacing w:after="0"/>
              <w:rPr>
                <w:sz w:val="13"/>
                <w:szCs w:val="13"/>
                <w:color w:val="auto"/>
              </w:rPr>
            </w:pPr>
          </w:p>
        </w:tc>
        <w:tc>
          <w:tcPr>
            <w:tcW w:w="42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tcPr>
          <w:p>
            <w:pPr>
              <w:jc w:val="right"/>
              <w:ind w:right="130"/>
              <w:spacing w:after="0"/>
              <w:rPr>
                <w:sz w:val="20"/>
                <w:szCs w:val="20"/>
                <w:color w:val="auto"/>
              </w:rPr>
            </w:pPr>
            <w:r>
              <w:rPr>
                <w:rFonts w:ascii="Arial" w:cs="Arial" w:eastAsia="Arial" w:hAnsi="Arial"/>
                <w:sz w:val="15"/>
                <w:szCs w:val="15"/>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7"/>
        </w:trPr>
        <w:tc>
          <w:tcPr>
            <w:tcW w:w="4060" w:type="dxa"/>
            <w:vAlign w:val="bottom"/>
            <w:gridSpan w:val="3"/>
          </w:tcPr>
          <w:p>
            <w:pPr>
              <w:ind w:left="380"/>
              <w:spacing w:after="0"/>
              <w:rPr>
                <w:sz w:val="20"/>
                <w:szCs w:val="20"/>
                <w:color w:val="auto"/>
              </w:rPr>
            </w:pPr>
            <w:r>
              <w:rPr>
                <w:rFonts w:ascii="Arial" w:cs="Arial" w:eastAsia="Arial" w:hAnsi="Arial"/>
                <w:sz w:val="18"/>
                <w:szCs w:val="18"/>
                <w:color w:val="auto"/>
              </w:rPr>
              <w:t>inventory</w:t>
            </w:r>
          </w:p>
        </w:tc>
        <w:tc>
          <w:tcPr>
            <w:tcW w:w="4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gridSpan w:val="3"/>
            <w:vMerge w:val="restart"/>
          </w:tcPr>
          <w:p>
            <w:pPr>
              <w:ind w:left="380"/>
              <w:spacing w:after="0"/>
              <w:rPr>
                <w:sz w:val="20"/>
                <w:szCs w:val="20"/>
                <w:color w:val="auto"/>
              </w:rPr>
            </w:pPr>
            <w:r>
              <w:rPr>
                <w:rFonts w:ascii="Arial" w:cs="Arial" w:eastAsia="Arial" w:hAnsi="Arial"/>
                <w:sz w:val="18"/>
                <w:szCs w:val="18"/>
                <w:color w:val="auto"/>
              </w:rPr>
              <w:t>Issuance expenses on credit</w:t>
            </w:r>
          </w:p>
        </w:tc>
        <w:tc>
          <w:tcPr>
            <w:tcW w:w="16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3"/>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0" w:name="page131"/>
    <w:bookmarkEnd w:id="13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ind w:left="1520" w:right="199" w:hanging="369"/>
        <w:spacing w:after="0" w:line="257" w:lineRule="auto"/>
        <w:tabs>
          <w:tab w:leader="none" w:pos="1496" w:val="left"/>
        </w:tabs>
        <w:numPr>
          <w:ilvl w:val="0"/>
          <w:numId w:val="85"/>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 and its subsidiaries’ solutions are based on their proprietary digital textile printing systems, ink and other consumables, associated software and value added services.</w:t>
      </w:r>
    </w:p>
    <w:p>
      <w:pPr>
        <w:spacing w:after="0" w:line="188" w:lineRule="exact"/>
        <w:rPr>
          <w:rFonts w:ascii="Arial" w:cs="Arial" w:eastAsia="Arial" w:hAnsi="Arial"/>
          <w:sz w:val="18"/>
          <w:szCs w:val="18"/>
          <w:color w:val="auto"/>
        </w:rPr>
      </w:pPr>
    </w:p>
    <w:p>
      <w:pPr>
        <w:jc w:val="both"/>
        <w:ind w:left="1520" w:right="359" w:hanging="369"/>
        <w:spacing w:after="0" w:line="312" w:lineRule="auto"/>
        <w:tabs>
          <w:tab w:leader="none" w:pos="146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46" w:lineRule="exact"/>
        <w:rPr>
          <w:rFonts w:ascii="Arial" w:cs="Arial" w:eastAsia="Arial" w:hAnsi="Arial"/>
          <w:sz w:val="16"/>
          <w:szCs w:val="16"/>
          <w:color w:val="auto"/>
        </w:rPr>
      </w:pPr>
    </w:p>
    <w:p>
      <w:pPr>
        <w:ind w:left="1520" w:right="159" w:hanging="369"/>
        <w:spacing w:after="0" w:line="297" w:lineRule="auto"/>
        <w:tabs>
          <w:tab w:leader="none" w:pos="14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54"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160" w:right="919"/>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500" w:hanging="349"/>
        <w:spacing w:after="0"/>
        <w:tabs>
          <w:tab w:leader="none" w:pos="1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sz w:val="20"/>
          <w:szCs w:val="20"/>
          <w:color w:val="auto"/>
        </w:rPr>
      </w:pPr>
    </w:p>
    <w:p>
      <w:pPr>
        <w:ind w:left="1520" w:right="159"/>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9" w:lineRule="exact"/>
        <w:rPr>
          <w:sz w:val="20"/>
          <w:szCs w:val="20"/>
          <w:color w:val="auto"/>
        </w:rPr>
      </w:pPr>
    </w:p>
    <w:p>
      <w:pPr>
        <w:ind w:left="1520" w:right="239"/>
        <w:spacing w:after="0" w:line="255" w:lineRule="auto"/>
        <w:rPr>
          <w:sz w:val="20"/>
          <w:szCs w:val="20"/>
          <w:color w:val="auto"/>
        </w:rPr>
      </w:pPr>
      <w:r>
        <w:rPr>
          <w:rFonts w:ascii="Arial" w:cs="Arial" w:eastAsia="Arial" w:hAnsi="Arial"/>
          <w:sz w:val="18"/>
          <w:szCs w:val="18"/>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93" w:lineRule="exact"/>
        <w:rPr>
          <w:sz w:val="20"/>
          <w:szCs w:val="20"/>
          <w:color w:val="auto"/>
        </w:rPr>
      </w:pPr>
    </w:p>
    <w:p>
      <w:pPr>
        <w:ind w:left="1480" w:hanging="329"/>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25" w:lineRule="exact"/>
        <w:rPr>
          <w:sz w:val="20"/>
          <w:szCs w:val="20"/>
          <w:color w:val="auto"/>
        </w:rPr>
      </w:pPr>
    </w:p>
    <w:p>
      <w:pPr>
        <w:ind w:left="1520" w:right="199"/>
        <w:spacing w:after="0" w:line="288" w:lineRule="auto"/>
        <w:rPr>
          <w:sz w:val="20"/>
          <w:szCs w:val="20"/>
          <w:color w:val="auto"/>
        </w:rPr>
      </w:pPr>
      <w:r>
        <w:rPr>
          <w:rFonts w:ascii="Arial" w:cs="Arial" w:eastAsia="Arial" w:hAnsi="Arial"/>
          <w:sz w:val="16"/>
          <w:szCs w:val="16"/>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1" w:name="page132"/>
    <w:bookmarkEnd w:id="13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59"/>
        <w:spacing w:after="0" w:line="273" w:lineRule="auto"/>
        <w:rPr>
          <w:sz w:val="20"/>
          <w:szCs w:val="20"/>
          <w:color w:val="auto"/>
        </w:rPr>
      </w:pPr>
      <w:r>
        <w:rPr>
          <w:rFonts w:ascii="Arial" w:cs="Arial" w:eastAsia="Arial" w:hAnsi="Arial"/>
          <w:sz w:val="17"/>
          <w:szCs w:val="17"/>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78" w:lineRule="exact"/>
        <w:rPr>
          <w:sz w:val="20"/>
          <w:szCs w:val="20"/>
          <w:color w:val="auto"/>
        </w:rPr>
      </w:pPr>
    </w:p>
    <w:p>
      <w:pPr>
        <w:ind w:left="1500" w:hanging="349"/>
        <w:spacing w:after="0"/>
        <w:tabs>
          <w:tab w:leader="none" w:pos="15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Unaudited pro forma shareholders equity:</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Company’s board of directors has authorized the filing of a Registration Statement with the</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U.S. Securities and Exchange Commission to register the Company’s ordinary shares for sale to the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public. Upon the closing of the Company’s proposed Initial Public Offering (the “IPO”), subject to</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satisfying the requirement of a Qualified IPO which is defined as an IPO that results in at least</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$30,000 of proceeds to the Company, all of the authorized, issued, and outstanding preferred shares of</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the Company will be automatically converted into ordinary shares. Unaudited pro forma shareholders’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equity as of December 31, 2014, as adjusted for the assumed conversion of such shares is disclosed in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balance sheet.</w:t>
      </w:r>
    </w:p>
    <w:p>
      <w:pPr>
        <w:spacing w:after="0" w:line="211" w:lineRule="exact"/>
        <w:rPr>
          <w:sz w:val="20"/>
          <w:szCs w:val="20"/>
          <w:color w:val="auto"/>
        </w:rPr>
      </w:pPr>
    </w:p>
    <w:p>
      <w:pPr>
        <w:ind w:left="1480" w:hanging="329"/>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sz w:val="20"/>
          <w:szCs w:val="20"/>
          <w:color w:val="auto"/>
        </w:rPr>
      </w:pPr>
    </w:p>
    <w:p>
      <w:pPr>
        <w:ind w:left="1520" w:right="37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81" w:lineRule="exact"/>
        <w:rPr>
          <w:sz w:val="20"/>
          <w:szCs w:val="20"/>
          <w:color w:val="auto"/>
        </w:rPr>
      </w:pPr>
    </w:p>
    <w:p>
      <w:pPr>
        <w:ind w:left="1500" w:hanging="349"/>
        <w:spacing w:after="0"/>
        <w:tabs>
          <w:tab w:leader="none" w:pos="15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left="1520" w:right="43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sz w:val="20"/>
          <w:szCs w:val="20"/>
          <w:color w:val="auto"/>
        </w:rPr>
      </w:pPr>
    </w:p>
    <w:p>
      <w:pPr>
        <w:ind w:left="1480" w:hanging="329"/>
        <w:spacing w:after="0"/>
        <w:tabs>
          <w:tab w:leader="none" w:pos="14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sz w:val="20"/>
          <w:szCs w:val="20"/>
          <w:color w:val="auto"/>
        </w:rPr>
      </w:pPr>
    </w:p>
    <w:p>
      <w:pPr>
        <w:ind w:left="1520" w:right="279"/>
        <w:spacing w:after="0" w:line="264" w:lineRule="auto"/>
        <w:rPr>
          <w:sz w:val="20"/>
          <w:szCs w:val="20"/>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181" w:lineRule="exact"/>
        <w:rPr>
          <w:sz w:val="20"/>
          <w:szCs w:val="20"/>
          <w:color w:val="auto"/>
        </w:rPr>
      </w:pPr>
    </w:p>
    <w:p>
      <w:pPr>
        <w:ind w:left="1480" w:hanging="329"/>
        <w:spacing w:after="0"/>
        <w:tabs>
          <w:tab w:leader="none" w:pos="14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sz w:val="20"/>
          <w:szCs w:val="20"/>
          <w:color w:val="auto"/>
        </w:rPr>
      </w:pPr>
    </w:p>
    <w:p>
      <w:pPr>
        <w:ind w:left="1520" w:right="159"/>
        <w:spacing w:after="0" w:line="279" w:lineRule="auto"/>
        <w:rPr>
          <w:sz w:val="20"/>
          <w:szCs w:val="20"/>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2" w:name="page133"/>
    <w:bookmarkEnd w:id="13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Cost of inventories is determined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Raw and packing materials — on the basis of weighted average cost.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Finished goods — on the basis of average costs of materials, and other direct manufacturing cost.</w:t>
      </w:r>
    </w:p>
    <w:p>
      <w:pPr>
        <w:spacing w:after="0" w:line="237" w:lineRule="exact"/>
        <w:rPr>
          <w:sz w:val="20"/>
          <w:szCs w:val="20"/>
          <w:color w:val="auto"/>
        </w:rPr>
      </w:pPr>
    </w:p>
    <w:p>
      <w:pPr>
        <w:ind w:left="1520" w:right="579"/>
        <w:spacing w:after="0" w:line="308" w:lineRule="auto"/>
        <w:rPr>
          <w:sz w:val="20"/>
          <w:szCs w:val="20"/>
          <w:color w:val="auto"/>
        </w:rPr>
      </w:pPr>
      <w:r>
        <w:rPr>
          <w:rFonts w:ascii="Arial" w:cs="Arial" w:eastAsia="Arial" w:hAnsi="Arial"/>
          <w:sz w:val="17"/>
          <w:szCs w:val="17"/>
          <w:color w:val="auto"/>
        </w:rPr>
        <w:t>Inventory write off have been provided to cover risks arising from dead and slow moving items, technological obsolescence and excess inventories according to revenue forecasts.</w:t>
      </w:r>
    </w:p>
    <w:p>
      <w:pPr>
        <w:spacing w:after="0" w:line="147" w:lineRule="exact"/>
        <w:rPr>
          <w:sz w:val="20"/>
          <w:szCs w:val="20"/>
          <w:color w:val="auto"/>
        </w:rPr>
      </w:pPr>
    </w:p>
    <w:p>
      <w:pPr>
        <w:ind w:left="1520" w:right="499"/>
        <w:spacing w:after="0" w:line="277" w:lineRule="auto"/>
        <w:rPr>
          <w:sz w:val="20"/>
          <w:szCs w:val="20"/>
          <w:color w:val="auto"/>
        </w:rPr>
      </w:pPr>
      <w:r>
        <w:rPr>
          <w:rFonts w:ascii="Arial" w:cs="Arial" w:eastAsia="Arial" w:hAnsi="Arial"/>
          <w:sz w:val="18"/>
          <w:szCs w:val="18"/>
          <w:color w:val="auto"/>
        </w:rPr>
        <w:t>During the years ended 2012, 2013 and 2014 the Company recorded inventory write off in a total amount of $129, $369 and $287, respectively.</w:t>
      </w:r>
    </w:p>
    <w:p>
      <w:pPr>
        <w:spacing w:after="0" w:line="170" w:lineRule="exact"/>
        <w:rPr>
          <w:sz w:val="20"/>
          <w:szCs w:val="20"/>
          <w:color w:val="auto"/>
        </w:rPr>
      </w:pPr>
    </w:p>
    <w:p>
      <w:pPr>
        <w:ind w:left="1520" w:hanging="369"/>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rFonts w:ascii="Arial" w:cs="Arial" w:eastAsia="Arial" w:hAnsi="Arial"/>
          <w:sz w:val="18"/>
          <w:szCs w:val="18"/>
          <w:color w:val="auto"/>
        </w:rPr>
      </w:pPr>
    </w:p>
    <w:p>
      <w:pPr>
        <w:jc w:val="both"/>
        <w:ind w:left="1520" w:right="279"/>
        <w:spacing w:after="0" w:line="312" w:lineRule="auto"/>
        <w:rPr>
          <w:rFonts w:ascii="Arial" w:cs="Arial" w:eastAsia="Arial" w:hAnsi="Arial"/>
          <w:sz w:val="18"/>
          <w:szCs w:val="18"/>
          <w:color w:val="auto"/>
        </w:rPr>
      </w:pPr>
      <w:r>
        <w:rPr>
          <w:rFonts w:ascii="Arial" w:cs="Arial" w:eastAsia="Arial" w:hAnsi="Arial"/>
          <w:sz w:val="16"/>
          <w:szCs w:val="16"/>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47" w:lineRule="exact"/>
        <w:rPr>
          <w:sz w:val="20"/>
          <w:szCs w:val="20"/>
          <w:color w:val="auto"/>
        </w:rPr>
      </w:pPr>
    </w:p>
    <w:tbl>
      <w:tblPr>
        <w:tblLayout w:type="fixed"/>
        <w:tblInd w:w="152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w:t>
            </w:r>
          </w:p>
        </w:tc>
      </w:tr>
      <w:tr>
        <w:trPr>
          <w:trHeight w:val="441"/>
        </w:trPr>
        <w:tc>
          <w:tcPr>
            <w:tcW w:w="39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7 – 20</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4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1860" w:right="239" w:hanging="286"/>
        <w:spacing w:after="0" w:line="264" w:lineRule="auto"/>
        <w:tabs>
          <w:tab w:leader="none" w:pos="1867" w:val="left"/>
        </w:tabs>
        <w:numPr>
          <w:ilvl w:val="1"/>
          <w:numId w:val="94"/>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81" w:lineRule="exact"/>
        <w:rPr>
          <w:rFonts w:ascii="Arial" w:cs="Arial" w:eastAsia="Arial" w:hAnsi="Arial"/>
          <w:sz w:val="18"/>
          <w:szCs w:val="18"/>
          <w:color w:val="auto"/>
        </w:rPr>
      </w:pPr>
    </w:p>
    <w:p>
      <w:pPr>
        <w:ind w:left="1520" w:hanging="369"/>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rFonts w:ascii="Arial" w:cs="Arial" w:eastAsia="Arial" w:hAnsi="Arial"/>
          <w:sz w:val="18"/>
          <w:szCs w:val="18"/>
          <w:color w:val="auto"/>
        </w:rPr>
      </w:pPr>
    </w:p>
    <w:p>
      <w:pPr>
        <w:ind w:left="1520" w:right="119"/>
        <w:spacing w:after="0" w:line="291" w:lineRule="auto"/>
        <w:rPr>
          <w:rFonts w:ascii="Arial" w:cs="Arial" w:eastAsia="Arial" w:hAnsi="Arial"/>
          <w:sz w:val="18"/>
          <w:szCs w:val="18"/>
          <w:color w:val="auto"/>
        </w:rPr>
      </w:pPr>
      <w:r>
        <w:rPr>
          <w:rFonts w:ascii="Arial" w:cs="Arial" w:eastAsia="Arial" w:hAnsi="Arial"/>
          <w:sz w:val="16"/>
          <w:szCs w:val="16"/>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6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During the years ended 2012, 2013 and 2014 no impairment losses were recorded.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3" w:name="page134"/>
    <w:bookmarkEnd w:id="13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520" w:right="359"/>
        <w:spacing w:after="0" w:line="264" w:lineRule="auto"/>
        <w:rPr>
          <w:rFonts w:ascii="Arial" w:cs="Arial" w:eastAsia="Arial" w:hAnsi="Arial"/>
          <w:sz w:val="18"/>
          <w:szCs w:val="18"/>
          <w:color w:val="auto"/>
        </w:rPr>
      </w:pPr>
      <w:r>
        <w:rPr>
          <w:rFonts w:ascii="Arial" w:cs="Arial" w:eastAsia="Arial" w:hAnsi="Arial"/>
          <w:sz w:val="18"/>
          <w:szCs w:val="18"/>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81" w:lineRule="exact"/>
        <w:rPr>
          <w:rFonts w:ascii="Arial" w:cs="Arial" w:eastAsia="Arial" w:hAnsi="Arial"/>
          <w:sz w:val="18"/>
          <w:szCs w:val="18"/>
          <w:color w:val="auto"/>
        </w:rPr>
      </w:pPr>
    </w:p>
    <w:p>
      <w:pPr>
        <w:ind w:left="1520" w:right="139"/>
        <w:spacing w:after="0" w:line="259" w:lineRule="auto"/>
        <w:rPr>
          <w:rFonts w:ascii="Arial" w:cs="Arial" w:eastAsia="Arial" w:hAnsi="Arial"/>
          <w:sz w:val="18"/>
          <w:szCs w:val="18"/>
          <w:color w:val="auto"/>
        </w:rPr>
      </w:pPr>
      <w:r>
        <w:rPr>
          <w:rFonts w:ascii="Arial" w:cs="Arial" w:eastAsia="Arial" w:hAnsi="Arial"/>
          <w:sz w:val="18"/>
          <w:szCs w:val="18"/>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6" w:lineRule="exact"/>
        <w:rPr>
          <w:rFonts w:ascii="Arial" w:cs="Arial" w:eastAsia="Arial" w:hAnsi="Arial"/>
          <w:sz w:val="18"/>
          <w:szCs w:val="18"/>
          <w:color w:val="auto"/>
        </w:rPr>
      </w:pPr>
    </w:p>
    <w:p>
      <w:pPr>
        <w:ind w:left="1520" w:right="139"/>
        <w:spacing w:after="0" w:line="276" w:lineRule="auto"/>
        <w:rPr>
          <w:rFonts w:ascii="Arial" w:cs="Arial" w:eastAsia="Arial" w:hAnsi="Arial"/>
          <w:sz w:val="18"/>
          <w:szCs w:val="18"/>
          <w:color w:val="auto"/>
        </w:rPr>
      </w:pPr>
      <w:r>
        <w:rPr>
          <w:rFonts w:ascii="Arial" w:cs="Arial" w:eastAsia="Arial" w:hAnsi="Arial"/>
          <w:sz w:val="17"/>
          <w:szCs w:val="17"/>
          <w:color w:val="auto"/>
        </w:rPr>
        <w:t>Revenues from selling these products to independent distributors who do not install the systems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72" w:lineRule="exact"/>
        <w:rPr>
          <w:rFonts w:ascii="Arial" w:cs="Arial" w:eastAsia="Arial" w:hAnsi="Arial"/>
          <w:sz w:val="18"/>
          <w:szCs w:val="18"/>
          <w:color w:val="auto"/>
        </w:rPr>
      </w:pPr>
    </w:p>
    <w:p>
      <w:pPr>
        <w:ind w:left="1520" w:right="199"/>
        <w:spacing w:after="0" w:line="290" w:lineRule="auto"/>
        <w:rPr>
          <w:rFonts w:ascii="Arial" w:cs="Arial" w:eastAsia="Arial" w:hAnsi="Arial"/>
          <w:sz w:val="18"/>
          <w:szCs w:val="18"/>
          <w:color w:val="auto"/>
        </w:rPr>
      </w:pPr>
      <w:r>
        <w:rPr>
          <w:rFonts w:ascii="Arial" w:cs="Arial" w:eastAsia="Arial" w:hAnsi="Arial"/>
          <w:sz w:val="16"/>
          <w:szCs w:val="16"/>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66" w:lineRule="exact"/>
        <w:rPr>
          <w:rFonts w:ascii="Arial" w:cs="Arial" w:eastAsia="Arial" w:hAnsi="Arial"/>
          <w:sz w:val="18"/>
          <w:szCs w:val="18"/>
          <w:color w:val="auto"/>
        </w:rPr>
      </w:pPr>
    </w:p>
    <w:p>
      <w:pPr>
        <w:ind w:left="1520" w:right="219"/>
        <w:spacing w:after="0" w:line="259" w:lineRule="auto"/>
        <w:rPr>
          <w:rFonts w:ascii="Arial" w:cs="Arial" w:eastAsia="Arial" w:hAnsi="Arial"/>
          <w:sz w:val="18"/>
          <w:szCs w:val="18"/>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6" w:lineRule="exact"/>
        <w:rPr>
          <w:rFonts w:ascii="Arial" w:cs="Arial" w:eastAsia="Arial" w:hAnsi="Arial"/>
          <w:sz w:val="18"/>
          <w:szCs w:val="18"/>
          <w:color w:val="auto"/>
        </w:rPr>
      </w:pPr>
    </w:p>
    <w:p>
      <w:pPr>
        <w:ind w:left="1520" w:right="279"/>
        <w:spacing w:after="0" w:line="342" w:lineRule="auto"/>
        <w:rPr>
          <w:rFonts w:ascii="Arial" w:cs="Arial" w:eastAsia="Arial" w:hAnsi="Arial"/>
          <w:sz w:val="18"/>
          <w:szCs w:val="18"/>
          <w:color w:val="auto"/>
        </w:rPr>
      </w:pPr>
      <w:r>
        <w:rPr>
          <w:rFonts w:ascii="Arial" w:cs="Arial" w:eastAsia="Arial" w:hAnsi="Arial"/>
          <w:sz w:val="16"/>
          <w:szCs w:val="16"/>
          <w:color w:val="auto"/>
        </w:rPr>
        <w:t>Revenues from ink and other consumable products when sold separately from systems are generally recognized upon shipment assuming all other revenue recognition criteria have been met.</w:t>
      </w:r>
    </w:p>
    <w:p>
      <w:pPr>
        <w:spacing w:after="0" w:line="123" w:lineRule="exact"/>
        <w:rPr>
          <w:rFonts w:ascii="Arial" w:cs="Arial" w:eastAsia="Arial" w:hAnsi="Arial"/>
          <w:sz w:val="18"/>
          <w:szCs w:val="18"/>
          <w:color w:val="auto"/>
        </w:rPr>
      </w:pPr>
    </w:p>
    <w:p>
      <w:pPr>
        <w:ind w:left="1520" w:right="159"/>
        <w:spacing w:after="0" w:line="257" w:lineRule="auto"/>
        <w:rPr>
          <w:rFonts w:ascii="Arial" w:cs="Arial" w:eastAsia="Arial" w:hAnsi="Arial"/>
          <w:sz w:val="18"/>
          <w:szCs w:val="18"/>
          <w:color w:val="auto"/>
        </w:rPr>
      </w:pPr>
      <w:r>
        <w:rPr>
          <w:rFonts w:ascii="Arial" w:cs="Arial" w:eastAsia="Arial" w:hAnsi="Arial"/>
          <w:sz w:val="18"/>
          <w:szCs w:val="18"/>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$84 and $348 as of December 31, 2013 and 2014, respectively.</w:t>
      </w:r>
    </w:p>
    <w:p>
      <w:pPr>
        <w:spacing w:after="0" w:line="188" w:lineRule="exact"/>
        <w:rPr>
          <w:rFonts w:ascii="Arial" w:cs="Arial" w:eastAsia="Arial" w:hAnsi="Arial"/>
          <w:sz w:val="18"/>
          <w:szCs w:val="18"/>
          <w:color w:val="auto"/>
        </w:rPr>
      </w:pPr>
    </w:p>
    <w:p>
      <w:pPr>
        <w:ind w:left="1520" w:right="539"/>
        <w:spacing w:after="0" w:line="277" w:lineRule="auto"/>
        <w:rPr>
          <w:rFonts w:ascii="Arial" w:cs="Arial" w:eastAsia="Arial" w:hAnsi="Arial"/>
          <w:sz w:val="18"/>
          <w:szCs w:val="18"/>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170" w:lineRule="exact"/>
        <w:rPr>
          <w:sz w:val="20"/>
          <w:szCs w:val="20"/>
          <w:color w:val="auto"/>
        </w:rPr>
      </w:pPr>
    </w:p>
    <w:p>
      <w:pPr>
        <w:ind w:left="1520" w:right="359"/>
        <w:spacing w:after="0" w:line="308" w:lineRule="auto"/>
        <w:rPr>
          <w:sz w:val="20"/>
          <w:szCs w:val="20"/>
          <w:color w:val="auto"/>
        </w:rPr>
      </w:pPr>
      <w:r>
        <w:rPr>
          <w:rFonts w:ascii="Arial" w:cs="Arial" w:eastAsia="Arial" w:hAnsi="Arial"/>
          <w:sz w:val="17"/>
          <w:szCs w:val="17"/>
          <w:color w:val="auto"/>
        </w:rPr>
        <w:t>In cases where the Company trades-in old systems as part of sales of new systems, the fair value of the old systems is recorded as inventory, provided that such value can be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4" w:name="page135"/>
    <w:bookmarkEnd w:id="13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hanging="36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ind w:left="1520" w:right="359"/>
        <w:spacing w:after="0" w:line="312" w:lineRule="auto"/>
        <w:rPr>
          <w:rFonts w:ascii="Arial" w:cs="Arial" w:eastAsia="Arial" w:hAnsi="Arial"/>
          <w:sz w:val="18"/>
          <w:szCs w:val="18"/>
          <w:color w:val="auto"/>
        </w:rPr>
      </w:pPr>
      <w:r>
        <w:rPr>
          <w:rFonts w:ascii="Arial" w:cs="Arial" w:eastAsia="Arial" w:hAnsi="Arial"/>
          <w:sz w:val="16"/>
          <w:szCs w:val="16"/>
          <w:color w:val="auto"/>
        </w:rPr>
        <w:t>Shipping and handling fees charged to the Company’s customers are recognized as revenue in the period shipped and the related costs for providing these services are recorded as a cost of revenues. Revenues from shipping in 2012, 2013 and 2014 were $617, $681 and $931, respectively.</w:t>
      </w:r>
    </w:p>
    <w:p>
      <w:pPr>
        <w:spacing w:after="0" w:line="146" w:lineRule="exact"/>
        <w:rPr>
          <w:rFonts w:ascii="Arial" w:cs="Arial" w:eastAsia="Arial" w:hAnsi="Arial"/>
          <w:sz w:val="18"/>
          <w:szCs w:val="18"/>
          <w:color w:val="auto"/>
        </w:rPr>
      </w:pPr>
    </w:p>
    <w:p>
      <w:pPr>
        <w:ind w:left="1520" w:hanging="369"/>
        <w:spacing w:after="0"/>
        <w:tabs>
          <w:tab w:leader="none" w:pos="1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520" w:right="239"/>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printers and ink production, employees’ salaries and related costs, allocated overhead expenses, import taxes and royalties.</w:t>
      </w:r>
    </w:p>
    <w:p>
      <w:pPr>
        <w:spacing w:after="0" w:line="170" w:lineRule="exact"/>
        <w:rPr>
          <w:rFonts w:ascii="Arial" w:cs="Arial" w:eastAsia="Arial" w:hAnsi="Arial"/>
          <w:sz w:val="18"/>
          <w:szCs w:val="18"/>
          <w:color w:val="auto"/>
        </w:rPr>
      </w:pPr>
    </w:p>
    <w:p>
      <w:pPr>
        <w:ind w:left="1480" w:hanging="329"/>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25" w:lineRule="exact"/>
        <w:rPr>
          <w:sz w:val="20"/>
          <w:szCs w:val="20"/>
          <w:color w:val="auto"/>
        </w:rPr>
      </w:pPr>
    </w:p>
    <w:p>
      <w:pPr>
        <w:ind w:left="1520" w:right="279"/>
        <w:spacing w:after="0" w:line="255" w:lineRule="auto"/>
        <w:rPr>
          <w:sz w:val="20"/>
          <w:szCs w:val="20"/>
          <w:color w:val="auto"/>
        </w:rPr>
      </w:pPr>
      <w:r>
        <w:rPr>
          <w:rFonts w:ascii="Arial" w:cs="Arial" w:eastAsia="Arial" w:hAnsi="Arial"/>
          <w:sz w:val="18"/>
          <w:szCs w:val="18"/>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followings are the changes in the liability for product warranty from January 1, 2013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December 31, 2014:</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Balance at January 1, 2013</w:t>
            </w:r>
          </w:p>
        </w:tc>
        <w:tc>
          <w:tcPr>
            <w:tcW w:w="1240" w:type="dxa"/>
            <w:vAlign w:val="bottom"/>
          </w:tcPr>
          <w:p>
            <w:pPr>
              <w:jc w:val="right"/>
              <w:spacing w:after="0"/>
              <w:rPr>
                <w:sz w:val="20"/>
                <w:szCs w:val="20"/>
                <w:color w:val="auto"/>
              </w:rPr>
            </w:pPr>
            <w:r>
              <w:rPr>
                <w:rFonts w:ascii="Arial" w:cs="Arial" w:eastAsia="Arial" w:hAnsi="Arial"/>
                <w:sz w:val="18"/>
                <w:szCs w:val="18"/>
                <w:color w:val="auto"/>
              </w:rPr>
              <w:t>356</w:t>
            </w:r>
          </w:p>
        </w:tc>
        <w:tc>
          <w:tcPr>
            <w:tcW w:w="40" w:type="dxa"/>
            <w:vAlign w:val="bottom"/>
          </w:tcPr>
          <w:p>
            <w:pPr>
              <w:spacing w:after="0"/>
              <w:rPr>
                <w:sz w:val="20"/>
                <w:szCs w:val="20"/>
                <w:color w:val="auto"/>
              </w:rPr>
            </w:pPr>
          </w:p>
        </w:tc>
      </w:tr>
      <w:tr>
        <w:trPr>
          <w:trHeight w:val="418"/>
        </w:trPr>
        <w:tc>
          <w:tcPr>
            <w:tcW w:w="738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906</w:t>
            </w:r>
          </w:p>
        </w:tc>
        <w:tc>
          <w:tcPr>
            <w:tcW w:w="40" w:type="dxa"/>
            <w:vAlign w:val="bottom"/>
          </w:tcPr>
          <w:p>
            <w:pPr>
              <w:spacing w:after="0"/>
              <w:rPr>
                <w:sz w:val="24"/>
                <w:szCs w:val="24"/>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(791)</w:t>
            </w:r>
          </w:p>
        </w:tc>
      </w:tr>
      <w:tr>
        <w:trPr>
          <w:trHeight w:val="426"/>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2013</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24"/>
                <w:szCs w:val="24"/>
                <w:color w:val="auto"/>
              </w:rPr>
            </w:pP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8"/>
        </w:trPr>
        <w:tc>
          <w:tcPr>
            <w:tcW w:w="7380" w:type="dxa"/>
            <w:vAlign w:val="bottom"/>
          </w:tcPr>
          <w:p>
            <w:pPr>
              <w:spacing w:after="0"/>
              <w:rPr>
                <w:sz w:val="20"/>
                <w:szCs w:val="20"/>
                <w:color w:val="auto"/>
              </w:rPr>
            </w:pPr>
            <w:r>
              <w:rPr>
                <w:rFonts w:ascii="Arial" w:cs="Arial" w:eastAsia="Arial" w:hAnsi="Arial"/>
                <w:sz w:val="18"/>
                <w:szCs w:val="18"/>
                <w:color w:val="auto"/>
              </w:rPr>
              <w:t>Provision for warranties issued during the year</w:t>
            </w:r>
          </w:p>
        </w:tc>
        <w:tc>
          <w:tcPr>
            <w:tcW w:w="1240" w:type="dxa"/>
            <w:vAlign w:val="bottom"/>
          </w:tcPr>
          <w:p>
            <w:pPr>
              <w:jc w:val="right"/>
              <w:spacing w:after="0"/>
              <w:rPr>
                <w:sz w:val="20"/>
                <w:szCs w:val="20"/>
                <w:color w:val="auto"/>
              </w:rPr>
            </w:pPr>
            <w:r>
              <w:rPr>
                <w:rFonts w:ascii="Arial" w:cs="Arial" w:eastAsia="Arial" w:hAnsi="Arial"/>
                <w:sz w:val="18"/>
                <w:szCs w:val="18"/>
                <w:color w:val="auto"/>
              </w:rPr>
              <w:t>1,354</w:t>
            </w:r>
          </w:p>
        </w:tc>
        <w:tc>
          <w:tcPr>
            <w:tcW w:w="40" w:type="dxa"/>
            <w:vAlign w:val="bottom"/>
          </w:tcPr>
          <w:p>
            <w:pPr>
              <w:spacing w:after="0"/>
              <w:rPr>
                <w:sz w:val="24"/>
                <w:szCs w:val="24"/>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Reduction for payments and costs to satisfy claims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(1,141)</w:t>
            </w:r>
          </w:p>
        </w:tc>
      </w:tr>
      <w:tr>
        <w:trPr>
          <w:trHeight w:val="426"/>
        </w:trPr>
        <w:tc>
          <w:tcPr>
            <w:tcW w:w="7380" w:type="dxa"/>
            <w:vAlign w:val="bottom"/>
          </w:tcPr>
          <w:p>
            <w:pPr>
              <w:spacing w:after="0"/>
              <w:rPr>
                <w:sz w:val="20"/>
                <w:szCs w:val="20"/>
                <w:color w:val="auto"/>
              </w:rPr>
            </w:pPr>
            <w:r>
              <w:rPr>
                <w:rFonts w:ascii="Arial" w:cs="Arial" w:eastAsia="Arial" w:hAnsi="Arial"/>
                <w:sz w:val="18"/>
                <w:szCs w:val="18"/>
                <w:color w:val="auto"/>
              </w:rPr>
              <w:t>Balance at December 31, 2014</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40" w:type="dxa"/>
            <w:vAlign w:val="bottom"/>
          </w:tcPr>
          <w:p>
            <w:pPr>
              <w:spacing w:after="0"/>
              <w:rPr>
                <w:sz w:val="24"/>
                <w:szCs w:val="24"/>
                <w:color w:val="auto"/>
              </w:rPr>
            </w:pPr>
          </w:p>
        </w:tc>
      </w:tr>
      <w:tr>
        <w:trPr>
          <w:trHeight w:val="20"/>
        </w:trPr>
        <w:tc>
          <w:tcPr>
            <w:tcW w:w="7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hanging="369"/>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Research and development expenses are charged to the statement of income, as incurred.</w:t>
      </w:r>
    </w:p>
    <w:p>
      <w:pPr>
        <w:spacing w:after="0" w:line="225" w:lineRule="exact"/>
        <w:rPr>
          <w:rFonts w:ascii="Arial" w:cs="Arial" w:eastAsia="Arial" w:hAnsi="Arial"/>
          <w:sz w:val="18"/>
          <w:szCs w:val="18"/>
          <w:color w:val="auto"/>
        </w:rPr>
      </w:pPr>
    </w:p>
    <w:p>
      <w:pPr>
        <w:ind w:left="1480" w:hanging="329"/>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The Company accounts for share-based compensation in accordance with ASC No. 718, “Compensation</w:t>
      </w:r>
    </w:p>
    <w:p>
      <w:pPr>
        <w:spacing w:after="0" w:line="58" w:lineRule="exact"/>
        <w:rPr>
          <w:sz w:val="20"/>
          <w:szCs w:val="20"/>
          <w:color w:val="auto"/>
        </w:rPr>
      </w:pPr>
    </w:p>
    <w:p>
      <w:pPr>
        <w:ind w:left="1520" w:right="199"/>
        <w:spacing w:after="0" w:line="252" w:lineRule="auto"/>
        <w:rPr>
          <w:sz w:val="20"/>
          <w:szCs w:val="20"/>
          <w:color w:val="auto"/>
        </w:rPr>
      </w:pPr>
      <w:r>
        <w:rPr>
          <w:rFonts w:ascii="Arial" w:cs="Arial" w:eastAsia="Arial" w:hAnsi="Arial"/>
          <w:sz w:val="18"/>
          <w:szCs w:val="18"/>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5" w:name="page136"/>
    <w:bookmarkEnd w:id="13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2012, 2013 and 2014: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0"/>
              </w:rPr>
              <w:t>Year ended</w:t>
            </w:r>
          </w:p>
        </w:tc>
        <w:tc>
          <w:tcPr>
            <w:tcW w:w="1240" w:type="dxa"/>
            <w:vAlign w:val="bottom"/>
          </w:tcPr>
          <w:p>
            <w:pPr>
              <w:spacing w:after="0"/>
              <w:rPr>
                <w:sz w:val="17"/>
                <w:szCs w:val="17"/>
                <w:color w:val="auto"/>
              </w:rPr>
            </w:pPr>
          </w:p>
        </w:tc>
      </w:tr>
      <w:tr>
        <w:trPr>
          <w:trHeight w:val="213"/>
        </w:trPr>
        <w:tc>
          <w:tcPr>
            <w:tcW w:w="42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6"/>
                <w:szCs w:val="16"/>
                <w:b w:val="1"/>
                <w:bCs w:val="1"/>
                <w:color w:val="auto"/>
                <w:w w:val="90"/>
              </w:rPr>
              <w:t>December 31,</w:t>
            </w:r>
          </w:p>
        </w:tc>
        <w:tc>
          <w:tcPr>
            <w:tcW w:w="1240" w:type="dxa"/>
            <w:vAlign w:val="bottom"/>
            <w:tcBorders>
              <w:bottom w:val="single" w:sz="8" w:color="auto"/>
            </w:tcBorders>
          </w:tcPr>
          <w:p>
            <w:pPr>
              <w:spacing w:after="0"/>
              <w:rPr>
                <w:sz w:val="18"/>
                <w:szCs w:val="18"/>
                <w:color w:val="auto"/>
              </w:rPr>
            </w:pPr>
          </w:p>
        </w:tc>
      </w:tr>
      <w:tr>
        <w:trPr>
          <w:trHeight w:val="199"/>
        </w:trPr>
        <w:tc>
          <w:tcPr>
            <w:tcW w:w="422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Borders>
              <w:bottom w:val="single" w:sz="8" w:color="auto"/>
            </w:tcBorders>
            <w:gridSpan w:val="2"/>
          </w:tcPr>
          <w:p>
            <w:pPr>
              <w:jc w:val="center"/>
              <w:ind w:left="374"/>
              <w:spacing w:after="0"/>
              <w:rPr>
                <w:sz w:val="20"/>
                <w:szCs w:val="20"/>
                <w:color w:val="auto"/>
              </w:rPr>
            </w:pPr>
            <w:r>
              <w:rPr>
                <w:rFonts w:ascii="Arial" w:cs="Arial" w:eastAsia="Arial" w:hAnsi="Arial"/>
                <w:sz w:val="16"/>
                <w:szCs w:val="16"/>
                <w:b w:val="1"/>
                <w:bCs w:val="1"/>
                <w:color w:val="auto"/>
                <w:w w:val="89"/>
              </w:rPr>
              <w:t>2013</w:t>
            </w:r>
          </w:p>
        </w:tc>
        <w:tc>
          <w:tcPr>
            <w:tcW w:w="4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r>
      <w:tr>
        <w:trPr>
          <w:trHeight w:val="398"/>
        </w:trPr>
        <w:tc>
          <w:tcPr>
            <w:tcW w:w="4220" w:type="dxa"/>
            <w:vAlign w:val="bottom"/>
          </w:tcPr>
          <w:p>
            <w:pPr>
              <w:spacing w:after="0"/>
              <w:rPr>
                <w:sz w:val="20"/>
                <w:szCs w:val="20"/>
                <w:color w:val="auto"/>
              </w:rPr>
            </w:pPr>
            <w:r>
              <w:rPr>
                <w:rFonts w:ascii="Arial" w:cs="Arial" w:eastAsia="Arial" w:hAnsi="Arial"/>
                <w:sz w:val="18"/>
                <w:szCs w:val="18"/>
                <w:color w:val="auto"/>
              </w:rPr>
              <w:t>Suboptimal exercise multiple</w:t>
            </w: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24"/>
                <w:szCs w:val="24"/>
                <w:color w:val="auto"/>
              </w:rPr>
            </w:pPr>
          </w:p>
        </w:tc>
        <w:tc>
          <w:tcPr>
            <w:tcW w:w="15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3.0 – 10.0</w:t>
            </w:r>
          </w:p>
        </w:tc>
        <w:tc>
          <w:tcPr>
            <w:tcW w:w="1240" w:type="dxa"/>
            <w:vAlign w:val="bottom"/>
          </w:tcPr>
          <w:p>
            <w:pPr>
              <w:jc w:val="center"/>
              <w:ind w:left="72"/>
              <w:spacing w:after="0"/>
              <w:rPr>
                <w:sz w:val="20"/>
                <w:szCs w:val="20"/>
                <w:color w:val="auto"/>
              </w:rPr>
            </w:pPr>
            <w:r>
              <w:rPr>
                <w:rFonts w:ascii="Arial" w:cs="Arial" w:eastAsia="Arial" w:hAnsi="Arial"/>
                <w:sz w:val="18"/>
                <w:szCs w:val="18"/>
                <w:color w:val="auto"/>
                <w:w w:val="89"/>
              </w:rPr>
              <w:t>2.0 – 10.0</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40" w:type="dxa"/>
            <w:vAlign w:val="bottom"/>
          </w:tcPr>
          <w:p>
            <w:pPr>
              <w:jc w:val="center"/>
              <w:ind w:left="72"/>
              <w:spacing w:after="0"/>
              <w:rPr>
                <w:sz w:val="20"/>
                <w:szCs w:val="20"/>
                <w:color w:val="auto"/>
              </w:rPr>
            </w:pPr>
            <w:r>
              <w:rPr>
                <w:rFonts w:ascii="Arial" w:cs="Arial" w:eastAsia="Arial" w:hAnsi="Arial"/>
                <w:sz w:val="18"/>
                <w:szCs w:val="18"/>
                <w:color w:val="auto"/>
                <w:w w:val="89"/>
              </w:rPr>
              <w:t>0.1% – 2.5 %</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71%</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Pr>
          <w:p>
            <w:pPr>
              <w:ind w:left="20"/>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18"/>
                <w:szCs w:val="18"/>
                <w:color w:val="auto"/>
              </w:rPr>
            </w:pPr>
          </w:p>
        </w:tc>
        <w:tc>
          <w:tcPr>
            <w:tcW w:w="1240" w:type="dxa"/>
            <w:vAlign w:val="bottom"/>
          </w:tcPr>
          <w:p>
            <w:pPr>
              <w:jc w:val="center"/>
              <w:ind w:left="72"/>
              <w:spacing w:after="0"/>
              <w:rPr>
                <w:sz w:val="20"/>
                <w:szCs w:val="20"/>
                <w:color w:val="auto"/>
              </w:rPr>
            </w:pPr>
            <w:r>
              <w:rPr>
                <w:rFonts w:ascii="Arial" w:cs="Arial" w:eastAsia="Arial" w:hAnsi="Arial"/>
                <w:sz w:val="18"/>
                <w:szCs w:val="18"/>
                <w:color w:val="auto"/>
                <w:w w:val="91"/>
              </w:rPr>
              <w:t>50% – 55%</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Dividend yield</w:t>
            </w:r>
          </w:p>
        </w:tc>
        <w:tc>
          <w:tcPr>
            <w:tcW w:w="1240" w:type="dxa"/>
            <w:vAlign w:val="bottom"/>
            <w:gridSpan w:val="3"/>
          </w:tcPr>
          <w:p>
            <w:pPr>
              <w:jc w:val="center"/>
              <w:ind w:left="72"/>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20"/>
                <w:szCs w:val="20"/>
                <w:color w:val="auto"/>
              </w:rPr>
            </w:pPr>
          </w:p>
        </w:tc>
        <w:tc>
          <w:tcPr>
            <w:tcW w:w="1240" w:type="dxa"/>
            <w:vAlign w:val="bottom"/>
            <w:gridSpan w:val="3"/>
          </w:tcPr>
          <w:p>
            <w:pPr>
              <w:jc w:val="center"/>
              <w:ind w:left="74"/>
              <w:spacing w:after="0"/>
              <w:rPr>
                <w:sz w:val="20"/>
                <w:szCs w:val="20"/>
                <w:color w:val="auto"/>
              </w:rPr>
            </w:pPr>
            <w:r>
              <w:rPr>
                <w:rFonts w:ascii="Arial" w:cs="Arial" w:eastAsia="Arial" w:hAnsi="Arial"/>
                <w:sz w:val="18"/>
                <w:szCs w:val="18"/>
                <w:color w:val="auto"/>
                <w:w w:val="92"/>
              </w:rPr>
              <w:t>0%</w:t>
            </w:r>
          </w:p>
        </w:tc>
        <w:tc>
          <w:tcPr>
            <w:tcW w:w="340" w:type="dxa"/>
            <w:vAlign w:val="bottom"/>
          </w:tcPr>
          <w:p>
            <w:pPr>
              <w:spacing w:after="0"/>
              <w:rPr>
                <w:sz w:val="20"/>
                <w:szCs w:val="20"/>
                <w:color w:val="auto"/>
              </w:rPr>
            </w:pPr>
          </w:p>
        </w:tc>
        <w:tc>
          <w:tcPr>
            <w:tcW w:w="1240" w:type="dxa"/>
            <w:vAlign w:val="bottom"/>
          </w:tcPr>
          <w:p>
            <w:pPr>
              <w:jc w:val="center"/>
              <w:ind w:left="72"/>
              <w:spacing w:after="0"/>
              <w:rPr>
                <w:sz w:val="20"/>
                <w:szCs w:val="20"/>
                <w:color w:val="auto"/>
              </w:rPr>
            </w:pPr>
            <w:r>
              <w:rPr>
                <w:rFonts w:ascii="Arial" w:cs="Arial" w:eastAsia="Arial" w:hAnsi="Arial"/>
                <w:sz w:val="18"/>
                <w:szCs w:val="18"/>
                <w:color w:val="auto"/>
                <w:w w:val="92"/>
              </w:rPr>
              <w:t>0%</w:t>
            </w:r>
          </w:p>
        </w:tc>
      </w:tr>
    </w:tbl>
    <w:p>
      <w:pPr>
        <w:spacing w:after="0" w:line="175" w:lineRule="exact"/>
        <w:rPr>
          <w:sz w:val="20"/>
          <w:szCs w:val="20"/>
          <w:color w:val="auto"/>
        </w:rPr>
      </w:pPr>
    </w:p>
    <w:p>
      <w:pPr>
        <w:ind w:left="1520" w:right="159"/>
        <w:spacing w:after="0" w:line="270" w:lineRule="auto"/>
        <w:rPr>
          <w:sz w:val="20"/>
          <w:szCs w:val="20"/>
          <w:color w:val="auto"/>
        </w:rPr>
      </w:pPr>
      <w:r>
        <w:rPr>
          <w:rFonts w:ascii="Arial" w:cs="Arial" w:eastAsia="Arial" w:hAnsi="Arial"/>
          <w:sz w:val="17"/>
          <w:szCs w:val="17"/>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8" w:lineRule="exact"/>
        <w:rPr>
          <w:sz w:val="20"/>
          <w:szCs w:val="20"/>
          <w:color w:val="auto"/>
        </w:rPr>
      </w:pPr>
    </w:p>
    <w:p>
      <w:pPr>
        <w:ind w:left="1520" w:right="439"/>
        <w:spacing w:after="0" w:line="277" w:lineRule="auto"/>
        <w:rPr>
          <w:sz w:val="20"/>
          <w:szCs w:val="20"/>
          <w:color w:val="auto"/>
        </w:rPr>
      </w:pPr>
      <w:r>
        <w:rPr>
          <w:rFonts w:ascii="Arial" w:cs="Arial" w:eastAsia="Arial" w:hAnsi="Arial"/>
          <w:sz w:val="18"/>
          <w:szCs w:val="18"/>
          <w:color w:val="auto"/>
        </w:rPr>
        <w:t>The following table sets forth the total share based expense included in the consolidated statements of income, for the years ended December 31, 2012, 2013 and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Sales and marketing</w:t>
            </w: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426"/>
        </w:trPr>
        <w:tc>
          <w:tcPr>
            <w:tcW w:w="35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1560" w:type="dxa"/>
            <w:vAlign w:val="bottom"/>
            <w:gridSpan w:val="2"/>
          </w:tcPr>
          <w:p>
            <w:pPr>
              <w:jc w:val="right"/>
              <w:ind w:right="75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040"/>
              <w:spacing w:after="0"/>
              <w:rPr>
                <w:sz w:val="20"/>
                <w:szCs w:val="20"/>
                <w:color w:val="auto"/>
              </w:rPr>
            </w:pPr>
            <w:r>
              <w:rPr>
                <w:rFonts w:ascii="Arial" w:cs="Arial" w:eastAsia="Arial" w:hAnsi="Arial"/>
                <w:sz w:val="18"/>
                <w:szCs w:val="18"/>
                <w:color w:val="auto"/>
              </w:rPr>
              <w:t>p.  Advertising</w:t>
            </w: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5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right="339"/>
        <w:spacing w:after="0" w:line="277" w:lineRule="auto"/>
        <w:rPr>
          <w:sz w:val="20"/>
          <w:szCs w:val="20"/>
          <w:color w:val="auto"/>
        </w:rPr>
      </w:pPr>
      <w:r>
        <w:rPr>
          <w:rFonts w:ascii="Arial" w:cs="Arial" w:eastAsia="Arial" w:hAnsi="Arial"/>
          <w:sz w:val="18"/>
          <w:szCs w:val="18"/>
          <w:color w:val="auto"/>
        </w:rPr>
        <w:t>Advertising costs are charged to operations as incurred and were $206, $501 and $437 for the years ended December 31, 2012, 2013 and 2014,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6" w:name="page137"/>
    <w:bookmarkEnd w:id="13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sz w:val="20"/>
          <w:szCs w:val="20"/>
          <w:color w:val="auto"/>
        </w:rPr>
      </w:pPr>
    </w:p>
    <w:p>
      <w:pPr>
        <w:ind w:left="1520" w:right="219"/>
        <w:spacing w:after="0" w:line="291" w:lineRule="auto"/>
        <w:rPr>
          <w:sz w:val="20"/>
          <w:szCs w:val="20"/>
          <w:color w:val="auto"/>
        </w:rPr>
      </w:pPr>
      <w:r>
        <w:rPr>
          <w:rFonts w:ascii="Arial" w:cs="Arial" w:eastAsia="Arial" w:hAnsi="Arial"/>
          <w:sz w:val="16"/>
          <w:szCs w:val="16"/>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181" w:lineRule="exact"/>
        <w:rPr>
          <w:sz w:val="20"/>
          <w:szCs w:val="20"/>
          <w:color w:val="auto"/>
        </w:rPr>
      </w:pPr>
    </w:p>
    <w:p>
      <w:pPr>
        <w:jc w:val="both"/>
        <w:ind w:left="1520" w:right="199"/>
        <w:spacing w:after="0" w:line="312" w:lineRule="auto"/>
        <w:rPr>
          <w:sz w:val="20"/>
          <w:szCs w:val="20"/>
          <w:color w:val="auto"/>
        </w:rPr>
      </w:pPr>
      <w:r>
        <w:rPr>
          <w:rFonts w:ascii="Arial" w:cs="Arial" w:eastAsia="Arial" w:hAnsi="Arial"/>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60"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94" w:lineRule="exact"/>
        <w:rPr>
          <w:sz w:val="20"/>
          <w:szCs w:val="20"/>
          <w:color w:val="auto"/>
        </w:rPr>
      </w:pPr>
    </w:p>
    <w:p>
      <w:pPr>
        <w:ind w:left="1520" w:hanging="369"/>
        <w:spacing w:after="0"/>
        <w:tabs>
          <w:tab w:leader="none" w:pos="15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38" w:lineRule="exact"/>
        <w:rPr>
          <w:rFonts w:ascii="Arial" w:cs="Arial" w:eastAsia="Arial" w:hAnsi="Arial"/>
          <w:sz w:val="18"/>
          <w:szCs w:val="18"/>
          <w:color w:val="auto"/>
        </w:rPr>
      </w:pPr>
    </w:p>
    <w:p>
      <w:pPr>
        <w:ind w:left="1520" w:right="359"/>
        <w:spacing w:after="0" w:line="342" w:lineRule="auto"/>
        <w:rPr>
          <w:rFonts w:ascii="Arial" w:cs="Arial" w:eastAsia="Arial" w:hAnsi="Arial"/>
          <w:sz w:val="18"/>
          <w:szCs w:val="18"/>
          <w:color w:val="auto"/>
        </w:rPr>
      </w:pPr>
      <w:r>
        <w:rPr>
          <w:rFonts w:ascii="Arial" w:cs="Arial" w:eastAsia="Arial" w:hAnsi="Arial"/>
          <w:sz w:val="16"/>
          <w:szCs w:val="16"/>
          <w:color w:val="auto"/>
        </w:rPr>
        <w:t>Financial instruments that potentially subject the Company and its subsidiaries to concentrations of credit risk consist principally of cash and cash equivalents, bank deposits and trade receivables.</w:t>
      </w:r>
    </w:p>
    <w:p>
      <w:pPr>
        <w:spacing w:after="0" w:line="137" w:lineRule="exact"/>
        <w:rPr>
          <w:rFonts w:ascii="Arial" w:cs="Arial" w:eastAsia="Arial" w:hAnsi="Arial"/>
          <w:sz w:val="18"/>
          <w:szCs w:val="18"/>
          <w:color w:val="auto"/>
        </w:rPr>
      </w:pPr>
    </w:p>
    <w:p>
      <w:pPr>
        <w:ind w:left="1520" w:right="259"/>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208" w:lineRule="exact"/>
        <w:rPr>
          <w:rFonts w:ascii="Arial" w:cs="Arial" w:eastAsia="Arial" w:hAnsi="Arial"/>
          <w:sz w:val="18"/>
          <w:szCs w:val="18"/>
          <w:color w:val="auto"/>
        </w:rPr>
      </w:pPr>
    </w:p>
    <w:p>
      <w:pPr>
        <w:ind w:left="1520" w:right="119"/>
        <w:spacing w:after="0" w:line="272" w:lineRule="auto"/>
        <w:rPr>
          <w:rFonts w:ascii="Arial" w:cs="Arial" w:eastAsia="Arial" w:hAnsi="Arial"/>
          <w:sz w:val="18"/>
          <w:szCs w:val="18"/>
          <w:color w:val="auto"/>
        </w:rPr>
      </w:pPr>
      <w:r>
        <w:rPr>
          <w:rFonts w:ascii="Arial" w:cs="Arial" w:eastAsia="Arial" w:hAnsi="Arial"/>
          <w:sz w:val="17"/>
          <w:szCs w:val="17"/>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2013 and 2014, the Company has not experienced any significant write offs.</w:t>
      </w:r>
    </w:p>
    <w:p>
      <w:pPr>
        <w:spacing w:after="0" w:line="191" w:lineRule="exact"/>
        <w:rPr>
          <w:rFonts w:ascii="Arial" w:cs="Arial" w:eastAsia="Arial" w:hAnsi="Arial"/>
          <w:sz w:val="18"/>
          <w:szCs w:val="18"/>
          <w:color w:val="auto"/>
        </w:rPr>
      </w:pPr>
    </w:p>
    <w:p>
      <w:pPr>
        <w:ind w:left="1500" w:hanging="349"/>
        <w:spacing w:after="0"/>
        <w:tabs>
          <w:tab w:leader="none" w:pos="15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39" w:lineRule="exact"/>
        <w:rPr>
          <w:sz w:val="20"/>
          <w:szCs w:val="20"/>
          <w:color w:val="auto"/>
        </w:rPr>
      </w:pPr>
    </w:p>
    <w:p>
      <w:pPr>
        <w:ind w:left="1520" w:right="379"/>
        <w:spacing w:after="0" w:line="257" w:lineRule="auto"/>
        <w:rPr>
          <w:sz w:val="20"/>
          <w:szCs w:val="20"/>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7" w:name="page138"/>
    <w:bookmarkEnd w:id="13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259"/>
        <w:spacing w:after="0" w:line="342" w:lineRule="auto"/>
        <w:rPr>
          <w:sz w:val="20"/>
          <w:szCs w:val="20"/>
          <w:color w:val="auto"/>
        </w:rPr>
      </w:pPr>
      <w:r>
        <w:rPr>
          <w:rFonts w:ascii="Arial" w:cs="Arial" w:eastAsia="Arial" w:hAnsi="Arial"/>
          <w:sz w:val="16"/>
          <w:szCs w:val="16"/>
          <w:color w:val="auto"/>
        </w:rPr>
        <w:t>severance liabilities in respect of those employees. Neither severance pay liability nor severance pay fund under Section 14 for such employees is recorded on the Company’s balance sheet.</w:t>
      </w:r>
    </w:p>
    <w:p>
      <w:pPr>
        <w:spacing w:after="0" w:line="97" w:lineRule="exact"/>
        <w:rPr>
          <w:sz w:val="20"/>
          <w:szCs w:val="20"/>
          <w:color w:val="auto"/>
        </w:rPr>
      </w:pPr>
    </w:p>
    <w:p>
      <w:pPr>
        <w:ind w:left="1520" w:right="159"/>
        <w:spacing w:after="0" w:line="272"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137"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41" w:lineRule="exact"/>
        <w:rPr>
          <w:sz w:val="20"/>
          <w:szCs w:val="20"/>
          <w:color w:val="auto"/>
        </w:rPr>
      </w:pPr>
    </w:p>
    <w:p>
      <w:pPr>
        <w:ind w:left="1520" w:right="159"/>
        <w:spacing w:after="0" w:line="277" w:lineRule="auto"/>
        <w:rPr>
          <w:sz w:val="20"/>
          <w:szCs w:val="20"/>
          <w:color w:val="auto"/>
        </w:rPr>
      </w:pPr>
      <w:r>
        <w:rPr>
          <w:rFonts w:ascii="Arial" w:cs="Arial" w:eastAsia="Arial" w:hAnsi="Arial"/>
          <w:sz w:val="18"/>
          <w:szCs w:val="18"/>
          <w:color w:val="auto"/>
        </w:rPr>
        <w:t>Severance pay expenses for the years ended December 31, 2012, 2013 and 2014 were $569, $620 and $1,015, respectively.</w:t>
      </w:r>
    </w:p>
    <w:p>
      <w:pPr>
        <w:spacing w:after="0" w:line="197" w:lineRule="exact"/>
        <w:rPr>
          <w:sz w:val="20"/>
          <w:szCs w:val="20"/>
          <w:color w:val="auto"/>
        </w:rPr>
      </w:pPr>
    </w:p>
    <w:p>
      <w:pPr>
        <w:ind w:left="1520" w:hanging="36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38" w:lineRule="exact"/>
        <w:rPr>
          <w:rFonts w:ascii="Arial" w:cs="Arial" w:eastAsia="Arial" w:hAnsi="Arial"/>
          <w:sz w:val="18"/>
          <w:szCs w:val="18"/>
          <w:color w:val="auto"/>
        </w:rPr>
      </w:pPr>
    </w:p>
    <w:p>
      <w:pPr>
        <w:ind w:left="1520" w:right="239"/>
        <w:spacing w:after="0" w:line="312" w:lineRule="auto"/>
        <w:rPr>
          <w:rFonts w:ascii="Arial" w:cs="Arial" w:eastAsia="Arial" w:hAnsi="Arial"/>
          <w:sz w:val="18"/>
          <w:szCs w:val="18"/>
          <w:color w:val="auto"/>
        </w:rPr>
      </w:pPr>
      <w:r>
        <w:rPr>
          <w:rFonts w:ascii="Arial" w:cs="Arial" w:eastAsia="Arial" w:hAnsi="Arial"/>
          <w:sz w:val="16"/>
          <w:szCs w:val="16"/>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60" w:lineRule="exact"/>
        <w:rPr>
          <w:rFonts w:ascii="Arial" w:cs="Arial" w:eastAsia="Arial" w:hAnsi="Arial"/>
          <w:sz w:val="18"/>
          <w:szCs w:val="18"/>
          <w:color w:val="auto"/>
        </w:rPr>
      </w:pPr>
    </w:p>
    <w:p>
      <w:pPr>
        <w:ind w:left="1520" w:hanging="369"/>
        <w:spacing w:after="0"/>
        <w:tabs>
          <w:tab w:leader="none" w:pos="15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52" w:lineRule="exact"/>
        <w:rPr>
          <w:rFonts w:ascii="Arial" w:cs="Arial" w:eastAsia="Arial" w:hAnsi="Arial"/>
          <w:sz w:val="18"/>
          <w:szCs w:val="18"/>
          <w:color w:val="auto"/>
        </w:rPr>
      </w:pPr>
    </w:p>
    <w:p>
      <w:pPr>
        <w:ind w:left="1520" w:right="359"/>
        <w:spacing w:after="0" w:line="255"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199" w:lineRule="exact"/>
        <w:rPr>
          <w:sz w:val="20"/>
          <w:szCs w:val="20"/>
          <w:color w:val="auto"/>
        </w:rPr>
      </w:pPr>
    </w:p>
    <w:p>
      <w:pPr>
        <w:ind w:left="1160"/>
        <w:spacing w:after="0"/>
        <w:tabs>
          <w:tab w:leader="none" w:pos="1500" w:val="left"/>
        </w:tabs>
        <w:rPr>
          <w:sz w:val="20"/>
          <w:szCs w:val="20"/>
          <w:color w:val="auto"/>
        </w:rPr>
      </w:pPr>
      <w:r>
        <w:rPr>
          <w:rFonts w:ascii="Arial" w:cs="Arial" w:eastAsia="Arial" w:hAnsi="Arial"/>
          <w:sz w:val="18"/>
          <w:szCs w:val="18"/>
          <w:color w:val="auto"/>
        </w:rPr>
        <w:t>v</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Basic and diluted net income per share:</w:t>
      </w:r>
    </w:p>
    <w:p>
      <w:pPr>
        <w:spacing w:after="0" w:line="243"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161" w:lineRule="exact"/>
        <w:rPr>
          <w:sz w:val="20"/>
          <w:szCs w:val="20"/>
          <w:color w:val="auto"/>
        </w:rPr>
      </w:pPr>
    </w:p>
    <w:p>
      <w:pPr>
        <w:jc w:val="both"/>
        <w:ind w:left="1520" w:right="419"/>
        <w:spacing w:after="0" w:line="279" w:lineRule="auto"/>
        <w:rPr>
          <w:sz w:val="20"/>
          <w:szCs w:val="20"/>
          <w:color w:val="auto"/>
        </w:rPr>
      </w:pPr>
      <w:r>
        <w:rPr>
          <w:rFonts w:ascii="Arial" w:cs="Arial" w:eastAsia="Arial" w:hAnsi="Arial"/>
          <w:sz w:val="17"/>
          <w:szCs w:val="17"/>
          <w:color w:val="auto"/>
        </w:rPr>
        <w:t>For the year ended December 31, 2012, 137,615 outstanding options have been excluded from the calculation of diluted net income per share since their effect was anti-dilutive. For the years ended December 31, 2013 and 2014 all outstanding options have been included at the calculation of the diluted earnings per share since their effect was dilutive.</w:t>
      </w:r>
    </w:p>
    <w:p>
      <w:pPr>
        <w:spacing w:after="0" w:line="131" w:lineRule="exact"/>
        <w:rPr>
          <w:sz w:val="20"/>
          <w:szCs w:val="20"/>
          <w:color w:val="auto"/>
        </w:rPr>
      </w:pPr>
    </w:p>
    <w:p>
      <w:pPr>
        <w:ind w:left="1520" w:right="319"/>
        <w:spacing w:after="0" w:line="286" w:lineRule="auto"/>
        <w:rPr>
          <w:sz w:val="20"/>
          <w:szCs w:val="20"/>
          <w:color w:val="auto"/>
        </w:rPr>
      </w:pPr>
      <w:r>
        <w:rPr>
          <w:rFonts w:ascii="Arial" w:cs="Arial" w:eastAsia="Arial" w:hAnsi="Arial"/>
          <w:sz w:val="17"/>
          <w:szCs w:val="17"/>
          <w:color w:val="auto"/>
        </w:rPr>
        <w:t>Basic and diluted pro forma net income per share (unaudited), as presented in the statements of income, has been calculated as described above and also gives effect to the automatic conversion of all series of preferred shares that will occur upon closing of the IPO.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00" w:hanging="349"/>
        <w:spacing w:after="0"/>
        <w:tabs>
          <w:tab w:leader="none" w:pos="15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52" w:lineRule="exact"/>
        <w:rPr>
          <w:sz w:val="20"/>
          <w:szCs w:val="20"/>
          <w:color w:val="auto"/>
        </w:rPr>
      </w:pPr>
    </w:p>
    <w:p>
      <w:pPr>
        <w:ind w:left="1520" w:right="179"/>
        <w:spacing w:after="0" w:line="290" w:lineRule="auto"/>
        <w:rPr>
          <w:sz w:val="20"/>
          <w:szCs w:val="20"/>
          <w:color w:val="auto"/>
        </w:rPr>
      </w:pPr>
      <w:r>
        <w:rPr>
          <w:rFonts w:ascii="Arial" w:cs="Arial" w:eastAsia="Arial" w:hAnsi="Arial"/>
          <w:sz w:val="16"/>
          <w:szCs w:val="16"/>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6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ACCOUNTS RECEIVABLE AND PREPAID EXPENSES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4020" w:type="dxa"/>
            <w:vAlign w:val="bottom"/>
          </w:tcPr>
          <w:p>
            <w:pPr>
              <w:spacing w:after="0"/>
              <w:rPr>
                <w:sz w:val="20"/>
                <w:szCs w:val="20"/>
                <w:color w:val="auto"/>
              </w:rPr>
            </w:pPr>
            <w:r>
              <w:rPr>
                <w:rFonts w:ascii="Arial" w:cs="Arial" w:eastAsia="Arial" w:hAnsi="Arial"/>
                <w:sz w:val="18"/>
                <w:szCs w:val="18"/>
                <w:color w:val="auto"/>
              </w:rPr>
              <w:t>Government authorities</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1,102</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Prepaid expenses</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426"/>
        </w:trPr>
        <w:tc>
          <w:tcPr>
            <w:tcW w:w="402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1,708</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4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402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5,813</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6,427</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Finished products (*)</w:t>
            </w:r>
          </w:p>
        </w:tc>
        <w:tc>
          <w:tcPr>
            <w:tcW w:w="1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426"/>
        </w:trPr>
        <w:tc>
          <w:tcPr>
            <w:tcW w:w="4020" w:type="dxa"/>
            <w:vAlign w:val="bottom"/>
          </w:tcPr>
          <w:p>
            <w:pPr>
              <w:spacing w:after="0"/>
              <w:rPr>
                <w:sz w:val="24"/>
                <w:szCs w:val="24"/>
                <w:color w:val="auto"/>
              </w:rPr>
            </w:pPr>
          </w:p>
        </w:tc>
        <w:tc>
          <w:tcPr>
            <w:tcW w:w="2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11,967</w:t>
            </w: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11,986</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719" w:hanging="324"/>
        <w:spacing w:after="0" w:line="308" w:lineRule="auto"/>
        <w:tabs>
          <w:tab w:leader="none" w:pos="151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Includes amounts of $897 and $647 for 2013 and 2014, respectively, with respect to inventory delivered to customers but for which revenue criteria have not been met yet.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39" w:name="page140"/>
    <w:bookmarkEnd w:id="13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5:-</w:t>
        <w:tab/>
        <w:t>PROPERTY AND EQUIPMENT, NET</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540" w:type="dxa"/>
            <w:vAlign w:val="bottom"/>
            <w:vMerge w:val="restart"/>
          </w:tcPr>
          <w:p>
            <w:pPr>
              <w:spacing w:after="0"/>
              <w:rPr>
                <w:sz w:val="20"/>
                <w:szCs w:val="20"/>
                <w:color w:val="auto"/>
              </w:rPr>
            </w:pPr>
            <w:r>
              <w:rPr>
                <w:rFonts w:ascii="Arial" w:cs="Arial" w:eastAsia="Arial" w:hAnsi="Arial"/>
                <w:sz w:val="18"/>
                <w:szCs w:val="18"/>
                <w:color w:val="auto"/>
              </w:rPr>
              <w:t>Cost:</w:t>
            </w:r>
          </w:p>
        </w:tc>
        <w:tc>
          <w:tcPr>
            <w:tcW w:w="1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3,264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540" w:type="dxa"/>
            <w:vAlign w:val="bottom"/>
          </w:tcPr>
          <w:p>
            <w:pPr>
              <w:spacing w:after="0"/>
              <w:rPr>
                <w:sz w:val="24"/>
                <w:szCs w:val="24"/>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6,018</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8,046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(3,365)</w:t>
            </w:r>
          </w:p>
        </w:tc>
        <w:tc>
          <w:tcPr>
            <w:tcW w:w="3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160" w:right="519"/>
        <w:spacing w:after="0" w:line="277" w:lineRule="auto"/>
        <w:rPr>
          <w:sz w:val="20"/>
          <w:szCs w:val="20"/>
          <w:color w:val="auto"/>
        </w:rPr>
      </w:pPr>
      <w:r>
        <w:rPr>
          <w:rFonts w:ascii="Arial" w:cs="Arial" w:eastAsia="Arial" w:hAnsi="Arial"/>
          <w:sz w:val="18"/>
          <w:szCs w:val="18"/>
          <w:color w:val="auto"/>
        </w:rPr>
        <w:t>Depreciation expenses for the years ended December 31, 2012, 2013 and 2014 were $750, $1,071 and $1,226, respectively.</w:t>
      </w:r>
    </w:p>
    <w:p>
      <w:pPr>
        <w:spacing w:after="0" w:line="116" w:lineRule="exact"/>
        <w:rPr>
          <w:sz w:val="20"/>
          <w:szCs w:val="20"/>
          <w:color w:val="auto"/>
        </w:rPr>
      </w:pPr>
    </w:p>
    <w:p>
      <w:pPr>
        <w:ind w:left="1160" w:right="279"/>
        <w:spacing w:after="0" w:line="264" w:lineRule="auto"/>
        <w:rPr>
          <w:sz w:val="20"/>
          <w:szCs w:val="20"/>
          <w:color w:val="auto"/>
        </w:rPr>
      </w:pPr>
      <w:r>
        <w:rPr>
          <w:rFonts w:ascii="Arial" w:cs="Arial" w:eastAsia="Arial" w:hAnsi="Arial"/>
          <w:sz w:val="18"/>
          <w:szCs w:val="18"/>
          <w:color w:val="auto"/>
        </w:rPr>
        <w:t>During the years ended December 31, 2012 and 2013 and 2014, the Company recorded a reduction of $0, $140 and $168, respectively to the cost and accumulated depreciation of fully depreciated equipment no longer in use.</w:t>
      </w:r>
    </w:p>
    <w:p>
      <w:pPr>
        <w:spacing w:after="0" w:line="177"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160" w:right="159"/>
        <w:spacing w:after="0" w:line="290" w:lineRule="auto"/>
        <w:rPr>
          <w:sz w:val="20"/>
          <w:szCs w:val="20"/>
          <w:color w:val="auto"/>
        </w:rPr>
      </w:pPr>
      <w:r>
        <w:rPr>
          <w:rFonts w:ascii="Arial" w:cs="Arial" w:eastAsia="Arial" w:hAnsi="Arial"/>
          <w:sz w:val="16"/>
          <w:szCs w:val="16"/>
          <w:color w:val="auto"/>
        </w:rPr>
        <w:t>On May 24, 2010, the Company entered into a license agreement with a third party (the “agreement”). According to the agreement, the third party granted the Company a license to use its digital R2R printer and any and all related intellectual property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a maximum agreed upon amount.</w:t>
      </w:r>
    </w:p>
    <w:p>
      <w:pPr>
        <w:spacing w:after="0" w:line="126" w:lineRule="exact"/>
        <w:rPr>
          <w:sz w:val="20"/>
          <w:szCs w:val="20"/>
          <w:color w:val="auto"/>
        </w:rPr>
      </w:pPr>
    </w:p>
    <w:p>
      <w:pPr>
        <w:ind w:left="1160" w:right="219"/>
        <w:spacing w:after="0" w:line="264" w:lineRule="auto"/>
        <w:rPr>
          <w:sz w:val="20"/>
          <w:szCs w:val="20"/>
          <w:color w:val="auto"/>
        </w:rPr>
      </w:pPr>
      <w:r>
        <w:rPr>
          <w:rFonts w:ascii="Arial" w:cs="Arial" w:eastAsia="Arial" w:hAnsi="Arial"/>
          <w:sz w:val="18"/>
          <w:szCs w:val="18"/>
          <w:color w:val="auto"/>
        </w:rPr>
        <w:t>On April 22, 2013, the Company signed an amendment to the agreement pursuant to which the Company paid $327 and shall no longer have any obligations or undertakings to make any future payments to the third party.</w:t>
      </w:r>
    </w:p>
    <w:p>
      <w:pPr>
        <w:spacing w:after="0" w:line="14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Cost: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2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tcPr>
          <w:p>
            <w:pPr>
              <w:jc w:val="right"/>
              <w:spacing w:after="0"/>
              <w:rPr>
                <w:sz w:val="20"/>
                <w:szCs w:val="20"/>
                <w:color w:val="auto"/>
              </w:rPr>
            </w:pPr>
            <w:r>
              <w:rPr>
                <w:rFonts w:ascii="Arial" w:cs="Arial" w:eastAsia="Arial" w:hAnsi="Arial"/>
                <w:sz w:val="18"/>
                <w:szCs w:val="18"/>
                <w:color w:val="auto"/>
              </w:rPr>
              <w:t>4.86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566</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22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Acquired technology</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2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24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40" w:type="dxa"/>
            <w:vAlign w:val="bottom"/>
            <w:vMerge w:val="restart"/>
          </w:tcPr>
          <w:p>
            <w:pPr>
              <w:jc w:val="right"/>
              <w:ind w:right="839"/>
              <w:spacing w:after="0"/>
              <w:rPr>
                <w:sz w:val="20"/>
                <w:szCs w:val="20"/>
                <w:color w:val="auto"/>
              </w:rPr>
            </w:pPr>
            <w:r>
              <w:rPr>
                <w:rFonts w:ascii="Arial" w:cs="Arial" w:eastAsia="Arial" w:hAnsi="Arial"/>
                <w:sz w:val="14"/>
                <w:szCs w:val="14"/>
                <w:color w:val="auto"/>
              </w:rPr>
              <w:t>F-19</w:t>
            </w: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97" w:right="1440" w:bottom="1440" w:gutter="0" w:footer="0" w:header="0"/>
        </w:sectPr>
      </w:pPr>
    </w:p>
    <w:bookmarkStart w:id="140" w:name="page141"/>
    <w:bookmarkEnd w:id="14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 (Cont.)</w:t>
      </w:r>
    </w:p>
    <w:p>
      <w:pPr>
        <w:spacing w:after="0" w:line="229" w:lineRule="exact"/>
        <w:rPr>
          <w:sz w:val="20"/>
          <w:szCs w:val="20"/>
          <w:color w:val="auto"/>
        </w:rPr>
      </w:pPr>
    </w:p>
    <w:p>
      <w:pPr>
        <w:ind w:left="1160" w:right="359"/>
        <w:spacing w:after="0" w:line="277" w:lineRule="auto"/>
        <w:rPr>
          <w:sz w:val="20"/>
          <w:szCs w:val="20"/>
          <w:color w:val="auto"/>
        </w:rPr>
      </w:pPr>
      <w:r>
        <w:rPr>
          <w:rFonts w:ascii="Arial" w:cs="Arial" w:eastAsia="Arial" w:hAnsi="Arial"/>
          <w:sz w:val="18"/>
          <w:szCs w:val="18"/>
          <w:color w:val="auto"/>
        </w:rPr>
        <w:t>Amortization expenses for the years ended December 31, 2012, 2013 and 2014 were $36, $97 and $126, respectively.</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520" w:type="dxa"/>
            <w:vAlign w:val="bottom"/>
          </w:tcPr>
          <w:p>
            <w:pPr>
              <w:ind w:left="1040"/>
              <w:spacing w:after="0"/>
              <w:rPr>
                <w:sz w:val="20"/>
                <w:szCs w:val="20"/>
                <w:color w:val="auto"/>
              </w:rPr>
            </w:pPr>
            <w:r>
              <w:rPr>
                <w:rFonts w:ascii="Arial" w:cs="Arial" w:eastAsia="Arial" w:hAnsi="Arial"/>
                <w:sz w:val="18"/>
                <w:szCs w:val="18"/>
                <w:color w:val="auto"/>
              </w:rPr>
              <w:t>Future amortization expenses for the years ending:</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5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52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2016</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426"/>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5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8"/>
        </w:trPr>
        <w:tc>
          <w:tcPr>
            <w:tcW w:w="5520" w:type="dxa"/>
            <w:vAlign w:val="bottom"/>
          </w:tcPr>
          <w:p>
            <w:pPr>
              <w:spacing w:after="0"/>
              <w:rPr>
                <w:sz w:val="20"/>
                <w:szCs w:val="20"/>
                <w:color w:val="auto"/>
              </w:rPr>
            </w:pPr>
            <w:r>
              <w:rPr>
                <w:rFonts w:ascii="Arial" w:cs="Arial" w:eastAsia="Arial" w:hAnsi="Arial"/>
                <w:sz w:val="18"/>
                <w:szCs w:val="18"/>
                <w:color w:val="auto"/>
              </w:rPr>
              <w:t>Government authorities</w:t>
            </w:r>
          </w:p>
        </w:tc>
        <w:tc>
          <w:tcPr>
            <w:tcW w:w="10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1,725</w:t>
            </w: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Warranty provision</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426"/>
        </w:trPr>
        <w:tc>
          <w:tcPr>
            <w:tcW w:w="5520" w:type="dxa"/>
            <w:vAlign w:val="bottom"/>
          </w:tcPr>
          <w:p>
            <w:pPr>
              <w:spacing w:after="0"/>
              <w:rPr>
                <w:sz w:val="24"/>
                <w:szCs w:val="24"/>
                <w:color w:val="auto"/>
              </w:rPr>
            </w:pPr>
          </w:p>
        </w:tc>
        <w:tc>
          <w:tcPr>
            <w:tcW w:w="10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2,985</w:t>
            </w:r>
          </w:p>
        </w:tc>
        <w:tc>
          <w:tcPr>
            <w:tcW w:w="160" w:type="dxa"/>
            <w:vAlign w:val="bottom"/>
          </w:tcPr>
          <w:p>
            <w:pPr>
              <w:spacing w:after="0"/>
              <w:rPr>
                <w:sz w:val="24"/>
                <w:szCs w:val="2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b w:val="1"/>
                <w:bCs w:val="1"/>
                <w:color w:val="auto"/>
              </w:rPr>
              <w:t>NOTE 8:-  COMMITMENTS AND CONTINGENT LIABILITIES</w:t>
            </w: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20" w:type="dxa"/>
            <w:vAlign w:val="bottom"/>
          </w:tcPr>
          <w:p>
            <w:pPr>
              <w:ind w:left="1040"/>
              <w:spacing w:after="0"/>
              <w:rPr>
                <w:sz w:val="20"/>
                <w:szCs w:val="20"/>
                <w:color w:val="auto"/>
              </w:rPr>
            </w:pPr>
            <w:r>
              <w:rPr>
                <w:rFonts w:ascii="Arial" w:cs="Arial" w:eastAsia="Arial" w:hAnsi="Arial"/>
                <w:sz w:val="18"/>
                <w:szCs w:val="18"/>
                <w:color w:val="auto"/>
              </w:rPr>
              <w:t>a.   Lease commitments:</w:t>
            </w: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520" w:right="259"/>
        <w:spacing w:after="0" w:line="312" w:lineRule="auto"/>
        <w:rPr>
          <w:sz w:val="20"/>
          <w:szCs w:val="20"/>
          <w:color w:val="auto"/>
        </w:rPr>
      </w:pPr>
      <w:r>
        <w:rPr>
          <w:rFonts w:ascii="Arial" w:cs="Arial" w:eastAsia="Arial" w:hAnsi="Arial"/>
          <w:sz w:val="16"/>
          <w:szCs w:val="16"/>
          <w:color w:val="auto"/>
        </w:rPr>
        <w:t>The Company leases facilities and vehicles under operating leases that expire on various dates through 2018. Aggregate minimum lease and rental payments under non-cancelable operating leases as of December 31, 2014, are (in the aggregate) and for each succeeding fiscal year below:</w:t>
      </w:r>
    </w:p>
    <w:p>
      <w:pPr>
        <w:spacing w:after="0" w:line="7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1,215</w:t>
            </w:r>
          </w:p>
        </w:tc>
      </w:tr>
      <w:tr>
        <w:trPr>
          <w:trHeight w:val="216"/>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985</w:t>
            </w:r>
          </w:p>
        </w:tc>
      </w:tr>
      <w:tr>
        <w:trPr>
          <w:trHeight w:val="216"/>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2017</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7380" w:type="dxa"/>
            <w:vAlign w:val="bottom"/>
          </w:tcPr>
          <w:p>
            <w:pPr>
              <w:jc w:val="right"/>
              <w:ind w:right="6930"/>
              <w:spacing w:after="0"/>
              <w:rPr>
                <w:sz w:val="20"/>
                <w:szCs w:val="20"/>
                <w:color w:val="auto"/>
              </w:rPr>
            </w:pPr>
            <w:r>
              <w:rPr>
                <w:rFonts w:ascii="Arial" w:cs="Arial" w:eastAsia="Arial" w:hAnsi="Arial"/>
                <w:sz w:val="18"/>
                <w:szCs w:val="18"/>
                <w:color w:val="auto"/>
                <w:w w:val="84"/>
              </w:rPr>
              <w:t>2018</w:t>
            </w: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426"/>
        </w:trPr>
        <w:tc>
          <w:tcPr>
            <w:tcW w:w="78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2,982</w:t>
            </w:r>
          </w:p>
        </w:tc>
      </w:tr>
      <w:tr>
        <w:trPr>
          <w:trHeight w:val="20"/>
        </w:trPr>
        <w:tc>
          <w:tcPr>
            <w:tcW w:w="7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520" w:right="379"/>
        <w:spacing w:after="0" w:line="277" w:lineRule="auto"/>
        <w:rPr>
          <w:sz w:val="20"/>
          <w:szCs w:val="20"/>
          <w:color w:val="auto"/>
        </w:rPr>
      </w:pPr>
      <w:r>
        <w:rPr>
          <w:rFonts w:ascii="Arial" w:cs="Arial" w:eastAsia="Arial" w:hAnsi="Arial"/>
          <w:sz w:val="18"/>
          <w:szCs w:val="18"/>
          <w:color w:val="auto"/>
        </w:rPr>
        <w:t>Total rent expenses for the years ended December 31, 2012, 2013 and 2014 were $891, $1,080 and $1,203, respectively.</w:t>
      </w:r>
    </w:p>
    <w:p>
      <w:pPr>
        <w:spacing w:after="0" w:line="116" w:lineRule="exact"/>
        <w:rPr>
          <w:sz w:val="20"/>
          <w:szCs w:val="20"/>
          <w:color w:val="auto"/>
        </w:rPr>
      </w:pPr>
    </w:p>
    <w:p>
      <w:pPr>
        <w:ind w:left="1480" w:hanging="329"/>
        <w:spacing w:after="0"/>
        <w:tabs>
          <w:tab w:leader="none" w:pos="14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Charges:</w:t>
      </w:r>
    </w:p>
    <w:p>
      <w:pPr>
        <w:spacing w:after="0" w:line="158" w:lineRule="exact"/>
        <w:rPr>
          <w:sz w:val="20"/>
          <w:szCs w:val="20"/>
          <w:color w:val="auto"/>
        </w:rPr>
      </w:pPr>
    </w:p>
    <w:p>
      <w:pPr>
        <w:ind w:left="1520" w:right="119"/>
        <w:spacing w:after="0" w:line="255" w:lineRule="auto"/>
        <w:rPr>
          <w:sz w:val="20"/>
          <w:szCs w:val="20"/>
          <w:color w:val="auto"/>
        </w:rPr>
      </w:pPr>
      <w:r>
        <w:rPr>
          <w:rFonts w:ascii="Arial" w:cs="Arial" w:eastAsia="Arial" w:hAnsi="Arial"/>
          <w:sz w:val="18"/>
          <w:szCs w:val="18"/>
          <w:color w:val="auto"/>
        </w:rPr>
        <w:t>During 2012, the Company obtained lines of credit for total borrowings of up to $2,000 from two Israeli banks. The lines of credit carry interest rates varying between the Bank of Israel’s interest rate plus 1.5% (“Israeli Prime Rate”) plus 3% to 3.5%. Under the agreements, the Company is obligated to satisfy the following covenants for so long as any borrowings are outstanding under the credit line: (a) the Company is required to maintain a 30% ratio of total shareholders’ equity to total assets on a consolidated basis;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41" w:name="page142"/>
    <w:bookmarkEnd w:id="14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 (Cont.)</w:t>
      </w:r>
    </w:p>
    <w:p>
      <w:pPr>
        <w:spacing w:after="0" w:line="229" w:lineRule="exact"/>
        <w:rPr>
          <w:sz w:val="20"/>
          <w:szCs w:val="20"/>
          <w:color w:val="auto"/>
        </w:rPr>
      </w:pPr>
    </w:p>
    <w:p>
      <w:pPr>
        <w:ind w:left="1520" w:right="259" w:firstLine="9"/>
        <w:spacing w:after="0" w:line="264" w:lineRule="auto"/>
        <w:tabs>
          <w:tab w:leader="none" w:pos="177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upon the end of each fiscal quarter, the Company is required to maintain a minimum of $1,000 cash and cash equivalents on a consolidated basis. A $1,000 line of credit was terminated in October 2014.</w:t>
      </w:r>
    </w:p>
    <w:p>
      <w:pPr>
        <w:spacing w:after="0" w:line="114" w:lineRule="exact"/>
        <w:rPr>
          <w:sz w:val="20"/>
          <w:szCs w:val="20"/>
          <w:color w:val="auto"/>
        </w:rPr>
      </w:pPr>
    </w:p>
    <w:p>
      <w:pPr>
        <w:ind w:left="1520" w:right="179"/>
        <w:spacing w:after="0" w:line="257" w:lineRule="auto"/>
        <w:rPr>
          <w:sz w:val="20"/>
          <w:szCs w:val="20"/>
          <w:color w:val="auto"/>
        </w:rPr>
      </w:pPr>
      <w:r>
        <w:rPr>
          <w:rFonts w:ascii="Arial" w:cs="Arial" w:eastAsia="Arial" w:hAnsi="Arial"/>
          <w:sz w:val="18"/>
          <w:szCs w:val="18"/>
          <w:color w:val="auto"/>
        </w:rPr>
        <w:t>In November 2014, the Company entered into an additional line of credit with an Israeli bank for borrowings of up to $2,000. Borrowings under the line of credit line bear interest at a rate of the Israeli Prime Rate plus 0.45%. Under the agreement, for so long as any borrowings are outstanding under the line of credit, the Company is obligated to maintain a 30% ratio of total shareholders’ equity to total assets.</w:t>
      </w:r>
    </w:p>
    <w:p>
      <w:pPr>
        <w:spacing w:after="0" w:line="94" w:lineRule="exact"/>
        <w:rPr>
          <w:sz w:val="20"/>
          <w:szCs w:val="20"/>
          <w:color w:val="auto"/>
        </w:rPr>
      </w:pPr>
    </w:p>
    <w:p>
      <w:pPr>
        <w:ind w:left="1520" w:right="319"/>
        <w:spacing w:after="0" w:line="264" w:lineRule="auto"/>
        <w:rPr>
          <w:sz w:val="20"/>
          <w:szCs w:val="20"/>
          <w:color w:val="auto"/>
        </w:rPr>
      </w:pPr>
      <w:r>
        <w:rPr>
          <w:rFonts w:ascii="Arial" w:cs="Arial" w:eastAsia="Arial" w:hAnsi="Arial"/>
          <w:sz w:val="18"/>
          <w:szCs w:val="18"/>
          <w:color w:val="auto"/>
        </w:rPr>
        <w:t>As of the date of these financial statements, the Company does not have any borrowings under the lines of credit. The Company is in compliance with the financial covenants contained in the lines of credit.</w:t>
      </w:r>
    </w:p>
    <w:p>
      <w:pPr>
        <w:spacing w:after="0" w:line="100" w:lineRule="exact"/>
        <w:rPr>
          <w:sz w:val="20"/>
          <w:szCs w:val="20"/>
          <w:color w:val="auto"/>
        </w:rPr>
      </w:pPr>
    </w:p>
    <w:p>
      <w:pPr>
        <w:ind w:left="1500" w:hanging="349"/>
        <w:spacing w:after="0"/>
        <w:tabs>
          <w:tab w:leader="none" w:pos="15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131" w:lineRule="exact"/>
        <w:rPr>
          <w:sz w:val="20"/>
          <w:szCs w:val="20"/>
          <w:color w:val="auto"/>
        </w:rPr>
      </w:pPr>
    </w:p>
    <w:p>
      <w:pPr>
        <w:ind w:left="1520" w:right="599"/>
        <w:spacing w:after="0" w:line="277" w:lineRule="auto"/>
        <w:rPr>
          <w:sz w:val="20"/>
          <w:szCs w:val="20"/>
          <w:color w:val="auto"/>
        </w:rPr>
      </w:pPr>
      <w:r>
        <w:rPr>
          <w:rFonts w:ascii="Arial" w:cs="Arial" w:eastAsia="Arial" w:hAnsi="Arial"/>
          <w:sz w:val="18"/>
          <w:szCs w:val="18"/>
          <w:color w:val="auto"/>
        </w:rPr>
        <w:t>The Company estimates that at December 31, 2014, it had $8,859 of purchase commitments for inventory from vendors.</w:t>
      </w:r>
    </w:p>
    <w:p>
      <w:pPr>
        <w:spacing w:after="0" w:line="76" w:lineRule="exact"/>
        <w:rPr>
          <w:sz w:val="20"/>
          <w:szCs w:val="20"/>
          <w:color w:val="auto"/>
        </w:rPr>
      </w:pPr>
    </w:p>
    <w:p>
      <w:pPr>
        <w:ind w:left="1480" w:hanging="329"/>
        <w:spacing w:after="0"/>
        <w:tabs>
          <w:tab w:leader="none" w:pos="14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44"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92" w:lineRule="exact"/>
        <w:rPr>
          <w:sz w:val="20"/>
          <w:szCs w:val="20"/>
          <w:color w:val="auto"/>
        </w:rPr>
      </w:pPr>
    </w:p>
    <w:p>
      <w:pPr>
        <w:ind w:left="1500" w:hanging="349"/>
        <w:spacing w:after="0"/>
        <w:tabs>
          <w:tab w:leader="none" w:pos="15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130" w:lineRule="exact"/>
        <w:rPr>
          <w:rFonts w:ascii="Arial" w:cs="Arial" w:eastAsia="Arial" w:hAnsi="Arial"/>
          <w:sz w:val="18"/>
          <w:szCs w:val="18"/>
          <w:color w:val="auto"/>
        </w:rPr>
      </w:pPr>
    </w:p>
    <w:p>
      <w:pPr>
        <w:ind w:left="1860" w:right="339" w:hanging="385"/>
        <w:spacing w:after="0" w:line="286" w:lineRule="auto"/>
        <w:tabs>
          <w:tab w:leader="none" w:pos="1846" w:val="left"/>
        </w:tabs>
        <w:numPr>
          <w:ilvl w:val="1"/>
          <w:numId w:val="108"/>
        </w:numPr>
        <w:rPr>
          <w:rFonts w:ascii="Arial" w:cs="Arial" w:eastAsia="Arial" w:hAnsi="Arial"/>
          <w:sz w:val="17"/>
          <w:szCs w:val="17"/>
          <w:color w:val="auto"/>
        </w:rPr>
      </w:pPr>
      <w:r>
        <w:rPr>
          <w:rFonts w:ascii="Arial" w:cs="Arial" w:eastAsia="Arial" w:hAnsi="Arial"/>
          <w:sz w:val="17"/>
          <w:szCs w:val="17"/>
          <w:color w:val="auto"/>
        </w:rPr>
        <w:t>Under the Company’s agreement for purchasing print heads and other products, which was amended in 2014, the Company is obligated to pay royalties at a rate set forth in the agreement up to an agreed maximum amount of the Company’s annual ink revenues.</w:t>
      </w:r>
    </w:p>
    <w:p>
      <w:pPr>
        <w:spacing w:after="0" w:line="84" w:lineRule="exact"/>
        <w:rPr>
          <w:sz w:val="20"/>
          <w:szCs w:val="20"/>
          <w:color w:val="auto"/>
        </w:rPr>
      </w:pPr>
    </w:p>
    <w:p>
      <w:pPr>
        <w:ind w:left="1860" w:right="419" w:hanging="41"/>
        <w:spacing w:after="0" w:line="277" w:lineRule="auto"/>
        <w:rPr>
          <w:sz w:val="20"/>
          <w:szCs w:val="20"/>
          <w:color w:val="auto"/>
        </w:rPr>
      </w:pPr>
      <w:r>
        <w:rPr>
          <w:rFonts w:ascii="Arial" w:cs="Arial" w:eastAsia="Arial" w:hAnsi="Arial"/>
          <w:sz w:val="18"/>
          <w:szCs w:val="18"/>
          <w:color w:val="auto"/>
        </w:rPr>
        <w:t>Royalty expenses for the years ended December 31, 2012, 2013 and 2014 were $648, $563 and $590, respectively.</w:t>
      </w:r>
    </w:p>
    <w:p>
      <w:pPr>
        <w:spacing w:after="0" w:line="76" w:lineRule="exact"/>
        <w:rPr>
          <w:sz w:val="20"/>
          <w:szCs w:val="20"/>
          <w:color w:val="auto"/>
        </w:rPr>
      </w:pPr>
    </w:p>
    <w:p>
      <w:pPr>
        <w:ind w:left="1860" w:right="339" w:hanging="385"/>
        <w:spacing w:after="0" w:line="273" w:lineRule="auto"/>
        <w:tabs>
          <w:tab w:leader="none" w:pos="184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83" w:lineRule="exact"/>
        <w:rPr>
          <w:rFonts w:ascii="Arial" w:cs="Arial" w:eastAsia="Arial" w:hAnsi="Arial"/>
          <w:sz w:val="17"/>
          <w:szCs w:val="17"/>
          <w:color w:val="auto"/>
        </w:rPr>
      </w:pPr>
    </w:p>
    <w:p>
      <w:pPr>
        <w:jc w:val="both"/>
        <w:ind w:left="1860" w:right="279"/>
        <w:spacing w:after="0" w:line="264" w:lineRule="auto"/>
        <w:rPr>
          <w:rFonts w:ascii="Arial" w:cs="Arial" w:eastAsia="Arial" w:hAnsi="Arial"/>
          <w:sz w:val="17"/>
          <w:szCs w:val="17"/>
          <w:color w:val="auto"/>
        </w:rPr>
      </w:pPr>
      <w:r>
        <w:rPr>
          <w:rFonts w:ascii="Arial" w:cs="Arial" w:eastAsia="Arial" w:hAnsi="Arial"/>
          <w:sz w:val="18"/>
          <w:szCs w:val="18"/>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00" w:lineRule="exact"/>
        <w:rPr>
          <w:rFonts w:ascii="Arial" w:cs="Arial" w:eastAsia="Arial" w:hAnsi="Arial"/>
          <w:sz w:val="17"/>
          <w:szCs w:val="17"/>
          <w:color w:val="auto"/>
        </w:rPr>
      </w:pPr>
    </w:p>
    <w:p>
      <w:pPr>
        <w:ind w:left="1860" w:right="159"/>
        <w:spacing w:after="0" w:line="297" w:lineRule="auto"/>
        <w:rPr>
          <w:rFonts w:ascii="Arial" w:cs="Arial" w:eastAsia="Arial" w:hAnsi="Arial"/>
          <w:sz w:val="17"/>
          <w:szCs w:val="17"/>
          <w:color w:val="auto"/>
        </w:rPr>
      </w:pPr>
      <w:r>
        <w:rPr>
          <w:rFonts w:ascii="Arial" w:cs="Arial" w:eastAsia="Arial" w:hAnsi="Arial"/>
          <w:sz w:val="16"/>
          <w:szCs w:val="16"/>
          <w:color w:val="auto"/>
        </w:rPr>
        <w:t>The total research and development grants that the Company has received from the OCS as of December 31, 2014 were $168. The accumulated interest as of December 31, 2014 was $7. As of December 31, 2014, there were no accumulated royalties paid to the OCS. Accordingly the Company’s total commitment with respect to royalty-bearing participation received or accrued, net of royalties paid or accrued, amounted to $175 as of December 31, 2014.</w:t>
      </w:r>
    </w:p>
    <w:p>
      <w:pPr>
        <w:spacing w:after="0" w:line="63" w:lineRule="exact"/>
        <w:rPr>
          <w:rFonts w:ascii="Arial" w:cs="Arial" w:eastAsia="Arial" w:hAnsi="Arial"/>
          <w:sz w:val="17"/>
          <w:szCs w:val="17"/>
          <w:color w:val="auto"/>
        </w:rPr>
      </w:pPr>
    </w:p>
    <w:p>
      <w:pPr>
        <w:ind w:left="1860" w:right="659"/>
        <w:spacing w:after="0" w:line="277" w:lineRule="auto"/>
        <w:rPr>
          <w:rFonts w:ascii="Arial" w:cs="Arial" w:eastAsia="Arial" w:hAnsi="Arial"/>
          <w:sz w:val="17"/>
          <w:szCs w:val="17"/>
          <w:color w:val="auto"/>
        </w:rPr>
      </w:pPr>
      <w:r>
        <w:rPr>
          <w:rFonts w:ascii="Arial" w:cs="Arial" w:eastAsia="Arial" w:hAnsi="Arial"/>
          <w:sz w:val="18"/>
          <w:szCs w:val="18"/>
          <w:color w:val="auto"/>
        </w:rPr>
        <w:t>As of December 31, 2014, no revenues had been generated under this project, therefore no royalties had been paid or accrued.</w:t>
      </w:r>
    </w:p>
    <w:p>
      <w:pPr>
        <w:spacing w:after="0" w:line="75" w:lineRule="exact"/>
        <w:rPr>
          <w:rFonts w:ascii="Arial" w:cs="Arial" w:eastAsia="Arial" w:hAnsi="Arial"/>
          <w:sz w:val="17"/>
          <w:szCs w:val="17"/>
          <w:color w:val="auto"/>
        </w:rPr>
      </w:pPr>
    </w:p>
    <w:p>
      <w:pPr>
        <w:ind w:left="1480" w:hanging="329"/>
        <w:spacing w:after="0"/>
        <w:tabs>
          <w:tab w:leader="none" w:pos="14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Guarantees:</w:t>
      </w:r>
    </w:p>
    <w:p>
      <w:pPr>
        <w:spacing w:after="0" w:line="144"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As of December 31, 2014, the Company provided two bank guarantees of $216 in the aggregate for its rented facilities.</w:t>
      </w:r>
    </w:p>
    <w:p>
      <w:pPr>
        <w:sectPr>
          <w:pgSz w:w="11900" w:h="16838" w:orient="portrait"/>
          <w:cols w:equalWidth="0" w:num="1">
            <w:col w:w="9019"/>
          </w:cols>
          <w:pgMar w:left="1440" w:top="297" w:right="1440" w:bottom="1440" w:gutter="0" w:footer="0" w:header="0"/>
        </w:sectPr>
      </w:pPr>
    </w:p>
    <w:p>
      <w:pPr>
        <w:spacing w:after="0" w:line="8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42" w:name="page143"/>
    <w:bookmarkEnd w:id="14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1500" w:hanging="349"/>
        <w:spacing w:after="0"/>
        <w:tabs>
          <w:tab w:leader="none" w:pos="15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Company’s shares: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Ordinary shares:</w:t>
      </w:r>
    </w:p>
    <w:p>
      <w:pPr>
        <w:spacing w:after="0" w:line="225" w:lineRule="exact"/>
        <w:rPr>
          <w:sz w:val="20"/>
          <w:szCs w:val="20"/>
          <w:color w:val="auto"/>
        </w:rPr>
      </w:pPr>
    </w:p>
    <w:p>
      <w:pPr>
        <w:ind w:left="1520" w:right="259"/>
        <w:spacing w:after="0" w:line="257" w:lineRule="auto"/>
        <w:rPr>
          <w:sz w:val="20"/>
          <w:szCs w:val="20"/>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Preferred A-1 shares:</w:t>
      </w:r>
    </w:p>
    <w:p>
      <w:pPr>
        <w:spacing w:after="0" w:line="225" w:lineRule="exact"/>
        <w:rPr>
          <w:sz w:val="20"/>
          <w:szCs w:val="20"/>
          <w:color w:val="auto"/>
        </w:rPr>
      </w:pPr>
    </w:p>
    <w:p>
      <w:pPr>
        <w:ind w:left="1520" w:right="299"/>
        <w:spacing w:after="0" w:line="308" w:lineRule="auto"/>
        <w:rPr>
          <w:sz w:val="20"/>
          <w:szCs w:val="20"/>
          <w:color w:val="auto"/>
        </w:rPr>
      </w:pPr>
      <w:r>
        <w:rPr>
          <w:rFonts w:ascii="Arial" w:cs="Arial" w:eastAsia="Arial" w:hAnsi="Arial"/>
          <w:sz w:val="17"/>
          <w:szCs w:val="17"/>
          <w:color w:val="auto"/>
        </w:rPr>
        <w:t>Preferred A-1 shares confer their holders preferences related to the distribution of Company’s assets in events of liquidation, merger, re-organization, sale of the Company or its assets.</w:t>
      </w:r>
    </w:p>
    <w:p>
      <w:pPr>
        <w:spacing w:after="0" w:line="147" w:lineRule="exact"/>
        <w:rPr>
          <w:sz w:val="20"/>
          <w:szCs w:val="20"/>
          <w:color w:val="auto"/>
        </w:rPr>
      </w:pPr>
    </w:p>
    <w:p>
      <w:pPr>
        <w:ind w:left="1520" w:right="199"/>
        <w:spacing w:after="0" w:line="259" w:lineRule="auto"/>
        <w:rPr>
          <w:sz w:val="20"/>
          <w:szCs w:val="20"/>
          <w:color w:val="auto"/>
        </w:rPr>
      </w:pPr>
      <w:r>
        <w:rPr>
          <w:rFonts w:ascii="Arial" w:cs="Arial" w:eastAsia="Arial" w:hAnsi="Arial"/>
          <w:sz w:val="18"/>
          <w:szCs w:val="18"/>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7" w:lineRule="exact"/>
        <w:rPr>
          <w:sz w:val="20"/>
          <w:szCs w:val="20"/>
          <w:color w:val="auto"/>
        </w:rPr>
      </w:pPr>
    </w:p>
    <w:p>
      <w:pPr>
        <w:ind w:left="1480" w:hanging="329"/>
        <w:spacing w:after="0"/>
        <w:tabs>
          <w:tab w:leader="none" w:pos="14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Number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Arial" w:cs="Arial" w:eastAsia="Arial" w:hAnsi="Arial"/>
                <w:sz w:val="16"/>
                <w:szCs w:val="16"/>
                <w:b w:val="1"/>
                <w:bCs w:val="1"/>
                <w:color w:val="auto"/>
                <w:w w:val="88"/>
              </w:rPr>
              <w:t>Aggregate</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upon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exercise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intrinsic</w:t>
            </w:r>
          </w:p>
        </w:tc>
        <w:tc>
          <w:tcPr>
            <w:tcW w:w="1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exercise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7"/>
              </w:rPr>
              <w:t>value</w:t>
            </w:r>
          </w:p>
        </w:tc>
        <w:tc>
          <w:tcPr>
            <w:tcW w:w="140" w:type="dxa"/>
            <w:vAlign w:val="bottom"/>
          </w:tcPr>
          <w:p>
            <w:pPr>
              <w:spacing w:after="0"/>
              <w:rPr>
                <w:sz w:val="18"/>
                <w:szCs w:val="18"/>
                <w:color w:val="auto"/>
              </w:rPr>
            </w:pPr>
          </w:p>
        </w:tc>
      </w:tr>
      <w:tr>
        <w:trPr>
          <w:trHeight w:val="401"/>
        </w:trPr>
        <w:tc>
          <w:tcPr>
            <w:tcW w:w="3900" w:type="dxa"/>
            <w:vAlign w:val="bottom"/>
            <w:gridSpan w:val="2"/>
          </w:tcPr>
          <w:p>
            <w:pPr>
              <w:spacing w:after="0"/>
              <w:rPr>
                <w:sz w:val="20"/>
                <w:szCs w:val="20"/>
                <w:color w:val="auto"/>
              </w:rPr>
            </w:pPr>
            <w:r>
              <w:rPr>
                <w:rFonts w:ascii="Arial" w:cs="Arial" w:eastAsia="Arial" w:hAnsi="Arial"/>
                <w:sz w:val="18"/>
                <w:szCs w:val="18"/>
                <w:color w:val="auto"/>
              </w:rPr>
              <w:t>Outstanding at beginning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1,216,262</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3,988</w:t>
            </w:r>
          </w:p>
        </w:tc>
        <w:tc>
          <w:tcPr>
            <w:tcW w:w="140" w:type="dxa"/>
            <w:vAlign w:val="bottom"/>
          </w:tcPr>
          <w:p>
            <w:pPr>
              <w:spacing w:after="0"/>
              <w:rPr>
                <w:sz w:val="24"/>
                <w:szCs w:val="24"/>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spacing w:after="0"/>
              <w:rPr>
                <w:sz w:val="20"/>
                <w:szCs w:val="20"/>
                <w:color w:val="auto"/>
              </w:rPr>
            </w:pPr>
            <w:r>
              <w:rPr>
                <w:rFonts w:ascii="Arial" w:cs="Arial" w:eastAsia="Arial" w:hAnsi="Arial"/>
                <w:sz w:val="18"/>
                <w:szCs w:val="18"/>
                <w:color w:val="auto"/>
              </w:rPr>
              <w:t>1,381,725</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(19,659)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3900" w:type="dxa"/>
            <w:vAlign w:val="bottom"/>
            <w:gridSpan w:val="2"/>
          </w:tcPr>
          <w:p>
            <w:pPr>
              <w:spacing w:after="0"/>
              <w:rPr>
                <w:sz w:val="20"/>
                <w:szCs w:val="20"/>
                <w:color w:val="auto"/>
              </w:rPr>
            </w:pPr>
            <w:r>
              <w:rPr>
                <w:rFonts w:ascii="Arial" w:cs="Arial" w:eastAsia="Arial" w:hAnsi="Arial"/>
                <w:sz w:val="18"/>
                <w:szCs w:val="18"/>
                <w:color w:val="auto"/>
              </w:rPr>
              <w:t>Outstanding at end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2,578,328</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5.61</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21,909</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900" w:type="dxa"/>
            <w:vAlign w:val="bottom"/>
            <w:gridSpan w:val="2"/>
          </w:tcPr>
          <w:p>
            <w:pPr>
              <w:spacing w:after="0"/>
              <w:rPr>
                <w:sz w:val="20"/>
                <w:szCs w:val="20"/>
                <w:color w:val="auto"/>
              </w:rPr>
            </w:pPr>
            <w:r>
              <w:rPr>
                <w:rFonts w:ascii="Arial" w:cs="Arial" w:eastAsia="Arial" w:hAnsi="Arial"/>
                <w:sz w:val="18"/>
                <w:szCs w:val="18"/>
                <w:color w:val="auto"/>
              </w:rPr>
              <w:t>Exercisable at end of year</w:t>
            </w:r>
          </w:p>
        </w:tc>
        <w:tc>
          <w:tcPr>
            <w:tcW w:w="980" w:type="dxa"/>
            <w:vAlign w:val="bottom"/>
          </w:tcPr>
          <w:p>
            <w:pPr>
              <w:jc w:val="right"/>
              <w:spacing w:after="0"/>
              <w:rPr>
                <w:sz w:val="20"/>
                <w:szCs w:val="20"/>
                <w:color w:val="auto"/>
              </w:rPr>
            </w:pPr>
            <w:r>
              <w:rPr>
                <w:rFonts w:ascii="Arial" w:cs="Arial" w:eastAsia="Arial" w:hAnsi="Arial"/>
                <w:sz w:val="18"/>
                <w:szCs w:val="18"/>
                <w:color w:val="auto"/>
              </w:rPr>
              <w:t>1,021,307</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9,364</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3"/>
        </w:trPr>
        <w:tc>
          <w:tcPr>
            <w:tcW w:w="3900" w:type="dxa"/>
            <w:vAlign w:val="bottom"/>
            <w:gridSpan w:val="2"/>
          </w:tcPr>
          <w:p>
            <w:pPr>
              <w:spacing w:after="0"/>
              <w:rPr>
                <w:sz w:val="20"/>
                <w:szCs w:val="20"/>
                <w:color w:val="auto"/>
              </w:rPr>
            </w:pPr>
            <w:r>
              <w:rPr>
                <w:rFonts w:ascii="Arial" w:cs="Arial" w:eastAsia="Arial" w:hAnsi="Arial"/>
                <w:sz w:val="18"/>
                <w:szCs w:val="18"/>
                <w:color w:val="auto"/>
              </w:rPr>
              <w:t>Vested and expected to vest</w:t>
            </w:r>
          </w:p>
        </w:tc>
        <w:tc>
          <w:tcPr>
            <w:tcW w:w="980" w:type="dxa"/>
            <w:vAlign w:val="bottom"/>
          </w:tcPr>
          <w:p>
            <w:pPr>
              <w:jc w:val="right"/>
              <w:spacing w:after="0"/>
              <w:rPr>
                <w:sz w:val="20"/>
                <w:szCs w:val="20"/>
                <w:color w:val="auto"/>
              </w:rPr>
            </w:pPr>
            <w:r>
              <w:rPr>
                <w:rFonts w:ascii="Arial" w:cs="Arial" w:eastAsia="Arial" w:hAnsi="Arial"/>
                <w:sz w:val="18"/>
                <w:szCs w:val="18"/>
                <w:color w:val="auto"/>
              </w:rPr>
              <w:t>2,444,834</w:t>
            </w:r>
          </w:p>
        </w:tc>
        <w:tc>
          <w:tcPr>
            <w:tcW w:w="1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20,823</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color w:val="auto"/>
                <w:w w:val="97"/>
              </w:rPr>
              <w:t>F-22</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297" w:right="1440" w:bottom="1440" w:gutter="0" w:footer="0" w:header="0"/>
        </w:sectPr>
      </w:pPr>
    </w:p>
    <w:bookmarkStart w:id="143" w:name="page144"/>
    <w:bookmarkEnd w:id="14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ind w:left="1520" w:right="799" w:hanging="369"/>
        <w:spacing w:after="0" w:line="342" w:lineRule="auto"/>
        <w:tabs>
          <w:tab w:leader="none" w:pos="149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As of December 31, 2014, $5,359 unrecognized compensation cost related to stock options is expected to be recognized over a weighted average vesting period of 3.43 years.</w:t>
      </w:r>
    </w:p>
    <w:p>
      <w:pPr>
        <w:spacing w:after="0" w:line="123" w:lineRule="exact"/>
        <w:rPr>
          <w:rFonts w:ascii="Arial" w:cs="Arial" w:eastAsia="Arial" w:hAnsi="Arial"/>
          <w:sz w:val="16"/>
          <w:szCs w:val="16"/>
          <w:color w:val="auto"/>
        </w:rPr>
      </w:pPr>
    </w:p>
    <w:p>
      <w:pPr>
        <w:ind w:left="1480" w:hanging="329"/>
        <w:spacing w:after="0"/>
        <w:tabs>
          <w:tab w:leader="none" w:pos="14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options outstanding as of December 31, 2014 have been classified by exercise price, as follows:</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6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auto"/>
                <w:w w:val="90"/>
              </w:rPr>
              <w:t>Options outstanding at December 31, 2014</w:t>
            </w:r>
          </w:p>
        </w:tc>
        <w:tc>
          <w:tcPr>
            <w:tcW w:w="33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Options exercisable at December 31, 2014</w:t>
            </w:r>
          </w:p>
        </w:tc>
      </w:tr>
      <w:tr>
        <w:trPr>
          <w:trHeight w:val="188"/>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Weighted</w:t>
            </w: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Weighted</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average</w:t>
            </w: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remaining</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average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r>
      <w:tr>
        <w:trPr>
          <w:trHeight w:val="203"/>
        </w:trPr>
        <w:tc>
          <w:tcPr>
            <w:tcW w:w="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3"/>
              <w:spacing w:after="0"/>
              <w:rPr>
                <w:sz w:val="20"/>
                <w:szCs w:val="20"/>
                <w:color w:val="auto"/>
              </w:rPr>
            </w:pPr>
            <w:r>
              <w:rPr>
                <w:rFonts w:ascii="Arial" w:cs="Arial" w:eastAsia="Arial" w:hAnsi="Arial"/>
                <w:sz w:val="16"/>
                <w:szCs w:val="16"/>
                <w:b w:val="1"/>
                <w:bCs w:val="1"/>
                <w:color w:val="auto"/>
              </w:rPr>
              <w:t>Number of</w:t>
            </w:r>
          </w:p>
        </w:tc>
        <w:tc>
          <w:tcPr>
            <w:tcW w:w="2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4"/>
              </w:rPr>
              <w:t>exercise</w:t>
            </w: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contractual</w:t>
            </w:r>
          </w:p>
        </w:tc>
        <w:tc>
          <w:tcPr>
            <w:tcW w:w="920" w:type="dxa"/>
            <w:vAlign w:val="bottom"/>
          </w:tcPr>
          <w:p>
            <w:pPr>
              <w:jc w:val="right"/>
              <w:ind w:right="13"/>
              <w:spacing w:after="0"/>
              <w:rPr>
                <w:sz w:val="20"/>
                <w:szCs w:val="20"/>
                <w:color w:val="auto"/>
              </w:rPr>
            </w:pPr>
            <w:r>
              <w:rPr>
                <w:rFonts w:ascii="Arial" w:cs="Arial" w:eastAsia="Arial" w:hAnsi="Arial"/>
                <w:sz w:val="16"/>
                <w:szCs w:val="16"/>
                <w:b w:val="1"/>
                <w:bCs w:val="1"/>
                <w:color w:val="auto"/>
                <w:w w:val="99"/>
              </w:rPr>
              <w:t>Number of</w:t>
            </w:r>
          </w:p>
        </w:tc>
        <w:tc>
          <w:tcPr>
            <w:tcW w:w="30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exercise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r>
      <w:tr>
        <w:trPr>
          <w:trHeight w:val="210"/>
        </w:trPr>
        <w:tc>
          <w:tcPr>
            <w:tcW w:w="2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Exercise price</w:t>
            </w:r>
          </w:p>
        </w:tc>
        <w:tc>
          <w:tcPr>
            <w:tcW w:w="940" w:type="dxa"/>
            <w:vAlign w:val="bottom"/>
          </w:tcPr>
          <w:p>
            <w:pPr>
              <w:jc w:val="right"/>
              <w:ind w:right="133"/>
              <w:spacing w:after="0"/>
              <w:rPr>
                <w:sz w:val="20"/>
                <w:szCs w:val="20"/>
                <w:color w:val="auto"/>
              </w:rPr>
            </w:pPr>
            <w:r>
              <w:rPr>
                <w:rFonts w:ascii="Arial" w:cs="Arial" w:eastAsia="Arial" w:hAnsi="Arial"/>
                <w:sz w:val="16"/>
                <w:szCs w:val="16"/>
                <w:b w:val="1"/>
                <w:bCs w:val="1"/>
                <w:color w:val="auto"/>
              </w:rPr>
              <w:t>options</w:t>
            </w:r>
          </w:p>
        </w:tc>
        <w:tc>
          <w:tcPr>
            <w:tcW w:w="28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price</w:t>
            </w: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life</w:t>
            </w:r>
          </w:p>
        </w:tc>
        <w:tc>
          <w:tcPr>
            <w:tcW w:w="920" w:type="dxa"/>
            <w:vAlign w:val="bottom"/>
          </w:tcPr>
          <w:p>
            <w:pPr>
              <w:jc w:val="right"/>
              <w:ind w:right="133"/>
              <w:spacing w:after="0"/>
              <w:rPr>
                <w:sz w:val="20"/>
                <w:szCs w:val="20"/>
                <w:color w:val="auto"/>
              </w:rPr>
            </w:pPr>
            <w:r>
              <w:rPr>
                <w:rFonts w:ascii="Arial" w:cs="Arial" w:eastAsia="Arial" w:hAnsi="Arial"/>
                <w:sz w:val="16"/>
                <w:szCs w:val="16"/>
                <w:b w:val="1"/>
                <w:bCs w:val="1"/>
                <w:color w:val="auto"/>
              </w:rPr>
              <w:t>options</w:t>
            </w:r>
          </w:p>
        </w:tc>
        <w:tc>
          <w:tcPr>
            <w:tcW w:w="30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price</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w w:val="94"/>
              </w:rPr>
              <w:t>life</w:t>
            </w:r>
          </w:p>
        </w:tc>
      </w:tr>
      <w:tr>
        <w:trPr>
          <w:trHeight w:val="202"/>
        </w:trPr>
        <w:tc>
          <w:tcPr>
            <w:tcW w:w="2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3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r>
      <w:tr>
        <w:trPr>
          <w:trHeight w:val="398"/>
        </w:trPr>
        <w:tc>
          <w:tcPr>
            <w:tcW w:w="1480" w:type="dxa"/>
            <w:vAlign w:val="bottom"/>
            <w:gridSpan w:val="2"/>
          </w:tcPr>
          <w:p>
            <w:pPr>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181,848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181,848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0.6 – 0.8</w:t>
            </w:r>
          </w:p>
        </w:tc>
        <w:tc>
          <w:tcPr>
            <w:tcW w:w="940" w:type="dxa"/>
            <w:vAlign w:val="bottom"/>
          </w:tcPr>
          <w:p>
            <w:pPr>
              <w:jc w:val="right"/>
              <w:spacing w:after="0"/>
              <w:rPr>
                <w:sz w:val="20"/>
                <w:szCs w:val="20"/>
                <w:color w:val="auto"/>
              </w:rPr>
            </w:pPr>
            <w:r>
              <w:rPr>
                <w:rFonts w:ascii="Arial" w:cs="Arial" w:eastAsia="Arial" w:hAnsi="Arial"/>
                <w:sz w:val="18"/>
                <w:szCs w:val="18"/>
                <w:color w:val="auto"/>
              </w:rPr>
              <w:t>417,367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302,688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0.65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0.9 – 1.1</w:t>
            </w:r>
          </w:p>
        </w:tc>
        <w:tc>
          <w:tcPr>
            <w:tcW w:w="940" w:type="dxa"/>
            <w:vAlign w:val="bottom"/>
          </w:tcPr>
          <w:p>
            <w:pPr>
              <w:jc w:val="right"/>
              <w:spacing w:after="0"/>
              <w:rPr>
                <w:sz w:val="20"/>
                <w:szCs w:val="20"/>
                <w:color w:val="auto"/>
              </w:rPr>
            </w:pPr>
            <w:r>
              <w:rPr>
                <w:rFonts w:ascii="Arial" w:cs="Arial" w:eastAsia="Arial" w:hAnsi="Arial"/>
                <w:sz w:val="18"/>
                <w:szCs w:val="18"/>
                <w:color w:val="auto"/>
              </w:rPr>
              <w:t>449,944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449,944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0.99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1620" w:type="dxa"/>
            <w:vAlign w:val="bottom"/>
            <w:gridSpan w:val="3"/>
          </w:tcPr>
          <w:p>
            <w:pPr>
              <w:spacing w:after="0"/>
              <w:rPr>
                <w:sz w:val="20"/>
                <w:szCs w:val="20"/>
                <w:color w:val="auto"/>
              </w:rPr>
            </w:pPr>
            <w:r>
              <w:rPr>
                <w:rFonts w:ascii="Arial" w:cs="Arial" w:eastAsia="Arial" w:hAnsi="Arial"/>
                <w:sz w:val="18"/>
                <w:szCs w:val="18"/>
                <w:color w:val="auto"/>
              </w:rPr>
              <w:t>1.3 – 1.6</w:t>
            </w:r>
          </w:p>
        </w:tc>
        <w:tc>
          <w:tcPr>
            <w:tcW w:w="940" w:type="dxa"/>
            <w:vAlign w:val="bottom"/>
          </w:tcPr>
          <w:p>
            <w:pPr>
              <w:jc w:val="right"/>
              <w:spacing w:after="0"/>
              <w:rPr>
                <w:sz w:val="20"/>
                <w:szCs w:val="20"/>
                <w:color w:val="auto"/>
              </w:rPr>
            </w:pPr>
            <w:r>
              <w:rPr>
                <w:rFonts w:ascii="Arial" w:cs="Arial" w:eastAsia="Arial" w:hAnsi="Arial"/>
                <w:sz w:val="18"/>
                <w:szCs w:val="18"/>
                <w:color w:val="auto"/>
              </w:rPr>
              <w:t>350,592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86,829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30"/>
        </w:trPr>
        <w:tc>
          <w:tcPr>
            <w:tcW w:w="1620" w:type="dxa"/>
            <w:vAlign w:val="bottom"/>
            <w:gridSpan w:val="3"/>
          </w:tcPr>
          <w:p>
            <w:pPr>
              <w:spacing w:after="0"/>
              <w:rPr>
                <w:sz w:val="20"/>
                <w:szCs w:val="20"/>
                <w:color w:val="auto"/>
              </w:rPr>
            </w:pPr>
            <w:r>
              <w:rPr>
                <w:rFonts w:ascii="Arial" w:cs="Arial" w:eastAsia="Arial" w:hAnsi="Arial"/>
                <w:sz w:val="18"/>
                <w:szCs w:val="18"/>
                <w:color w:val="auto"/>
              </w:rPr>
              <w:t>2.1 – 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1,178,577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7.86</w:t>
            </w:r>
          </w:p>
        </w:tc>
        <w:tc>
          <w:tcPr>
            <w:tcW w:w="3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26"/>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2,578,328</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1,021,309</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159" w:hanging="369"/>
        <w:spacing w:after="0" w:line="289" w:lineRule="auto"/>
        <w:tabs>
          <w:tab w:leader="none" w:pos="149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Company’s Board approved option plans pursuant to which the Company is authorized to issue to employees, directors and officers of the Company and its subsidiaries (the “optionees”) options to 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Starting in 2014, 25% of total options are exercisable one year after the date determined for each optionee and a further 6.25%, at the end of each subsequent three month period for three years. Options that have vested are exercisable for up to 10 years from the grant date of the options to each employee.</w:t>
      </w:r>
    </w:p>
    <w:p>
      <w:pPr>
        <w:spacing w:after="0" w:line="167" w:lineRule="exact"/>
        <w:rPr>
          <w:sz w:val="20"/>
          <w:szCs w:val="20"/>
          <w:color w:val="auto"/>
        </w:rPr>
      </w:pPr>
    </w:p>
    <w:p>
      <w:pPr>
        <w:ind w:left="1520" w:right="219"/>
        <w:spacing w:after="0" w:line="264" w:lineRule="auto"/>
        <w:rPr>
          <w:sz w:val="20"/>
          <w:szCs w:val="20"/>
          <w:color w:val="auto"/>
        </w:rPr>
      </w:pPr>
      <w:r>
        <w:rPr>
          <w:rFonts w:ascii="Arial" w:cs="Arial" w:eastAsia="Arial" w:hAnsi="Arial"/>
          <w:sz w:val="18"/>
          <w:szCs w:val="18"/>
          <w:color w:val="auto"/>
        </w:rPr>
        <w:t>On July 10, 2014, the Board of Directors approved an increase in the ordinary shares reserved for issuance to 2,640,564 (unaudited) ordinary shares. As of December 31, 2014, an aggregate of 62,236 ordinary shares were available for future grants.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44" w:name="page145"/>
    <w:bookmarkEnd w:id="14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394"/>
        </w:trPr>
        <w:tc>
          <w:tcPr>
            <w:tcW w:w="4000" w:type="dxa"/>
            <w:vAlign w:val="bottom"/>
          </w:tcPr>
          <w:p>
            <w:pPr>
              <w:spacing w:after="0"/>
              <w:rPr>
                <w:sz w:val="20"/>
                <w:szCs w:val="20"/>
                <w:color w:val="auto"/>
              </w:rPr>
            </w:pPr>
            <w:r>
              <w:rPr>
                <w:rFonts w:ascii="Arial" w:cs="Arial" w:eastAsia="Arial" w:hAnsi="Arial"/>
                <w:sz w:val="18"/>
                <w:szCs w:val="18"/>
                <w:b w:val="1"/>
                <w:bCs w:val="1"/>
                <w:color w:val="auto"/>
                <w:w w:val="95"/>
              </w:rPr>
              <w:t>Numerator for basic and diluted net earnings per</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share: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1,134</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407"/>
        </w:trPr>
        <w:tc>
          <w:tcPr>
            <w:tcW w:w="400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 net of</w:t>
            </w:r>
          </w:p>
        </w:tc>
        <w:tc>
          <w:tcPr>
            <w:tcW w:w="2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0" w:type="dxa"/>
            <w:vAlign w:val="bottom"/>
          </w:tcPr>
          <w:p>
            <w:pPr>
              <w:spacing w:after="0"/>
              <w:rPr>
                <w:sz w:val="20"/>
                <w:szCs w:val="20"/>
                <w:color w:val="auto"/>
              </w:rPr>
            </w:pPr>
            <w:r>
              <w:rPr>
                <w:rFonts w:ascii="Arial" w:cs="Arial" w:eastAsia="Arial" w:hAnsi="Arial"/>
                <w:sz w:val="18"/>
                <w:szCs w:val="18"/>
                <w:color w:val="auto"/>
              </w:rPr>
              <w:t>Denominator for basic net earnings per share</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8,953,565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8,953,565</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8,969,588</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8"/>
                <w:szCs w:val="18"/>
                <w:color w:val="auto"/>
              </w:rPr>
              <w:t>Employee stock options</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696,008</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926,484</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1,476,741</w:t>
            </w:r>
          </w:p>
        </w:tc>
        <w:tc>
          <w:tcPr>
            <w:tcW w:w="0" w:type="dxa"/>
            <w:vAlign w:val="bottom"/>
          </w:tcPr>
          <w:p>
            <w:pPr>
              <w:spacing w:after="0"/>
              <w:rPr>
                <w:sz w:val="1"/>
                <w:szCs w:val="1"/>
                <w:color w:val="auto"/>
              </w:rPr>
            </w:pPr>
          </w:p>
        </w:tc>
      </w:tr>
      <w:tr>
        <w:trPr>
          <w:trHeight w:val="426"/>
        </w:trPr>
        <w:tc>
          <w:tcPr>
            <w:tcW w:w="4000" w:type="dxa"/>
            <w:vAlign w:val="bottom"/>
          </w:tcPr>
          <w:p>
            <w:pPr>
              <w:spacing w:after="0"/>
              <w:rPr>
                <w:sz w:val="20"/>
                <w:szCs w:val="20"/>
                <w:color w:val="auto"/>
              </w:rPr>
            </w:pPr>
            <w:r>
              <w:rPr>
                <w:rFonts w:ascii="Arial" w:cs="Arial" w:eastAsia="Arial" w:hAnsi="Arial"/>
                <w:sz w:val="18"/>
                <w:szCs w:val="18"/>
                <w:color w:val="auto"/>
              </w:rPr>
              <w:t>Denominator for diluted net earnings per share</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9,649,573</w:t>
            </w: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9,880,049</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10,446,353</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0"/>
                <w:szCs w:val="20"/>
                <w:color w:val="auto"/>
              </w:rPr>
            </w:pPr>
            <w:r>
              <w:rPr>
                <w:rFonts w:ascii="Arial" w:cs="Arial" w:eastAsia="Arial" w:hAnsi="Arial"/>
                <w:sz w:val="18"/>
                <w:szCs w:val="18"/>
                <w:color w:val="auto"/>
              </w:rPr>
              <w:t>Basic net earnings per share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0.13</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0" w:type="dxa"/>
            <w:vAlign w:val="bottom"/>
          </w:tcPr>
          <w:p>
            <w:pPr>
              <w:spacing w:after="0"/>
              <w:rPr>
                <w:sz w:val="20"/>
                <w:szCs w:val="20"/>
                <w:color w:val="auto"/>
              </w:rPr>
            </w:pPr>
            <w:r>
              <w:rPr>
                <w:rFonts w:ascii="Arial" w:cs="Arial" w:eastAsia="Arial" w:hAnsi="Arial"/>
                <w:sz w:val="18"/>
                <w:szCs w:val="18"/>
                <w:color w:val="auto"/>
              </w:rPr>
              <w:t>Diluted net earnings per share</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0.11</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8"/>
                <w:szCs w:val="18"/>
                <w:b w:val="1"/>
                <w:bCs w:val="1"/>
                <w:color w:val="auto"/>
              </w:rPr>
              <w:t>NOTE 11:- TAXES ON INCOME</w:t>
            </w: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0" w:type="dxa"/>
            <w:vAlign w:val="bottom"/>
          </w:tcPr>
          <w:p>
            <w:pPr>
              <w:ind w:left="1040"/>
              <w:spacing w:after="0"/>
              <w:rPr>
                <w:sz w:val="20"/>
                <w:szCs w:val="20"/>
                <w:color w:val="auto"/>
              </w:rPr>
            </w:pPr>
            <w:r>
              <w:rPr>
                <w:rFonts w:ascii="Arial" w:cs="Arial" w:eastAsia="Arial" w:hAnsi="Arial"/>
                <w:sz w:val="18"/>
                <w:szCs w:val="18"/>
                <w:color w:val="auto"/>
              </w:rPr>
              <w:t>a.   Tax rates: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Taxable income of the Israeli companies is subject to the Israeli corporate tax at the rate as follows:</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2012 and 2013 – 25% and 2014 – 26.5%.</w:t>
      </w:r>
    </w:p>
    <w:p>
      <w:pPr>
        <w:spacing w:after="0" w:line="211" w:lineRule="exact"/>
        <w:rPr>
          <w:sz w:val="20"/>
          <w:szCs w:val="20"/>
          <w:color w:val="auto"/>
        </w:rPr>
      </w:pPr>
    </w:p>
    <w:p>
      <w:pPr>
        <w:ind w:left="1480" w:hanging="329"/>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sz w:val="20"/>
          <w:szCs w:val="20"/>
          <w:color w:val="auto"/>
        </w:rPr>
      </w:pPr>
    </w:p>
    <w:p>
      <w:pPr>
        <w:ind w:left="1520" w:right="139"/>
        <w:spacing w:after="0" w:line="286" w:lineRule="auto"/>
        <w:rPr>
          <w:sz w:val="20"/>
          <w:szCs w:val="20"/>
          <w:color w:val="auto"/>
        </w:rPr>
      </w:pPr>
      <w:r>
        <w:rPr>
          <w:rFonts w:ascii="Arial" w:cs="Arial" w:eastAsia="Arial" w:hAnsi="Arial"/>
          <w:sz w:val="17"/>
          <w:szCs w:val="17"/>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25"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Companies began to utilize such tax benefits in 2010.</w:t>
      </w:r>
    </w:p>
    <w:p>
      <w:pPr>
        <w:spacing w:after="0" w:line="141"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6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sources other than the “Beneficiary Enterprise” are subject to the tax at the regular rate.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45" w:name="page146"/>
    <w:bookmarkEnd w:id="14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239"/>
        <w:spacing w:after="0" w:line="264" w:lineRule="auto"/>
        <w:rPr>
          <w:sz w:val="20"/>
          <w:szCs w:val="20"/>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8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In addition tax-exempt income attributed to Benefiting Enterprise, will subject the Company to taxes upon distribution in any manner including complete liquidation.</w:t>
      </w:r>
    </w:p>
    <w:p>
      <w:pPr>
        <w:spacing w:after="0" w:line="170" w:lineRule="exact"/>
        <w:rPr>
          <w:sz w:val="20"/>
          <w:szCs w:val="20"/>
          <w:color w:val="auto"/>
        </w:rPr>
      </w:pPr>
    </w:p>
    <w:p>
      <w:pPr>
        <w:ind w:left="1520" w:right="119"/>
        <w:spacing w:after="0" w:line="276" w:lineRule="auto"/>
        <w:rPr>
          <w:sz w:val="20"/>
          <w:szCs w:val="20"/>
          <w:color w:val="auto"/>
        </w:rPr>
      </w:pPr>
      <w:r>
        <w:rPr>
          <w:rFonts w:ascii="Arial" w:cs="Arial" w:eastAsia="Arial" w:hAnsi="Arial"/>
          <w:sz w:val="17"/>
          <w:szCs w:val="17"/>
          <w:color w:val="auto"/>
        </w:rPr>
        <w:t>The Company does not intend to distribute any amounts of its undistributed tax-exempt income as dividend. The Company and its Board of Directors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73" w:lineRule="exact"/>
        <w:rPr>
          <w:sz w:val="20"/>
          <w:szCs w:val="20"/>
          <w:color w:val="auto"/>
        </w:rPr>
      </w:pPr>
    </w:p>
    <w:p>
      <w:pPr>
        <w:jc w:val="both"/>
        <w:ind w:left="1520" w:right="479"/>
        <w:spacing w:after="0" w:line="259" w:lineRule="auto"/>
        <w:rPr>
          <w:sz w:val="20"/>
          <w:szCs w:val="20"/>
          <w:color w:val="auto"/>
        </w:rPr>
      </w:pPr>
      <w:r>
        <w:rPr>
          <w:rFonts w:ascii="Arial" w:cs="Arial" w:eastAsia="Arial" w:hAnsi="Arial"/>
          <w:sz w:val="18"/>
          <w:szCs w:val="18"/>
          <w:color w:val="auto"/>
        </w:rPr>
        <w:t>As of December 31, 2014, tax-exempt income of $28,116 is attributable to the Company’s and its subsidiary’s various Beneficiary Enterprise programs. If such tax exempt income is distributed, it would be taxed at the reduced corporate tax rate applicable to such income, and $7,029 would be incurred as of December 31, 2014.</w:t>
      </w:r>
    </w:p>
    <w:p>
      <w:pPr>
        <w:spacing w:after="0" w:line="187" w:lineRule="exact"/>
        <w:rPr>
          <w:sz w:val="20"/>
          <w:szCs w:val="20"/>
          <w:color w:val="auto"/>
        </w:rPr>
      </w:pPr>
    </w:p>
    <w:p>
      <w:pPr>
        <w:ind w:left="1520" w:right="259"/>
        <w:spacing w:after="0" w:line="257" w:lineRule="auto"/>
        <w:rPr>
          <w:sz w:val="20"/>
          <w:szCs w:val="20"/>
          <w:color w:val="auto"/>
        </w:rPr>
      </w:pPr>
      <w:r>
        <w:rPr>
          <w:rFonts w:ascii="Arial" w:cs="Arial" w:eastAsia="Arial" w:hAnsi="Arial"/>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88" w:lineRule="exact"/>
        <w:rPr>
          <w:sz w:val="20"/>
          <w:szCs w:val="20"/>
          <w:color w:val="auto"/>
        </w:rPr>
      </w:pPr>
    </w:p>
    <w:p>
      <w:pPr>
        <w:ind w:left="1520" w:right="259"/>
        <w:spacing w:after="0" w:line="285"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w:t>
      </w:r>
    </w:p>
    <w:p>
      <w:pPr>
        <w:spacing w:after="0" w:line="2" w:lineRule="exact"/>
        <w:rPr>
          <w:sz w:val="20"/>
          <w:szCs w:val="20"/>
          <w:color w:val="auto"/>
        </w:rPr>
      </w:pPr>
    </w:p>
    <w:p>
      <w:pPr>
        <w:ind w:left="1780" w:hanging="251"/>
        <w:spacing w:after="0"/>
        <w:tabs>
          <w:tab w:leader="none" w:pos="17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was registered under the Partnerships Ordinance; (b) all of its limited partners are companies</w:t>
      </w:r>
    </w:p>
    <w:p>
      <w:pPr>
        <w:spacing w:after="0" w:line="20" w:lineRule="exact"/>
        <w:rPr>
          <w:rFonts w:ascii="Arial" w:cs="Arial" w:eastAsia="Arial" w:hAnsi="Arial"/>
          <w:sz w:val="17"/>
          <w:szCs w:val="17"/>
          <w:color w:val="auto"/>
        </w:rPr>
      </w:pPr>
    </w:p>
    <w:p>
      <w:pPr>
        <w:ind w:left="1520" w:right="219"/>
        <w:spacing w:after="0" w:line="268" w:lineRule="auto"/>
        <w:rPr>
          <w:rFonts w:ascii="Arial" w:cs="Arial" w:eastAsia="Arial" w:hAnsi="Arial"/>
          <w:sz w:val="17"/>
          <w:szCs w:val="17"/>
          <w:color w:val="auto"/>
        </w:rPr>
      </w:pPr>
      <w:r>
        <w:rPr>
          <w:rFonts w:ascii="Arial" w:cs="Arial" w:eastAsia="Arial" w:hAnsi="Arial"/>
          <w:sz w:val="17"/>
          <w:szCs w:val="17"/>
          <w:color w:val="auto"/>
        </w:rPr>
        <w:t>incorporated in Israel, but not all of them are governmental entities, which, among other things, has Preferred Enterprise status and are controlled and managed from Israel. Pursuant to the 2011 Amendment, a Preferred Company is entitled 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80"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7" w:lineRule="exact"/>
        <w:rPr>
          <w:sz w:val="20"/>
          <w:szCs w:val="20"/>
          <w:color w:val="auto"/>
        </w:rPr>
      </w:pPr>
    </w:p>
    <w:p>
      <w:pPr>
        <w:ind w:left="1500" w:hanging="349"/>
        <w:spacing w:after="0"/>
        <w:tabs>
          <w:tab w:leader="none" w:pos="15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Non-Israeli subsidiaries are taxed according to the tax laws in their respective countries of residence.</w:t>
      </w:r>
    </w:p>
    <w:p>
      <w:pPr>
        <w:spacing w:after="0" w:line="221"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w:t>
      </w:r>
    </w:p>
    <w:p>
      <w:pPr>
        <w:sectPr>
          <w:pgSz w:w="11900" w:h="16838" w:orient="portrait"/>
          <w:cols w:equalWidth="0" w:num="1">
            <w:col w:w="9019"/>
          </w:cols>
          <w:pgMar w:left="1440" w:top="297" w:right="1440" w:bottom="1440" w:gutter="0" w:footer="0" w:header="0"/>
        </w:sectPr>
      </w:pP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146" w:name="page147"/>
    <w:bookmarkEnd w:id="14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59"/>
        <w:spacing w:after="0" w:line="257" w:lineRule="auto"/>
        <w:rPr>
          <w:sz w:val="20"/>
          <w:szCs w:val="20"/>
          <w:color w:val="auto"/>
        </w:rPr>
      </w:pPr>
      <w:r>
        <w:rPr>
          <w:rFonts w:ascii="Arial" w:cs="Arial" w:eastAsia="Arial" w:hAnsi="Arial"/>
          <w:sz w:val="18"/>
          <w:szCs w:val="18"/>
          <w:color w:val="auto"/>
        </w:rPr>
        <w:t>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8" w:lineRule="exact"/>
        <w:rPr>
          <w:sz w:val="20"/>
          <w:szCs w:val="20"/>
          <w:color w:val="auto"/>
        </w:rPr>
      </w:pPr>
    </w:p>
    <w:p>
      <w:pPr>
        <w:ind w:left="1520" w:right="279"/>
        <w:spacing w:after="0" w:line="277" w:lineRule="auto"/>
        <w:rPr>
          <w:sz w:val="20"/>
          <w:szCs w:val="20"/>
          <w:color w:val="auto"/>
        </w:rPr>
      </w:pPr>
      <w:r>
        <w:rPr>
          <w:rFonts w:ascii="Arial" w:cs="Arial" w:eastAsia="Arial" w:hAnsi="Arial"/>
          <w:sz w:val="18"/>
          <w:szCs w:val="18"/>
          <w:color w:val="auto"/>
        </w:rPr>
        <w:t>The amount of undistributed earnings of foreign subsidiaries that are considered to be invested as of December 31, 2014 was $2,201.</w:t>
      </w:r>
    </w:p>
    <w:p>
      <w:pPr>
        <w:spacing w:after="0" w:line="170" w:lineRule="exact"/>
        <w:rPr>
          <w:sz w:val="20"/>
          <w:szCs w:val="20"/>
          <w:color w:val="auto"/>
        </w:rPr>
      </w:pPr>
    </w:p>
    <w:p>
      <w:pPr>
        <w:ind w:left="1480" w:hanging="329"/>
        <w:spacing w:after="0"/>
        <w:tabs>
          <w:tab w:leader="none" w:pos="14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Final tax assessments: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Company and its Israeli subsidiary received final tax assessments through 2009.</w:t>
      </w:r>
    </w:p>
    <w:p>
      <w:pPr>
        <w:spacing w:after="0" w:line="225" w:lineRule="exact"/>
        <w:rPr>
          <w:sz w:val="20"/>
          <w:szCs w:val="20"/>
          <w:color w:val="auto"/>
        </w:rPr>
      </w:pPr>
    </w:p>
    <w:p>
      <w:pPr>
        <w:ind w:left="1520" w:right="259"/>
        <w:spacing w:after="0" w:line="277" w:lineRule="auto"/>
        <w:rPr>
          <w:sz w:val="20"/>
          <w:szCs w:val="20"/>
          <w:color w:val="auto"/>
        </w:rPr>
      </w:pPr>
      <w:r>
        <w:rPr>
          <w:rFonts w:ascii="Arial" w:cs="Arial" w:eastAsia="Arial" w:hAnsi="Arial"/>
          <w:sz w:val="18"/>
          <w:szCs w:val="18"/>
          <w:color w:val="auto"/>
        </w:rPr>
        <w:t>The U.S. subsidiary received final tax assessment through 2009 and the German and the Hong Kong Subsidiaries have not received a final tax assessment since inception.</w:t>
      </w:r>
    </w:p>
    <w:p>
      <w:pPr>
        <w:spacing w:after="0" w:line="170" w:lineRule="exact"/>
        <w:rPr>
          <w:sz w:val="20"/>
          <w:szCs w:val="20"/>
          <w:color w:val="auto"/>
        </w:rPr>
      </w:pPr>
    </w:p>
    <w:p>
      <w:pPr>
        <w:ind w:left="1500" w:hanging="349"/>
        <w:spacing w:after="0"/>
        <w:tabs>
          <w:tab w:leader="none" w:pos="15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Carryforward losses for tax purposes and other temporary differences:</w:t>
      </w:r>
    </w:p>
    <w:p>
      <w:pPr>
        <w:spacing w:after="0" w:line="225" w:lineRule="exact"/>
        <w:rPr>
          <w:sz w:val="20"/>
          <w:szCs w:val="20"/>
          <w:color w:val="auto"/>
        </w:rPr>
      </w:pPr>
    </w:p>
    <w:p>
      <w:pPr>
        <w:ind w:left="1520" w:right="159"/>
        <w:spacing w:after="0" w:line="277" w:lineRule="auto"/>
        <w:rPr>
          <w:sz w:val="20"/>
          <w:szCs w:val="20"/>
          <w:color w:val="auto"/>
        </w:rPr>
      </w:pPr>
      <w:r>
        <w:rPr>
          <w:rFonts w:ascii="Arial" w:cs="Arial" w:eastAsia="Arial" w:hAnsi="Arial"/>
          <w:sz w:val="18"/>
          <w:szCs w:val="18"/>
          <w:color w:val="auto"/>
        </w:rPr>
        <w:t>Carryforward operating tax losses of the Company’s Israeli subsidiary total approximately $10,624 as of December 31, 2014 and may be used indefinitely.</w:t>
      </w:r>
    </w:p>
    <w:p>
      <w:pPr>
        <w:spacing w:after="0" w:line="170" w:lineRule="exact"/>
        <w:rPr>
          <w:sz w:val="20"/>
          <w:szCs w:val="20"/>
          <w:color w:val="auto"/>
        </w:rPr>
      </w:pPr>
    </w:p>
    <w:p>
      <w:pPr>
        <w:ind w:left="1480" w:hanging="329"/>
        <w:spacing w:after="0"/>
        <w:tabs>
          <w:tab w:leader="none" w:pos="14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199"/>
        </w:trPr>
        <w:tc>
          <w:tcPr>
            <w:tcW w:w="4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398"/>
        </w:trPr>
        <w:tc>
          <w:tcPr>
            <w:tcW w:w="4580" w:type="dxa"/>
            <w:vAlign w:val="bottom"/>
          </w:tcPr>
          <w:p>
            <w:pPr>
              <w:spacing w:after="0"/>
              <w:rPr>
                <w:sz w:val="20"/>
                <w:szCs w:val="20"/>
                <w:color w:val="auto"/>
              </w:rPr>
            </w:pPr>
            <w:r>
              <w:rPr>
                <w:rFonts w:ascii="Arial" w:cs="Arial" w:eastAsia="Arial" w:hAnsi="Arial"/>
                <w:sz w:val="18"/>
                <w:szCs w:val="18"/>
                <w:color w:val="auto"/>
              </w:rPr>
              <w:t>Carryforward tax losses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1,511</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Temporary differences</w:t>
            </w:r>
          </w:p>
        </w:tc>
        <w:tc>
          <w:tcPr>
            <w:tcW w:w="1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1,715</w:t>
            </w:r>
          </w:p>
        </w:tc>
      </w:tr>
      <w:tr>
        <w:trPr>
          <w:trHeight w:val="411"/>
        </w:trPr>
        <w:tc>
          <w:tcPr>
            <w:tcW w:w="458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3,069</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3,064</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(2,934)</w:t>
            </w: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2,741</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22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r>
      <w:tr>
        <w:trPr>
          <w:trHeight w:val="426"/>
        </w:trPr>
        <w:tc>
          <w:tcPr>
            <w:tcW w:w="458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4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1520" w:right="539"/>
        <w:spacing w:after="0" w:line="277" w:lineRule="auto"/>
        <w:rPr>
          <w:sz w:val="20"/>
          <w:szCs w:val="20"/>
          <w:color w:val="auto"/>
        </w:rPr>
      </w:pPr>
      <w:r>
        <w:rPr>
          <w:rFonts w:ascii="Arial" w:cs="Arial" w:eastAsia="Arial" w:hAnsi="Arial"/>
          <w:sz w:val="18"/>
          <w:szCs w:val="18"/>
          <w:color w:val="auto"/>
        </w:rPr>
        <w:t>The net change in the valuation allowance was mainly due to foreign exchange differences and a decrease in tax rate.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47" w:name="page148"/>
    <w:bookmarkEnd w:id="14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497" w:lineRule="auto"/>
        <w:rPr>
          <w:sz w:val="20"/>
          <w:szCs w:val="20"/>
          <w:color w:val="auto"/>
        </w:rPr>
      </w:pPr>
      <w:r>
        <w:rPr>
          <w:rFonts w:ascii="Arial" w:cs="Arial" w:eastAsia="Arial" w:hAnsi="Arial"/>
          <w:sz w:val="18"/>
          <w:szCs w:val="18"/>
          <w:b w:val="1"/>
          <w:bCs w:val="1"/>
          <w:color w:val="auto"/>
        </w:rPr>
        <w:t>NOTES TO CONSOLIDATED FINANCIAL STATEMENTS U.S. dollars in thousands, except share and per share data NOTE 11:- TAXES ON INCOME (Cont.)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-666750</wp:posOffset>
            </wp:positionV>
            <wp:extent cx="5574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b w:val="1"/>
          <w:bCs w:val="1"/>
          <w:color w:val="auto"/>
        </w:rPr>
        <w:t>December 31,</w:t>
      </w:r>
    </w:p>
    <w:p>
      <w:pPr>
        <w:spacing w:after="0" w:line="26"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58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r>
      <w:tr>
        <w:trPr>
          <w:trHeight w:val="398"/>
        </w:trPr>
        <w:tc>
          <w:tcPr>
            <w:tcW w:w="666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6660" w:type="dxa"/>
            <w:vAlign w:val="bottom"/>
            <w:gridSpan w:val="2"/>
          </w:tcPr>
          <w:p>
            <w:pPr>
              <w:ind w:left="220"/>
              <w:spacing w:after="0"/>
              <w:rPr>
                <w:sz w:val="20"/>
                <w:szCs w:val="20"/>
                <w:color w:val="auto"/>
              </w:rPr>
            </w:pPr>
            <w:r>
              <w:rPr>
                <w:rFonts w:ascii="Arial" w:cs="Arial" w:eastAsia="Arial" w:hAnsi="Arial"/>
                <w:sz w:val="18"/>
                <w:szCs w:val="18"/>
                <w:color w:val="auto"/>
              </w:rPr>
              <w:t>Current deferred tax asset net</w:t>
            </w:r>
          </w:p>
        </w:tc>
        <w:tc>
          <w:tcPr>
            <w:tcW w:w="38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c>
          <w:tcPr>
            <w:tcW w:w="40" w:type="dxa"/>
            <w:vAlign w:val="bottom"/>
          </w:tcPr>
          <w:p>
            <w:pPr>
              <w:spacing w:after="0"/>
              <w:rPr>
                <w:sz w:val="18"/>
                <w:szCs w:val="18"/>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Non-current deferred tax liability net</w:t>
            </w:r>
          </w:p>
        </w:tc>
        <w:tc>
          <w:tcPr>
            <w:tcW w:w="86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(122)</w:t>
            </w:r>
          </w:p>
        </w:tc>
      </w:tr>
      <w:tr>
        <w:trPr>
          <w:trHeight w:val="20"/>
        </w:trPr>
        <w:tc>
          <w:tcPr>
            <w:tcW w:w="5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66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40" w:type="dxa"/>
            <w:vAlign w:val="bottom"/>
          </w:tcPr>
          <w:p>
            <w:pPr>
              <w:spacing w:after="0"/>
              <w:rPr>
                <w:sz w:val="24"/>
                <w:szCs w:val="24"/>
                <w:color w:val="auto"/>
              </w:rPr>
            </w:pPr>
          </w:p>
        </w:tc>
      </w:tr>
      <w:tr>
        <w:trPr>
          <w:trHeight w:val="20"/>
        </w:trPr>
        <w:tc>
          <w:tcPr>
            <w:tcW w:w="5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Current deferred tax asset is included within other current assets and prepaid expenses in the balance sheets.</w:t>
      </w:r>
    </w:p>
    <w:p>
      <w:pPr>
        <w:spacing w:after="0" w:line="130" w:lineRule="exact"/>
        <w:rPr>
          <w:sz w:val="20"/>
          <w:szCs w:val="20"/>
          <w:color w:val="auto"/>
        </w:rPr>
      </w:pPr>
    </w:p>
    <w:p>
      <w:pPr>
        <w:ind w:left="1480" w:hanging="329"/>
        <w:spacing w:after="0"/>
        <w:tabs>
          <w:tab w:leader="none" w:pos="14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2720" w:type="dxa"/>
            <w:vAlign w:val="bottom"/>
            <w:gridSpan w:val="2"/>
          </w:tcPr>
          <w:p>
            <w:pPr>
              <w:spacing w:after="0"/>
              <w:rPr>
                <w:sz w:val="20"/>
                <w:szCs w:val="20"/>
                <w:color w:val="auto"/>
              </w:rPr>
            </w:pPr>
            <w:r>
              <w:rPr>
                <w:rFonts w:ascii="Arial" w:cs="Arial" w:eastAsia="Arial" w:hAnsi="Arial"/>
                <w:sz w:val="18"/>
                <w:szCs w:val="18"/>
                <w:color w:val="auto"/>
              </w:rPr>
              <w:t>Current taxes</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1,255</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1,435</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7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tcPr>
          <w:p>
            <w:pPr>
              <w:spacing w:after="0"/>
              <w:rPr>
                <w:sz w:val="20"/>
                <w:szCs w:val="20"/>
                <w:color w:val="auto"/>
              </w:rPr>
            </w:pPr>
            <w:r>
              <w:rPr>
                <w:rFonts w:ascii="Arial" w:cs="Arial" w:eastAsia="Arial" w:hAnsi="Arial"/>
                <w:sz w:val="18"/>
                <w:szCs w:val="18"/>
                <w:color w:val="auto"/>
              </w:rPr>
              <w:t>Domestic taxes:</w:t>
            </w: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720" w:type="dxa"/>
            <w:vAlign w:val="bottom"/>
            <w:gridSpan w:val="2"/>
          </w:tcPr>
          <w:p>
            <w:pPr>
              <w:spacing w:after="0"/>
              <w:rPr>
                <w:sz w:val="20"/>
                <w:szCs w:val="20"/>
                <w:color w:val="auto"/>
              </w:rPr>
            </w:pPr>
            <w:r>
              <w:rPr>
                <w:rFonts w:ascii="Arial" w:cs="Arial" w:eastAsia="Arial" w:hAnsi="Arial"/>
                <w:sz w:val="18"/>
                <w:szCs w:val="18"/>
                <w:color w:val="auto"/>
              </w:rPr>
              <w:t>Current taxes</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720" w:type="dxa"/>
            <w:vAlign w:val="bottom"/>
            <w:gridSpan w:val="2"/>
            <w:vMerge w:val="restart"/>
          </w:tcPr>
          <w:p>
            <w:pPr>
              <w:spacing w:after="0"/>
              <w:rPr>
                <w:sz w:val="20"/>
                <w:szCs w:val="20"/>
                <w:color w:val="auto"/>
              </w:rPr>
            </w:pPr>
            <w:r>
              <w:rPr>
                <w:rFonts w:ascii="Arial" w:cs="Arial" w:eastAsia="Arial" w:hAnsi="Arial"/>
                <w:sz w:val="18"/>
                <w:szCs w:val="18"/>
                <w:color w:val="auto"/>
              </w:rPr>
              <w:t>Foreign taxes:</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720" w:type="dxa"/>
            <w:vAlign w:val="bottom"/>
            <w:gridSpan w:val="2"/>
            <w:vMerge w:val="continue"/>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720" w:type="dxa"/>
            <w:vAlign w:val="bottom"/>
            <w:gridSpan w:val="2"/>
          </w:tcPr>
          <w:p>
            <w:pPr>
              <w:spacing w:after="0"/>
              <w:rPr>
                <w:sz w:val="20"/>
                <w:szCs w:val="20"/>
                <w:color w:val="auto"/>
              </w:rPr>
            </w:pPr>
            <w:r>
              <w:rPr>
                <w:rFonts w:ascii="Arial" w:cs="Arial" w:eastAsia="Arial" w:hAnsi="Arial"/>
                <w:sz w:val="18"/>
                <w:szCs w:val="18"/>
                <w:color w:val="auto"/>
              </w:rPr>
              <w:t>Current taxes</w:t>
            </w: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Deferred taxes</w:t>
            </w:r>
          </w:p>
        </w:tc>
        <w:tc>
          <w:tcPr>
            <w:tcW w:w="1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72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88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F-27</w:t>
            </w:r>
          </w:p>
        </w:tc>
        <w:tc>
          <w:tcPr>
            <w:tcW w:w="8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97" w:right="1440" w:bottom="1440" w:gutter="0" w:footer="0" w:header="0"/>
        </w:sectPr>
      </w:pPr>
    </w:p>
    <w:bookmarkStart w:id="148" w:name="page149"/>
    <w:bookmarkEnd w:id="14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hanging="369"/>
        <w:spacing w:after="0"/>
        <w:tabs>
          <w:tab w:leader="none" w:pos="1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198"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6"/>
          <w:szCs w:val="16"/>
          <w:color w:val="auto"/>
        </w:rPr>
        <w:t>A reconciliation of the beginning and ending amount of gross unrecognized tax benefits is as follows: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gridSpan w:val="3"/>
          </w:tcPr>
          <w:p>
            <w:pPr>
              <w:jc w:val="right"/>
              <w:ind w:right="85"/>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17"/>
                <w:szCs w:val="17"/>
                <w:color w:val="auto"/>
              </w:rPr>
            </w:pPr>
          </w:p>
        </w:tc>
      </w:tr>
      <w:tr>
        <w:trPr>
          <w:trHeight w:val="210"/>
        </w:trPr>
        <w:tc>
          <w:tcPr>
            <w:tcW w:w="4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02"/>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r>
      <w:tr>
        <w:trPr>
          <w:trHeight w:val="398"/>
        </w:trPr>
        <w:tc>
          <w:tcPr>
            <w:tcW w:w="4320" w:type="dxa"/>
            <w:vAlign w:val="bottom"/>
          </w:tcPr>
          <w:p>
            <w:pPr>
              <w:spacing w:after="0"/>
              <w:rPr>
                <w:sz w:val="20"/>
                <w:szCs w:val="20"/>
                <w:color w:val="auto"/>
              </w:rPr>
            </w:pPr>
            <w:r>
              <w:rPr>
                <w:rFonts w:ascii="Arial" w:cs="Arial" w:eastAsia="Arial" w:hAnsi="Arial"/>
                <w:sz w:val="18"/>
                <w:szCs w:val="18"/>
                <w:color w:val="auto"/>
              </w:rPr>
              <w:t>Beginning of year</w:t>
            </w:r>
          </w:p>
        </w:tc>
        <w:tc>
          <w:tcPr>
            <w:tcW w:w="22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Additions for current year tax positions</w:t>
            </w:r>
          </w:p>
        </w:tc>
        <w:tc>
          <w:tcPr>
            <w:tcW w:w="14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426"/>
        </w:trPr>
        <w:tc>
          <w:tcPr>
            <w:tcW w:w="432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28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1,075</w:t>
            </w:r>
          </w:p>
        </w:tc>
        <w:tc>
          <w:tcPr>
            <w:tcW w:w="340" w:type="dxa"/>
            <w:vAlign w:val="bottom"/>
          </w:tcPr>
          <w:p>
            <w:pPr>
              <w:spacing w:after="0"/>
              <w:rPr>
                <w:sz w:val="24"/>
                <w:szCs w:val="24"/>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520" w:right="799"/>
        <w:spacing w:after="0" w:line="277" w:lineRule="auto"/>
        <w:rPr>
          <w:sz w:val="20"/>
          <w:szCs w:val="20"/>
          <w:color w:val="auto"/>
        </w:rPr>
      </w:pPr>
      <w:r>
        <w:rPr>
          <w:rFonts w:ascii="Arial" w:cs="Arial" w:eastAsia="Arial" w:hAnsi="Arial"/>
          <w:sz w:val="18"/>
          <w:szCs w:val="18"/>
          <w:color w:val="auto"/>
        </w:rPr>
        <w:t>As of December 31, 2014, the entire amount of the unrecognized tax benefits could affect the Company’s income tax provision and the effective tax rate.</w:t>
      </w:r>
    </w:p>
    <w:p>
      <w:pPr>
        <w:spacing w:after="0" w:line="170" w:lineRule="exact"/>
        <w:rPr>
          <w:sz w:val="20"/>
          <w:szCs w:val="20"/>
          <w:color w:val="auto"/>
        </w:rPr>
      </w:pPr>
    </w:p>
    <w:p>
      <w:pPr>
        <w:ind w:left="1520" w:right="299"/>
        <w:spacing w:after="0" w:line="255" w:lineRule="auto"/>
        <w:rPr>
          <w:sz w:val="20"/>
          <w:szCs w:val="20"/>
          <w:color w:val="auto"/>
        </w:rPr>
      </w:pPr>
      <w:r>
        <w:rPr>
          <w:rFonts w:ascii="Arial" w:cs="Arial" w:eastAsia="Arial" w:hAnsi="Arial"/>
          <w:sz w:val="18"/>
          <w:szCs w:val="18"/>
          <w:color w:val="auto"/>
        </w:rPr>
        <w:t>During the years ended December 31, 2012, 2013 and 2014, an amount of $0, $75 and $(79), respectively, was added to the unrecognized tax benefits derived from interest and exchange rate differences expenses related to prior years' uncertain tax positions. As of December 31, 2013 and 2014, the Company had accrued interest liability related to uncertain tax positions in the amounts of $33 and $82 respectively, which is included within other payables and accrued expenses income tax accrual on the balance sheets.</w:t>
      </w:r>
    </w:p>
    <w:p>
      <w:pPr>
        <w:spacing w:after="0" w:line="153" w:lineRule="exact"/>
        <w:rPr>
          <w:sz w:val="20"/>
          <w:szCs w:val="20"/>
          <w:color w:val="auto"/>
        </w:rPr>
      </w:pPr>
    </w:p>
    <w:p>
      <w:pPr>
        <w:ind w:left="1520" w:right="219"/>
        <w:spacing w:after="0" w:line="277" w:lineRule="auto"/>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143"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49" w:name="page150"/>
    <w:bookmarkEnd w:id="14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79" w:hanging="369"/>
        <w:spacing w:after="0" w:line="264" w:lineRule="auto"/>
        <w:tabs>
          <w:tab w:leader="none" w:pos="150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6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0"/>
              </w:rPr>
              <w:t>Year ended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0"/>
              </w:rPr>
              <w:t>December 31,</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120" w:type="dxa"/>
            <w:vAlign w:val="bottom"/>
          </w:tcPr>
          <w:p>
            <w:pPr>
              <w:spacing w:after="0"/>
              <w:rPr>
                <w:sz w:val="20"/>
                <w:szCs w:val="20"/>
                <w:color w:val="auto"/>
              </w:rPr>
            </w:pPr>
            <w:r>
              <w:rPr>
                <w:rFonts w:ascii="Arial" w:cs="Arial" w:eastAsia="Arial" w:hAnsi="Arial"/>
                <w:sz w:val="18"/>
                <w:szCs w:val="18"/>
                <w:color w:val="auto"/>
                <w:w w:val="97"/>
              </w:rPr>
              <w:t>Income before taxes, as reported in the consolidated</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3,542</w:t>
            </w:r>
          </w:p>
        </w:tc>
        <w:tc>
          <w:tcPr>
            <w:tcW w:w="200" w:type="dxa"/>
            <w:vAlign w:val="bottom"/>
          </w:tcPr>
          <w:p>
            <w:pPr>
              <w:spacing w:after="0"/>
              <w:rPr>
                <w:sz w:val="24"/>
                <w:szCs w:val="24"/>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2,527</w:t>
            </w:r>
          </w:p>
        </w:tc>
        <w:tc>
          <w:tcPr>
            <w:tcW w:w="200" w:type="dxa"/>
            <w:vAlign w:val="bottom"/>
          </w:tcPr>
          <w:p>
            <w:pPr>
              <w:spacing w:after="0"/>
              <w:rPr>
                <w:sz w:val="24"/>
                <w:szCs w:val="24"/>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220"/>
              <w:spacing w:after="0"/>
              <w:rPr>
                <w:sz w:val="20"/>
                <w:szCs w:val="20"/>
                <w:color w:val="auto"/>
              </w:rPr>
            </w:pPr>
            <w:r>
              <w:rPr>
                <w:rFonts w:ascii="Arial" w:cs="Arial" w:eastAsia="Arial" w:hAnsi="Arial"/>
                <w:sz w:val="18"/>
                <w:szCs w:val="18"/>
                <w:color w:val="auto"/>
              </w:rPr>
              <w:t>statements of income</w:t>
            </w:r>
          </w:p>
        </w:tc>
        <w:tc>
          <w:tcPr>
            <w:tcW w:w="3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w w:val="98"/>
              </w:rPr>
              <w:t>Theoretical tax expense on the above amount at the</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Israeli statutory tax rate</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2"/>
              </w:rPr>
              <w:t>Tax adjustment in respect of different tax rate of foreign</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subsidiaries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87"/>
              </w:rPr>
              <w:t>Non-deductible expenses and other permanent differences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Deferred taxes on losses and other temporary</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differences for which valuation allowance was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provided, net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5"/>
              </w:rPr>
              <w:t>Stock compensation relating to stock options per ASC</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220"/>
              <w:spacing w:after="0"/>
              <w:rPr>
                <w:sz w:val="20"/>
                <w:szCs w:val="20"/>
                <w:color w:val="auto"/>
              </w:rPr>
            </w:pPr>
            <w:r>
              <w:rPr>
                <w:rFonts w:ascii="Arial" w:cs="Arial" w:eastAsia="Arial" w:hAnsi="Arial"/>
                <w:sz w:val="18"/>
                <w:szCs w:val="18"/>
                <w:color w:val="auto"/>
              </w:rPr>
              <w:t>No. 718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Beneficiary enterprise benefits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(1,157)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Change in tax rate</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(1,120</w:t>
            </w:r>
            <w:r>
              <w:rPr>
                <w:rFonts w:ascii="Arial" w:cs="Arial" w:eastAsia="Arial" w:hAnsi="Arial"/>
                <w:sz w:val="21"/>
                <w:szCs w:val="21"/>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Foreign exchange differences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4120" w:type="dxa"/>
            <w:vAlign w:val="bottom"/>
          </w:tcPr>
          <w:p>
            <w:pPr>
              <w:spacing w:after="0"/>
              <w:rPr>
                <w:sz w:val="20"/>
                <w:szCs w:val="20"/>
                <w:color w:val="auto"/>
              </w:rPr>
            </w:pPr>
            <w:r>
              <w:rPr>
                <w:rFonts w:ascii="Arial" w:cs="Arial" w:eastAsia="Arial" w:hAnsi="Arial"/>
                <w:sz w:val="18"/>
                <w:szCs w:val="18"/>
                <w:color w:val="auto"/>
              </w:rPr>
              <w:t>Actual tax expense</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1,393</w:t>
            </w:r>
          </w:p>
        </w:tc>
        <w:tc>
          <w:tcPr>
            <w:tcW w:w="200" w:type="dxa"/>
            <w:vAlign w:val="bottom"/>
          </w:tcPr>
          <w:p>
            <w:pPr>
              <w:spacing w:after="0"/>
              <w:rPr>
                <w:sz w:val="24"/>
                <w:szCs w:val="24"/>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w w:val="99"/>
              </w:rPr>
              <w:t>(*)  Basic earnings per share amounts of the benefit</w:t>
            </w: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20"/>
              <w:spacing w:after="0"/>
              <w:rPr>
                <w:sz w:val="20"/>
                <w:szCs w:val="20"/>
                <w:color w:val="auto"/>
              </w:rPr>
            </w:pPr>
            <w:r>
              <w:rPr>
                <w:rFonts w:ascii="Arial" w:cs="Arial" w:eastAsia="Arial" w:hAnsi="Arial"/>
                <w:sz w:val="18"/>
                <w:szCs w:val="18"/>
                <w:color w:val="auto"/>
                <w:w w:val="98"/>
              </w:rPr>
              <w:t>resulting from the “Beneficiary Enterprise” status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ind w:left="320"/>
              <w:spacing w:after="0"/>
              <w:rPr>
                <w:sz w:val="20"/>
                <w:szCs w:val="20"/>
                <w:color w:val="auto"/>
              </w:rPr>
            </w:pPr>
            <w:r>
              <w:rPr>
                <w:rFonts w:ascii="Arial" w:cs="Arial" w:eastAsia="Arial" w:hAnsi="Arial"/>
                <w:sz w:val="18"/>
                <w:szCs w:val="18"/>
                <w:color w:val="auto"/>
                <w:w w:val="95"/>
              </w:rPr>
              <w:t>Diluted earnings per share amounts of the benefit</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120" w:type="dxa"/>
            <w:vAlign w:val="bottom"/>
          </w:tcPr>
          <w:p>
            <w:pPr>
              <w:ind w:left="320"/>
              <w:spacing w:after="0"/>
              <w:rPr>
                <w:sz w:val="20"/>
                <w:szCs w:val="20"/>
                <w:color w:val="auto"/>
              </w:rPr>
            </w:pPr>
            <w:r>
              <w:rPr>
                <w:rFonts w:ascii="Arial" w:cs="Arial" w:eastAsia="Arial" w:hAnsi="Arial"/>
                <w:sz w:val="18"/>
                <w:szCs w:val="18"/>
                <w:color w:val="auto"/>
                <w:w w:val="98"/>
              </w:rPr>
              <w:t>resulting from the “Beneficiary Enterprise” status</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139" w:hanging="369"/>
        <w:spacing w:after="0" w:line="272" w:lineRule="auto"/>
        <w:tabs>
          <w:tab w:leader="none" w:pos="151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Results for tax purposes are measured under measurement of results for tax purposes under the Income Tax (Inflationary Adjustments) Law, 1985, in terms of earnings in NIS. As explained in Note 2b, the financial statements are measured in U.S. dollars. The difference between the annual change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w:t>
      </w:r>
    </w:p>
    <w:p>
      <w:pPr>
        <w:spacing w:after="0" w:line="151" w:lineRule="exact"/>
        <w:rPr>
          <w:sz w:val="20"/>
          <w:szCs w:val="20"/>
          <w:color w:val="auto"/>
        </w:rPr>
      </w:pPr>
    </w:p>
    <w:p>
      <w:pPr>
        <w:ind w:left="1520" w:hanging="369"/>
        <w:spacing w:after="0"/>
        <w:tabs>
          <w:tab w:leader="none" w:pos="15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Income before income taxes is comprised as follows:</w:t>
      </w:r>
    </w:p>
    <w:p>
      <w:pPr>
        <w:spacing w:after="0" w:line="1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4"/>
              <w:spacing w:after="0"/>
              <w:rPr>
                <w:sz w:val="20"/>
                <w:szCs w:val="20"/>
                <w:color w:val="auto"/>
              </w:rPr>
            </w:pPr>
            <w:r>
              <w:rPr>
                <w:rFonts w:ascii="Arial" w:cs="Arial" w:eastAsia="Arial" w:hAnsi="Arial"/>
                <w:sz w:val="16"/>
                <w:szCs w:val="16"/>
                <w:b w:val="1"/>
                <w:bCs w:val="1"/>
                <w:color w:val="auto"/>
                <w:w w:val="90"/>
              </w:rPr>
              <w:t>Year ended</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4"/>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398"/>
        </w:trPr>
        <w:tc>
          <w:tcPr>
            <w:tcW w:w="3120" w:type="dxa"/>
            <w:vAlign w:val="bottom"/>
            <w:gridSpan w:val="2"/>
          </w:tcPr>
          <w:p>
            <w:pPr>
              <w:spacing w:after="0"/>
              <w:rPr>
                <w:sz w:val="20"/>
                <w:szCs w:val="20"/>
                <w:color w:val="auto"/>
              </w:rPr>
            </w:pPr>
            <w:r>
              <w:rPr>
                <w:rFonts w:ascii="Arial" w:cs="Arial" w:eastAsia="Arial" w:hAnsi="Arial"/>
                <w:sz w:val="18"/>
                <w:szCs w:val="18"/>
                <w:color w:val="auto"/>
              </w:rPr>
              <w:t>Domestic</w:t>
            </w:r>
          </w:p>
        </w:tc>
        <w:tc>
          <w:tcPr>
            <w:tcW w:w="1900" w:type="dxa"/>
            <w:vAlign w:val="bottom"/>
            <w:gridSpan w:val="2"/>
          </w:tcPr>
          <w:p>
            <w:pPr>
              <w:jc w:val="right"/>
              <w:ind w:right="64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3,290</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1,532</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2,212</w:t>
            </w:r>
          </w:p>
        </w:tc>
        <w:tc>
          <w:tcPr>
            <w:tcW w:w="160" w:type="dxa"/>
            <w:vAlign w:val="bottom"/>
          </w:tcPr>
          <w:p>
            <w:pPr>
              <w:spacing w:after="0"/>
              <w:rPr>
                <w:sz w:val="24"/>
                <w:szCs w:val="24"/>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11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w:t>
            </w: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w:t>
            </w:r>
          </w:p>
        </w:tc>
        <w:tc>
          <w:tcPr>
            <w:tcW w:w="160" w:type="dxa"/>
            <w:vAlign w:val="bottom"/>
          </w:tcPr>
          <w:p>
            <w:pPr>
              <w:spacing w:after="0"/>
              <w:rPr>
                <w:sz w:val="20"/>
                <w:szCs w:val="20"/>
                <w:color w:val="auto"/>
              </w:rPr>
            </w:pPr>
          </w:p>
        </w:tc>
      </w:tr>
      <w:tr>
        <w:trPr>
          <w:trHeight w:val="426"/>
        </w:trPr>
        <w:tc>
          <w:tcPr>
            <w:tcW w:w="31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900" w:type="dxa"/>
            <w:vAlign w:val="bottom"/>
            <w:gridSpan w:val="2"/>
          </w:tcPr>
          <w:p>
            <w:pPr>
              <w:jc w:val="right"/>
              <w:ind w:right="643"/>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3,542</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2,527</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3,805</w:t>
            </w:r>
          </w:p>
        </w:tc>
        <w:tc>
          <w:tcPr>
            <w:tcW w:w="1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color w:val="auto"/>
              </w:rPr>
              <w:t>F-29</w:t>
            </w: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r>
    </w:tbl>
    <w:p>
      <w:pPr>
        <w:sectPr>
          <w:pgSz w:w="11900" w:h="16838" w:orient="portrait"/>
          <w:cols w:equalWidth="0" w:num="1">
            <w:col w:w="9019"/>
          </w:cols>
          <w:pgMar w:left="1440" w:top="297" w:right="1440" w:bottom="1440" w:gutter="0" w:footer="0" w:header="0"/>
        </w:sectPr>
      </w:pPr>
    </w:p>
    <w:bookmarkStart w:id="150" w:name="page151"/>
    <w:bookmarkEnd w:id="15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GEOGRAPHIC INFOROMATION</w:t>
      </w:r>
    </w:p>
    <w:p>
      <w:pPr>
        <w:spacing w:after="0" w:line="121" w:lineRule="exact"/>
        <w:rPr>
          <w:sz w:val="20"/>
          <w:szCs w:val="20"/>
          <w:color w:val="auto"/>
        </w:rPr>
      </w:pPr>
    </w:p>
    <w:p>
      <w:pPr>
        <w:ind w:left="1500" w:hanging="349"/>
        <w:spacing w:after="0"/>
        <w:tabs>
          <w:tab w:leader="none" w:pos="15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Summary information about geographic areas:</w:t>
      </w:r>
    </w:p>
    <w:p>
      <w:pPr>
        <w:spacing w:after="0" w:line="117" w:lineRule="exact"/>
        <w:rPr>
          <w:sz w:val="20"/>
          <w:szCs w:val="20"/>
          <w:color w:val="auto"/>
        </w:rPr>
      </w:pPr>
    </w:p>
    <w:p>
      <w:pPr>
        <w:ind w:left="1520" w:right="319"/>
        <w:spacing w:after="0" w:line="264" w:lineRule="auto"/>
        <w:rPr>
          <w:sz w:val="20"/>
          <w:szCs w:val="20"/>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54" w:lineRule="exact"/>
        <w:rPr>
          <w:sz w:val="20"/>
          <w:szCs w:val="20"/>
          <w:color w:val="auto"/>
        </w:rPr>
      </w:pPr>
    </w:p>
    <w:p>
      <w:pPr>
        <w:ind w:left="1520" w:right="339"/>
        <w:spacing w:after="0" w:line="277" w:lineRule="auto"/>
        <w:rPr>
          <w:sz w:val="20"/>
          <w:szCs w:val="20"/>
          <w:color w:val="auto"/>
        </w:rPr>
      </w:pPr>
      <w:r>
        <w:rPr>
          <w:rFonts w:ascii="Arial" w:cs="Arial" w:eastAsia="Arial" w:hAnsi="Arial"/>
          <w:sz w:val="18"/>
          <w:szCs w:val="18"/>
          <w:color w:val="auto"/>
        </w:rPr>
        <w:t>The following table presents total revenues for the years ended December 31, 2012, 2013 and 2014 and long-lived assets as of December 31, 2013 and 2014:</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3"/>
        </w:trPr>
        <w:tc>
          <w:tcPr>
            <w:tcW w:w="3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199"/>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412"/>
        </w:trPr>
        <w:tc>
          <w:tcPr>
            <w:tcW w:w="3740" w:type="dxa"/>
            <w:vAlign w:val="bottom"/>
          </w:tcPr>
          <w:p>
            <w:pPr>
              <w:spacing w:after="0"/>
              <w:rPr>
                <w:sz w:val="20"/>
                <w:szCs w:val="20"/>
                <w:color w:val="auto"/>
              </w:rPr>
            </w:pPr>
            <w:r>
              <w:rPr>
                <w:rFonts w:ascii="Arial" w:cs="Arial" w:eastAsia="Arial" w:hAnsi="Arial"/>
                <w:sz w:val="18"/>
                <w:szCs w:val="18"/>
                <w:color w:val="auto"/>
              </w:rPr>
              <w:t>Revenues from sales to customers located at:</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8"/>
        </w:trPr>
        <w:tc>
          <w:tcPr>
            <w:tcW w:w="37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16,886</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22,022</w:t>
            </w:r>
          </w:p>
        </w:tc>
        <w:tc>
          <w:tcPr>
            <w:tcW w:w="340" w:type="dxa"/>
            <w:vAlign w:val="bottom"/>
          </w:tcPr>
          <w:p>
            <w:pPr>
              <w:spacing w:after="0"/>
              <w:rPr>
                <w:sz w:val="24"/>
                <w:szCs w:val="2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33,188</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America (non-U.S.)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3,564</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EMEA</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14,311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18,004</w:t>
            </w: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Asia Pacific – other</w:t>
            </w:r>
          </w:p>
        </w:tc>
        <w:tc>
          <w:tcPr>
            <w:tcW w:w="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11,608</w:t>
            </w:r>
          </w:p>
        </w:tc>
      </w:tr>
      <w:tr>
        <w:trPr>
          <w:trHeight w:val="426"/>
        </w:trPr>
        <w:tc>
          <w:tcPr>
            <w:tcW w:w="37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39,167</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49,395</w:t>
            </w:r>
          </w:p>
        </w:tc>
        <w:tc>
          <w:tcPr>
            <w:tcW w:w="340" w:type="dxa"/>
            <w:vAlign w:val="bottom"/>
          </w:tcPr>
          <w:p>
            <w:pPr>
              <w:spacing w:after="0"/>
              <w:rPr>
                <w:sz w:val="24"/>
                <w:szCs w:val="2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66,364</w:t>
            </w:r>
          </w:p>
        </w:tc>
      </w:tr>
      <w:tr>
        <w:trPr>
          <w:trHeight w:val="20"/>
        </w:trPr>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83"/>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199"/>
        </w:trPr>
        <w:tc>
          <w:tcPr>
            <w:tcW w:w="3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r>
      <w:tr>
        <w:trPr>
          <w:trHeight w:val="412"/>
        </w:trPr>
        <w:tc>
          <w:tcPr>
            <w:tcW w:w="3740" w:type="dxa"/>
            <w:vAlign w:val="bottom"/>
          </w:tcPr>
          <w:p>
            <w:pPr>
              <w:spacing w:after="0"/>
              <w:rPr>
                <w:sz w:val="20"/>
                <w:szCs w:val="20"/>
                <w:color w:val="auto"/>
              </w:rPr>
            </w:pPr>
            <w:r>
              <w:rPr>
                <w:rFonts w:ascii="Arial" w:cs="Arial" w:eastAsia="Arial" w:hAnsi="Arial"/>
                <w:sz w:val="18"/>
                <w:szCs w:val="18"/>
                <w:color w:val="auto"/>
              </w:rPr>
              <w:t>Long-lived assets, by geographic region:</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8"/>
        </w:trPr>
        <w:tc>
          <w:tcPr>
            <w:tcW w:w="37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217</w:t>
            </w:r>
          </w:p>
        </w:tc>
        <w:tc>
          <w:tcPr>
            <w:tcW w:w="340" w:type="dxa"/>
            <w:vAlign w:val="bottom"/>
          </w:tcPr>
          <w:p>
            <w:pPr>
              <w:spacing w:after="0"/>
              <w:rPr>
                <w:sz w:val="24"/>
                <w:szCs w:val="2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Israel</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2,181</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16"/>
        </w:trPr>
        <w:tc>
          <w:tcPr>
            <w:tcW w:w="3740" w:type="dxa"/>
            <w:vAlign w:val="bottom"/>
          </w:tcPr>
          <w:p>
            <w:pPr>
              <w:ind w:left="220"/>
              <w:spacing w:after="0"/>
              <w:rPr>
                <w:sz w:val="20"/>
                <w:szCs w:val="20"/>
                <w:color w:val="auto"/>
              </w:rPr>
            </w:pPr>
            <w:r>
              <w:rPr>
                <w:rFonts w:ascii="Arial" w:cs="Arial" w:eastAsia="Arial" w:hAnsi="Arial"/>
                <w:sz w:val="18"/>
                <w:szCs w:val="18"/>
                <w:color w:val="auto"/>
              </w:rPr>
              <w:t>EMEA</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30"/>
        </w:trPr>
        <w:tc>
          <w:tcPr>
            <w:tcW w:w="3740" w:type="dxa"/>
            <w:vAlign w:val="bottom"/>
          </w:tcPr>
          <w:p>
            <w:pPr>
              <w:ind w:left="220"/>
              <w:spacing w:after="0"/>
              <w:rPr>
                <w:sz w:val="20"/>
                <w:szCs w:val="20"/>
                <w:color w:val="auto"/>
              </w:rPr>
            </w:pPr>
            <w:r>
              <w:rPr>
                <w:rFonts w:ascii="Arial" w:cs="Arial" w:eastAsia="Arial" w:hAnsi="Arial"/>
                <w:sz w:val="18"/>
                <w:szCs w:val="18"/>
                <w:color w:val="auto"/>
              </w:rPr>
              <w:t>Asia Pacific</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r>
      <w:tr>
        <w:trPr>
          <w:trHeight w:val="426"/>
        </w:trPr>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24"/>
                <w:szCs w:val="24"/>
                <w:color w:val="auto"/>
              </w:rPr>
            </w:pPr>
          </w:p>
        </w:tc>
        <w:tc>
          <w:tcPr>
            <w:tcW w:w="380" w:type="dxa"/>
            <w:vAlign w:val="bottom"/>
            <w:gridSpan w:val="2"/>
          </w:tcPr>
          <w:p>
            <w:pPr>
              <w:jc w:val="right"/>
              <w:ind w:right="30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3,660</w:t>
            </w:r>
          </w:p>
        </w:tc>
      </w:tr>
      <w:tr>
        <w:trPr>
          <w:trHeight w:val="20"/>
        </w:trPr>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1480" w:hanging="329"/>
        <w:spacing w:after="0"/>
        <w:tabs>
          <w:tab w:leader="none" w:pos="14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Major Distributors data as a percentage of total revenues:</w:t>
      </w:r>
    </w:p>
    <w:p>
      <w:pPr>
        <w:spacing w:after="0" w:line="225"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71" w:lineRule="exact"/>
        <w:rPr>
          <w:sz w:val="20"/>
          <w:szCs w:val="20"/>
          <w:color w:val="auto"/>
        </w:rPr>
      </w:pPr>
    </w:p>
    <w:p>
      <w:pPr>
        <w:ind w:left="614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6"/>
          <w:szCs w:val="16"/>
          <w:b w:val="1"/>
          <w:bCs w:val="1"/>
          <w:color w:val="auto"/>
        </w:rPr>
        <w:t>December 31,</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02"/>
        </w:trPr>
        <w:tc>
          <w:tcPr>
            <w:tcW w:w="4240" w:type="dxa"/>
            <w:vAlign w:val="bottom"/>
            <w:gridSpan w:val="2"/>
          </w:tcPr>
          <w:p>
            <w:pPr>
              <w:spacing w:after="0"/>
              <w:rPr>
                <w:sz w:val="17"/>
                <w:szCs w:val="17"/>
                <w:color w:val="auto"/>
              </w:rPr>
            </w:pP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7"/>
                <w:szCs w:val="17"/>
                <w:color w:val="auto"/>
              </w:rPr>
            </w:pPr>
          </w:p>
        </w:tc>
      </w:tr>
      <w:tr>
        <w:trPr>
          <w:trHeight w:val="398"/>
        </w:trPr>
        <w:tc>
          <w:tcPr>
            <w:tcW w:w="5140" w:type="dxa"/>
            <w:vAlign w:val="bottom"/>
            <w:gridSpan w:val="3"/>
          </w:tcPr>
          <w:p>
            <w:pPr>
              <w:spacing w:after="0"/>
              <w:rPr>
                <w:sz w:val="20"/>
                <w:szCs w:val="20"/>
                <w:color w:val="auto"/>
              </w:rPr>
            </w:pPr>
            <w:r>
              <w:rPr>
                <w:rFonts w:ascii="Arial" w:cs="Arial" w:eastAsia="Arial" w:hAnsi="Arial"/>
                <w:sz w:val="18"/>
                <w:szCs w:val="18"/>
                <w:color w:val="auto"/>
              </w:rPr>
              <w:t>Customer A</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140" w:type="dxa"/>
            <w:vAlign w:val="bottom"/>
            <w:gridSpan w:val="3"/>
          </w:tcPr>
          <w:p>
            <w:pPr>
              <w:spacing w:after="0"/>
              <w:rPr>
                <w:sz w:val="20"/>
                <w:szCs w:val="20"/>
                <w:color w:val="auto"/>
              </w:rPr>
            </w:pPr>
            <w:r>
              <w:rPr>
                <w:rFonts w:ascii="Arial" w:cs="Arial" w:eastAsia="Arial" w:hAnsi="Arial"/>
                <w:sz w:val="18"/>
                <w:szCs w:val="18"/>
                <w:color w:val="auto"/>
              </w:rPr>
              <w:t>Customer B</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84"/>
        </w:trPr>
        <w:tc>
          <w:tcPr>
            <w:tcW w:w="20" w:type="dxa"/>
            <w:vAlign w:val="bottom"/>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color w:val="auto"/>
                <w:w w:val="97"/>
              </w:rPr>
              <w:t>F-30</w:t>
            </w: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97" w:right="1440" w:bottom="1440" w:gutter="0" w:footer="0" w:header="0"/>
        </w:sectPr>
      </w:pPr>
    </w:p>
    <w:bookmarkStart w:id="151" w:name="page152"/>
    <w:bookmarkEnd w:id="15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SELECTED STATEMENTS OF INCOME DATA</w:t>
      </w:r>
    </w:p>
    <w:p>
      <w:pPr>
        <w:spacing w:after="0" w:line="229" w:lineRule="exact"/>
        <w:rPr>
          <w:sz w:val="20"/>
          <w:szCs w:val="20"/>
          <w:color w:val="auto"/>
        </w:rPr>
      </w:pPr>
    </w:p>
    <w:p>
      <w:pPr>
        <w:ind w:left="1160"/>
        <w:spacing w:after="0"/>
        <w:tabs>
          <w:tab w:leader="none" w:pos="1480" w:val="left"/>
        </w:tabs>
        <w:rPr>
          <w:sz w:val="20"/>
          <w:szCs w:val="20"/>
          <w:color w:val="auto"/>
        </w:rPr>
      </w:pPr>
      <w:r>
        <w:rPr>
          <w:rFonts w:ascii="Arial" w:cs="Arial" w:eastAsia="Arial" w:hAnsi="Arial"/>
          <w:sz w:val="18"/>
          <w:szCs w:val="18"/>
          <w:color w:val="auto"/>
        </w:rPr>
        <w:t>a.</w:t>
        <w:tab/>
        <w:t>Financial income, net:</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Year ended</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6"/>
                <w:szCs w:val="16"/>
                <w:b w:val="1"/>
                <w:bCs w:val="1"/>
                <w:color w:val="auto"/>
                <w:w w:val="90"/>
              </w:rPr>
              <w:t>December 31,</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3"/>
              <w:spacing w:after="0"/>
              <w:rPr>
                <w:sz w:val="20"/>
                <w:szCs w:val="20"/>
                <w:color w:val="auto"/>
              </w:rPr>
            </w:pPr>
            <w:r>
              <w:rPr>
                <w:rFonts w:ascii="Arial" w:cs="Arial" w:eastAsia="Arial" w:hAnsi="Arial"/>
                <w:sz w:val="16"/>
                <w:szCs w:val="16"/>
                <w:b w:val="1"/>
                <w:bCs w:val="1"/>
                <w:color w:val="auto"/>
                <w:w w:val="89"/>
              </w:rPr>
              <w:t>2013</w:t>
            </w:r>
          </w:p>
        </w:tc>
        <w:tc>
          <w:tcPr>
            <w:tcW w:w="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640" w:type="dxa"/>
            <w:vAlign w:val="bottom"/>
          </w:tcPr>
          <w:p>
            <w:pPr>
              <w:spacing w:after="0"/>
              <w:rPr>
                <w:sz w:val="20"/>
                <w:szCs w:val="20"/>
                <w:color w:val="auto"/>
              </w:rPr>
            </w:pPr>
            <w:r>
              <w:rPr>
                <w:rFonts w:ascii="Arial" w:cs="Arial" w:eastAsia="Arial" w:hAnsi="Arial"/>
                <w:sz w:val="18"/>
                <w:szCs w:val="18"/>
                <w:color w:val="auto"/>
              </w:rPr>
              <w:t>Financial income:</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40" w:type="dxa"/>
            <w:vAlign w:val="bottom"/>
          </w:tcPr>
          <w:p>
            <w:pPr>
              <w:ind w:left="220"/>
              <w:spacing w:after="0"/>
              <w:rPr>
                <w:sz w:val="20"/>
                <w:szCs w:val="20"/>
                <w:color w:val="auto"/>
              </w:rPr>
            </w:pPr>
            <w:r>
              <w:rPr>
                <w:rFonts w:ascii="Arial" w:cs="Arial" w:eastAsia="Arial" w:hAnsi="Arial"/>
                <w:sz w:val="18"/>
                <w:szCs w:val="18"/>
                <w:color w:val="auto"/>
              </w:rPr>
              <w:t>Interest on bank deposits and other</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Foreign currency translation differences</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640" w:type="dxa"/>
            <w:vAlign w:val="bottom"/>
            <w:vMerge w:val="restart"/>
          </w:tcPr>
          <w:p>
            <w:pPr>
              <w:spacing w:after="0"/>
              <w:rPr>
                <w:sz w:val="20"/>
                <w:szCs w:val="20"/>
                <w:color w:val="auto"/>
              </w:rPr>
            </w:pPr>
            <w:r>
              <w:rPr>
                <w:rFonts w:ascii="Arial" w:cs="Arial" w:eastAsia="Arial" w:hAnsi="Arial"/>
                <w:sz w:val="18"/>
                <w:szCs w:val="18"/>
                <w:color w:val="auto"/>
              </w:rPr>
              <w:t>Financial expenses:</w:t>
            </w:r>
          </w:p>
        </w:tc>
        <w:tc>
          <w:tcPr>
            <w:tcW w:w="58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340" w:type="dxa"/>
            <w:vAlign w:val="bottom"/>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640" w:type="dxa"/>
            <w:vAlign w:val="bottom"/>
          </w:tcPr>
          <w:p>
            <w:pPr>
              <w:ind w:left="220"/>
              <w:spacing w:after="0"/>
              <w:rPr>
                <w:sz w:val="20"/>
                <w:szCs w:val="20"/>
                <w:color w:val="auto"/>
              </w:rPr>
            </w:pPr>
            <w:r>
              <w:rPr>
                <w:rFonts w:ascii="Arial" w:cs="Arial" w:eastAsia="Arial" w:hAnsi="Arial"/>
                <w:sz w:val="18"/>
                <w:szCs w:val="18"/>
                <w:color w:val="auto"/>
              </w:rPr>
              <w:t>Bank charges</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640" w:type="dxa"/>
            <w:vAlign w:val="bottom"/>
          </w:tcPr>
          <w:p>
            <w:pPr>
              <w:ind w:left="220"/>
              <w:spacing w:after="0"/>
              <w:rPr>
                <w:sz w:val="20"/>
                <w:szCs w:val="20"/>
                <w:color w:val="auto"/>
              </w:rPr>
            </w:pPr>
            <w:r>
              <w:rPr>
                <w:rFonts w:ascii="Arial" w:cs="Arial" w:eastAsia="Arial" w:hAnsi="Arial"/>
                <w:sz w:val="18"/>
                <w:szCs w:val="18"/>
                <w:color w:val="auto"/>
              </w:rPr>
              <w:t>Foreign currency translation differences</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8"/>
                <w:szCs w:val="18"/>
                <w:color w:val="auto"/>
              </w:rPr>
              <w:t>(787)</w:t>
            </w:r>
          </w:p>
        </w:tc>
        <w:tc>
          <w:tcPr>
            <w:tcW w:w="2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640" w:type="dxa"/>
            <w:vAlign w:val="bottom"/>
          </w:tcPr>
          <w:p>
            <w:pPr>
              <w:spacing w:after="0"/>
              <w:rPr>
                <w:sz w:val="20"/>
                <w:szCs w:val="20"/>
                <w:color w:val="auto"/>
              </w:rPr>
            </w:pPr>
            <w:r>
              <w:rPr>
                <w:rFonts w:ascii="Arial" w:cs="Arial" w:eastAsia="Arial" w:hAnsi="Arial"/>
                <w:sz w:val="18"/>
                <w:szCs w:val="18"/>
                <w:color w:val="auto"/>
              </w:rPr>
              <w:t>Total financial expenses:</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4"/>
                <w:szCs w:val="2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24"/>
                <w:szCs w:val="24"/>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BALANCES AND TRANSACTIONS WITH RELATED PARTIES</w:t>
      </w:r>
    </w:p>
    <w:p>
      <w:pPr>
        <w:spacing w:after="0" w:line="175" w:lineRule="exact"/>
        <w:rPr>
          <w:sz w:val="20"/>
          <w:szCs w:val="20"/>
          <w:color w:val="auto"/>
        </w:rPr>
      </w:pPr>
    </w:p>
    <w:p>
      <w:pPr>
        <w:ind w:left="1160" w:right="139"/>
        <w:spacing w:after="0" w:line="279" w:lineRule="auto"/>
        <w:rPr>
          <w:sz w:val="20"/>
          <w:szCs w:val="20"/>
          <w:color w:val="auto"/>
        </w:rPr>
      </w:pPr>
      <w:r>
        <w:rPr>
          <w:rFonts w:ascii="Arial" w:cs="Arial" w:eastAsia="Arial" w:hAnsi="Arial"/>
          <w:sz w:val="17"/>
          <w:szCs w:val="17"/>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Fortissimo</w:t>
      </w:r>
    </w:p>
    <w:p>
      <w:pPr>
        <w:spacing w:after="0" w:line="117" w:lineRule="exact"/>
        <w:rPr>
          <w:sz w:val="20"/>
          <w:szCs w:val="20"/>
          <w:color w:val="auto"/>
        </w:rPr>
      </w:pPr>
    </w:p>
    <w:p>
      <w:pPr>
        <w:ind w:left="1140" w:right="219"/>
        <w:spacing w:after="0" w:line="320" w:lineRule="auto"/>
        <w:rPr>
          <w:sz w:val="20"/>
          <w:szCs w:val="20"/>
          <w:color w:val="auto"/>
        </w:rPr>
      </w:pPr>
      <w:r>
        <w:rPr>
          <w:rFonts w:ascii="Arial" w:cs="Arial" w:eastAsia="Arial" w:hAnsi="Arial"/>
          <w:sz w:val="15"/>
          <w:szCs w:val="15"/>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2013 and 2014 the Company recorded an expense of $175, $120 and $160 respectively, in respect of payments to Fortissimo.</w:t>
      </w:r>
    </w:p>
    <w:p>
      <w:pPr>
        <w:spacing w:after="0" w:line="12" w:lineRule="exact"/>
        <w:rPr>
          <w:sz w:val="20"/>
          <w:szCs w:val="20"/>
          <w:color w:val="auto"/>
        </w:rPr>
      </w:pPr>
    </w:p>
    <w:p>
      <w:pPr>
        <w:ind w:left="1140" w:right="159"/>
        <w:spacing w:after="0" w:line="264" w:lineRule="auto"/>
        <w:rPr>
          <w:sz w:val="20"/>
          <w:szCs w:val="20"/>
          <w:color w:val="auto"/>
        </w:rPr>
      </w:pPr>
      <w:r>
        <w:rPr>
          <w:rFonts w:ascii="Arial" w:cs="Arial" w:eastAsia="Arial" w:hAnsi="Arial"/>
          <w:sz w:val="18"/>
          <w:szCs w:val="18"/>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w:t>
      </w:r>
    </w:p>
    <w:p>
      <w:pPr>
        <w:spacing w:after="0" w:line="148" w:lineRule="exact"/>
        <w:rPr>
          <w:sz w:val="20"/>
          <w:szCs w:val="20"/>
          <w:color w:val="auto"/>
        </w:rPr>
      </w:pPr>
    </w:p>
    <w:p>
      <w:pPr>
        <w:ind w:left="1160" w:right="119"/>
        <w:spacing w:after="0" w:line="255" w:lineRule="auto"/>
        <w:rPr>
          <w:sz w:val="20"/>
          <w:szCs w:val="20"/>
          <w:color w:val="auto"/>
        </w:rPr>
      </w:pPr>
      <w:r>
        <w:rPr>
          <w:rFonts w:ascii="Arial" w:cs="Arial" w:eastAsia="Arial" w:hAnsi="Arial"/>
          <w:sz w:val="18"/>
          <w:szCs w:val="18"/>
          <w:color w:val="auto"/>
        </w:rPr>
        <w:t>The Company evaluates events or transactions that occur after the balance sheet date but prior to the issuance of consolidated financial statements to identify matters that require additional disclosure. For its consolidated financial statements as of December 31, 2014 and for the year then ended, the Company evaluated subsequent events through March 18, 2015, the date that the consolidated financial statements were issued. Except as described below, the Company has concluded that no subsequent event has occurred that requires disclosure.</w:t>
      </w:r>
    </w:p>
    <w:p>
      <w:pPr>
        <w:spacing w:after="0" w:line="193" w:lineRule="exact"/>
        <w:rPr>
          <w:sz w:val="20"/>
          <w:szCs w:val="20"/>
          <w:color w:val="auto"/>
        </w:rPr>
      </w:pPr>
    </w:p>
    <w:p>
      <w:pPr>
        <w:ind w:left="1520" w:right="199" w:hanging="369"/>
        <w:spacing w:after="0" w:line="259" w:lineRule="auto"/>
        <w:tabs>
          <w:tab w:leader="none" w:pos="147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On January 5, 2015 the Company acquired patents and services from Polymeric Imaging Inc. an American ink developer and manufacturer for total purchase price of $2,000. $1,000 was paid upon closing and the remaining balance will be paid over a two year period after the acquisition as defined in the acquisition agreement.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52" w:name="page153"/>
    <w:bookmarkEnd w:id="15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4179"/>
        <w:spacing w:after="0" w:line="365" w:lineRule="auto"/>
        <w:rPr>
          <w:sz w:val="20"/>
          <w:szCs w:val="20"/>
          <w:color w:val="auto"/>
        </w:rPr>
      </w:pPr>
      <w:r>
        <w:rPr>
          <w:rFonts w:ascii="Arial" w:cs="Arial" w:eastAsia="Arial" w:hAnsi="Arial"/>
          <w:sz w:val="16"/>
          <w:szCs w:val="16"/>
          <w:b w:val="1"/>
          <w:bCs w:val="1"/>
          <w:color w:val="auto"/>
        </w:rPr>
        <w:t>NOTES TO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-205740</wp:posOffset>
            </wp:positionV>
            <wp:extent cx="5574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 (Cont.)</w:t>
      </w:r>
    </w:p>
    <w:p>
      <w:pPr>
        <w:spacing w:after="0" w:line="148" w:lineRule="exact"/>
        <w:rPr>
          <w:sz w:val="20"/>
          <w:szCs w:val="20"/>
          <w:color w:val="auto"/>
        </w:rPr>
      </w:pPr>
    </w:p>
    <w:p>
      <w:pPr>
        <w:ind w:left="1520" w:right="119" w:hanging="33"/>
        <w:spacing w:after="0" w:line="264" w:lineRule="auto"/>
        <w:rPr>
          <w:sz w:val="20"/>
          <w:szCs w:val="20"/>
          <w:color w:val="auto"/>
        </w:rPr>
      </w:pPr>
      <w:r>
        <w:rPr>
          <w:rFonts w:ascii="Arial" w:cs="Arial" w:eastAsia="Arial" w:hAnsi="Arial"/>
          <w:sz w:val="18"/>
          <w:szCs w:val="18"/>
          <w:color w:val="auto"/>
        </w:rPr>
        <w:t>The acquisition will be accounted for as business combination under ASC 805, Business Combination. The final purchase price allocation for the acquisition has not been determined as of the filing of this report.</w:t>
      </w:r>
    </w:p>
    <w:p>
      <w:pPr>
        <w:spacing w:after="0" w:line="181" w:lineRule="exact"/>
        <w:rPr>
          <w:sz w:val="20"/>
          <w:szCs w:val="20"/>
          <w:color w:val="auto"/>
        </w:rPr>
      </w:pPr>
    </w:p>
    <w:p>
      <w:pPr>
        <w:ind w:left="1520" w:right="239" w:hanging="369"/>
        <w:spacing w:after="0" w:line="276" w:lineRule="auto"/>
        <w:tabs>
          <w:tab w:leader="none" w:pos="1468"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 February 2015, one of the Company’s distributors, which accounted for approximately 20% and 25% of the Company’s revenues in 2013 and 2014, respectively, received a letter from a third party alleging that the Company’s systems infringed on one of the third party’s patents. The letter included a copy of a complaint filed against the distributor with the U.S. District Court for the Middle District of Florida. The complaint had not been served as of the date of the letter.</w:t>
      </w:r>
    </w:p>
    <w:p>
      <w:pPr>
        <w:spacing w:after="0" w:line="173" w:lineRule="exact"/>
        <w:rPr>
          <w:sz w:val="20"/>
          <w:szCs w:val="20"/>
          <w:color w:val="auto"/>
        </w:rPr>
      </w:pPr>
    </w:p>
    <w:p>
      <w:pPr>
        <w:jc w:val="both"/>
        <w:ind w:left="1520" w:right="119" w:hanging="33"/>
        <w:spacing w:after="0" w:line="264" w:lineRule="auto"/>
        <w:rPr>
          <w:sz w:val="20"/>
          <w:szCs w:val="20"/>
          <w:color w:val="auto"/>
        </w:rPr>
      </w:pPr>
      <w:r>
        <w:rPr>
          <w:rFonts w:ascii="Arial" w:cs="Arial" w:eastAsia="Arial" w:hAnsi="Arial"/>
          <w:sz w:val="18"/>
          <w:szCs w:val="18"/>
          <w:color w:val="auto"/>
        </w:rPr>
        <w:t>The Company’s agreement with the distributor contains an undertaking by the Company to indemnify the distributor against claims by third parties alleging that the Company’s products infringe third party intellectual property rights.</w:t>
      </w:r>
    </w:p>
    <w:p>
      <w:pPr>
        <w:spacing w:after="0" w:line="181" w:lineRule="exact"/>
        <w:rPr>
          <w:sz w:val="20"/>
          <w:szCs w:val="20"/>
          <w:color w:val="auto"/>
        </w:rPr>
      </w:pPr>
    </w:p>
    <w:p>
      <w:pPr>
        <w:ind w:left="1520" w:right="139" w:hanging="33"/>
        <w:spacing w:after="0" w:line="257" w:lineRule="auto"/>
        <w:rPr>
          <w:sz w:val="20"/>
          <w:szCs w:val="20"/>
          <w:color w:val="auto"/>
        </w:rPr>
      </w:pPr>
      <w:r>
        <w:rPr>
          <w:rFonts w:ascii="Arial" w:cs="Arial" w:eastAsia="Arial" w:hAnsi="Arial"/>
          <w:sz w:val="18"/>
          <w:szCs w:val="18"/>
          <w:color w:val="auto"/>
        </w:rPr>
        <w:t>The Company cannot predict whether it will be subject to any claim or required to indemnify the distributor. The Company believes that there are valid defenses to the claim of infringement; however, given the inherent uncertainty involved in litigation, if the Company is subject to a claim or indemnification, it cannot provide any assurance that an adverse ruling or a negative outcome will not have a material adverse effect on the Company.</w:t>
      </w:r>
    </w:p>
    <w:p>
      <w:pPr>
        <w:spacing w:after="0" w:line="188" w:lineRule="exact"/>
        <w:rPr>
          <w:sz w:val="20"/>
          <w:szCs w:val="20"/>
          <w:color w:val="auto"/>
        </w:rPr>
      </w:pPr>
    </w:p>
    <w:p>
      <w:pPr>
        <w:ind w:left="1520" w:right="139" w:hanging="369"/>
        <w:spacing w:after="0" w:line="255" w:lineRule="auto"/>
        <w:tabs>
          <w:tab w:leader="none" w:pos="149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March 17, 2015, the Company effected a 1-for-6.5531 share split by means of a share dividend of 5.5531 ordinary shares for each ordinary share then outstanding. As a result, the conversion rate for each preferred share and option was adjusted to reflect this share split. For accounting purposes, this transaction was recorded as a share split and accordingly (unless otherwise noted), all ordinary shares, options and loss per share amounts have been adjusted retroactively for all periods presented in these financial statements.</w:t>
      </w:r>
    </w:p>
    <w:p>
      <w:pPr>
        <w:spacing w:after="0" w:line="193" w:lineRule="exact"/>
        <w:rPr>
          <w:rFonts w:ascii="Arial" w:cs="Arial" w:eastAsia="Arial" w:hAnsi="Arial"/>
          <w:sz w:val="18"/>
          <w:szCs w:val="18"/>
          <w:color w:val="auto"/>
        </w:rPr>
      </w:pPr>
    </w:p>
    <w:p>
      <w:pPr>
        <w:ind w:left="1560" w:right="179" w:firstLine="5"/>
        <w:spacing w:after="0" w:line="285" w:lineRule="auto"/>
        <w:tabs>
          <w:tab w:leader="none" w:pos="1965" w:val="left"/>
        </w:tabs>
        <w:numPr>
          <w:ilvl w:val="1"/>
          <w:numId w:val="130"/>
        </w:numPr>
        <w:rPr>
          <w:rFonts w:ascii="Arial" w:cs="Arial" w:eastAsia="Arial" w:hAnsi="Arial"/>
          <w:sz w:val="16"/>
          <w:szCs w:val="16"/>
          <w:color w:val="auto"/>
        </w:rPr>
      </w:pPr>
      <w:r>
        <w:rPr>
          <w:rFonts w:ascii="Arial" w:cs="Arial" w:eastAsia="Arial" w:hAnsi="Arial"/>
          <w:sz w:val="16"/>
          <w:szCs w:val="16"/>
          <w:color w:val="auto"/>
        </w:rPr>
        <w:t>On March 17, 2015, the Shareholders approved (i) an amendment to the current Articles Of Association of the Company, by which the total authorized share capital was increased to 30,000,000 ordinary shares of NIS 0.01 each, and further approved (ii) subject to initial public offering of the Company's securities, the adoption of an amended and restated Article of Association, under which the authorized shares capital is divided into 200,000,000 ordinary shares of NIS 0.01 par value each.</w:t>
      </w:r>
    </w:p>
    <w:p>
      <w:pPr>
        <w:spacing w:after="0" w:line="2" w:lineRule="exact"/>
        <w:rPr>
          <w:rFonts w:ascii="Arial" w:cs="Arial" w:eastAsia="Arial" w:hAnsi="Arial"/>
          <w:sz w:val="16"/>
          <w:szCs w:val="16"/>
          <w:color w:val="auto"/>
        </w:rPr>
      </w:pPr>
    </w:p>
    <w:p>
      <w:pPr>
        <w:ind w:left="4480" w:hanging="112"/>
        <w:spacing w:after="0"/>
        <w:tabs>
          <w:tab w:leader="none" w:pos="44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 - - - - - - - - - -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746115" cy="77184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46115" cy="7718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jc w:val="both"/>
        <w:ind w:left="120" w:right="159" w:firstLine="216"/>
        <w:spacing w:after="0" w:line="22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243205</wp:posOffset>
            </wp:positionV>
            <wp:extent cx="5574030"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574030" cy="26035"/>
                    </a:xfrm>
                    <a:prstGeom prst="rect">
                      <a:avLst/>
                    </a:prstGeom>
                    <a:noFill/>
                  </pic:spPr>
                </pic:pic>
              </a:graphicData>
            </a:graphic>
          </wp:anchor>
        </w:drawing>
        <w:t>Through and including April 26, 2015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7,100,000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1730375</wp:posOffset>
            </wp:positionH>
            <wp:positionV relativeFrom="paragraph">
              <wp:posOffset>132080</wp:posOffset>
            </wp:positionV>
            <wp:extent cx="2280920" cy="14147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80920"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1229995</wp:posOffset>
            </wp:positionV>
            <wp:extent cx="11150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2313305</wp:posOffset>
            </wp:positionH>
            <wp:positionV relativeFrom="paragraph">
              <wp:posOffset>60325</wp:posOffset>
            </wp:positionV>
            <wp:extent cx="111506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auto"/>
        </w:rPr>
        <w:t>April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414020</wp:posOffset>
            </wp:positionV>
            <wp:extent cx="557403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74030"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808990</wp:posOffset>
            </wp:positionV>
            <wp:extent cx="557403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sectPr>
      <w:pgSz w:w="11900" w:h="16838" w:orient="portrait"/>
      <w:cols w:equalWidth="0" w:num="1">
        <w:col w:w="9019"/>
      </w:cols>
      <w:pgMar w:left="1440" w:top="7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
      <w:numFmt w:val="bullet"/>
      <w:start w:val="1"/>
    </w:lvl>
  </w:abstractNum>
  <w:abstractNum w:abstractNumId="4">
    <w:nsid w:val="1381823A"/>
    <w:multiLevelType w:val="hybridMultilevel"/>
    <w:lvl w:ilvl="0">
      <w:lvlJc w:val="left"/>
      <w:lvlText w:val="•"/>
      <w:numFmt w:val="bullet"/>
      <w:start w:val="1"/>
    </w:lvl>
  </w:abstractNum>
  <w:abstractNum w:abstractNumId="5">
    <w:nsid w:val="5DB70AE5"/>
    <w:multiLevelType w:val="hybridMultilevel"/>
    <w:lvl w:ilvl="0">
      <w:lvlJc w:val="left"/>
      <w:lvlText w:val="•"/>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1"/>
      <w:numFmt w:val="decimal"/>
      <w:start w:val="1"/>
    </w:lvl>
    <w:lvl w:ilvl="1">
      <w:lvlJc w:val="left"/>
      <w:lvlText w:val="(%2)"/>
      <w:numFmt w:val="decimal"/>
      <w:start w:val="2"/>
    </w:lvl>
  </w:abstractNum>
  <w:abstractNum w:abstractNumId="9">
    <w:nsid w:val="5F5E7FD0"/>
    <w:multiLevelType w:val="hybridMultilevel"/>
    <w:lvl w:ilvl="0">
      <w:lvlJc w:val="left"/>
      <w:lvlText w:val="(%1)"/>
      <w:numFmt w:val="decimal"/>
      <w:start w:val="3"/>
    </w:lvl>
    <w:lvl w:ilvl="1">
      <w:lvlJc w:val="left"/>
      <w:lvlText w:val="%2"/>
      <w:numFmt w:val="decimal"/>
      <w:start w:val="1"/>
    </w:lvl>
  </w:abstractNum>
  <w:abstractNum w:abstractNumId="10">
    <w:nsid w:val="98A3148"/>
    <w:multiLevelType w:val="hybridMultilevel"/>
    <w:lvl w:ilvl="0">
      <w:lvlJc w:val="left"/>
      <w:lvlText w:val="•"/>
      <w:numFmt w:val="bullet"/>
      <w:start w:val="1"/>
    </w:lvl>
  </w:abstractNum>
  <w:abstractNum w:abstractNumId="11">
    <w:nsid w:val="799D0247"/>
    <w:multiLevelType w:val="hybridMultilevel"/>
    <w:lvl w:ilvl="0">
      <w:lvlJc w:val="left"/>
      <w:lvlText w:val="•"/>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1)"/>
      <w:numFmt w:val="decimal"/>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1"/>
      <w:numFmt w:val="decimal"/>
      <w:start w:val="1"/>
    </w:lvl>
    <w:lvl w:ilvl="1">
      <w:lvlJc w:val="left"/>
      <w:lvlText w:val="(%2)"/>
      <w:numFmt w:val="decimal"/>
      <w:start w:val="2"/>
    </w:lvl>
  </w:abstractNum>
  <w:abstractNum w:abstractNumId="23">
    <w:nsid w:val="11447B73"/>
    <w:multiLevelType w:val="hybridMultilevel"/>
    <w:lvl w:ilvl="0">
      <w:lvlJc w:val="left"/>
      <w:lvlText w:val="(%1)"/>
      <w:numFmt w:val="decimal"/>
      <w:start w:val="3"/>
    </w:lvl>
    <w:lvl w:ilvl="1">
      <w:lvlJc w:val="left"/>
      <w:lvlText w:val="%2"/>
      <w:numFmt w:val="decimal"/>
      <w:start w:val="1"/>
    </w:lvl>
  </w:abstractNum>
  <w:abstractNum w:abstractNumId="24">
    <w:nsid w:val="42963E5A"/>
    <w:multiLevelType w:val="hybridMultilevel"/>
    <w:lvl w:ilvl="0">
      <w:lvlJc w:val="left"/>
      <w:lvlText w:val="•"/>
      <w:numFmt w:val="bullet"/>
      <w:start w:val="1"/>
    </w:lvl>
  </w:abstractNum>
  <w:abstractNum w:abstractNumId="25">
    <w:nsid w:val="A0382C5"/>
    <w:multiLevelType w:val="hybridMultilevel"/>
    <w:lvl w:ilvl="0">
      <w:lvlJc w:val="left"/>
      <w:lvlText w:val="(%1)"/>
      <w:numFmt w:val="decimal"/>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
      <w:numFmt w:val="bullet"/>
      <w:start w:val="1"/>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1)"/>
      <w:numFmt w:val="decimal"/>
      <w:start w:val="1"/>
    </w:lvl>
  </w:abstractNum>
  <w:abstractNum w:abstractNumId="40">
    <w:nsid w:val="6F6DD9AC"/>
    <w:multiLevelType w:val="hybridMultilevel"/>
    <w:lvl w:ilvl="0">
      <w:lvlJc w:val="left"/>
      <w:lvlText w:val="(%1)"/>
      <w:numFmt w:val="lowerRoman"/>
      <w:start w:val="1"/>
    </w:lvl>
  </w:abstractNum>
  <w:abstractNum w:abstractNumId="41">
    <w:nsid w:val="94211F2"/>
    <w:multiLevelType w:val="hybridMultilevel"/>
    <w:lvl w:ilvl="0">
      <w:lvlJc w:val="left"/>
      <w:lvlText w:val="•"/>
      <w:numFmt w:val="bullet"/>
      <w:start w:val="1"/>
    </w:lvl>
  </w:abstractNum>
  <w:abstractNum w:abstractNumId="42">
    <w:nsid w:val="885E1B"/>
    <w:multiLevelType w:val="hybridMultilevel"/>
    <w:lvl w:ilvl="0">
      <w:lvlJc w:val="left"/>
      <w:lvlText w:val="•"/>
      <w:numFmt w:val="bullet"/>
      <w:start w:val="1"/>
    </w:lvl>
  </w:abstractNum>
  <w:abstractNum w:abstractNumId="43">
    <w:nsid w:val="76272110"/>
    <w:multiLevelType w:val="hybridMultilevel"/>
    <w:lvl w:ilvl="0">
      <w:lvlJc w:val="left"/>
      <w:lvlText w:val="•"/>
      <w:numFmt w:val="bullet"/>
      <w:start w:val="1"/>
    </w:lvl>
  </w:abstractNum>
  <w:abstractNum w:abstractNumId="44">
    <w:nsid w:val="4C04A8AF"/>
    <w:multiLevelType w:val="hybridMultilevel"/>
    <w:lvl w:ilvl="0">
      <w:lvlJc w:val="left"/>
      <w:lvlText w:val="•"/>
      <w:numFmt w:val="bullet"/>
      <w:start w:val="1"/>
    </w:lvl>
  </w:abstractNum>
  <w:abstractNum w:abstractNumId="45">
    <w:nsid w:val="1716703B"/>
    <w:multiLevelType w:val="hybridMultilevel"/>
    <w:lvl w:ilvl="0">
      <w:lvlJc w:val="left"/>
      <w:lvlText w:val="•"/>
      <w:numFmt w:val="bullet"/>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
      <w:numFmt w:val="bullet"/>
      <w:start w:val="1"/>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
      <w:numFmt w:val="bullet"/>
      <w:start w:val="1"/>
    </w:lvl>
  </w:abstractNum>
  <w:abstractNum w:abstractNumId="50">
    <w:nsid w:val="2DF6D648"/>
    <w:multiLevelType w:val="hybridMultilevel"/>
    <w:lvl w:ilvl="0">
      <w:lvlJc w:val="left"/>
      <w:lvlText w:val="•"/>
      <w:numFmt w:val="bullet"/>
      <w:start w:val="1"/>
    </w:lvl>
  </w:abstractNum>
  <w:abstractNum w:abstractNumId="51">
    <w:nsid w:val="46B7D447"/>
    <w:multiLevelType w:val="hybridMultilevel"/>
    <w:lvl w:ilvl="0">
      <w:lvlJc w:val="left"/>
      <w:lvlText w:val="•"/>
      <w:numFmt w:val="bullet"/>
      <w:start w:val="1"/>
    </w:lvl>
  </w:abstractNum>
  <w:abstractNum w:abstractNumId="52">
    <w:nsid w:val="4A2AC315"/>
    <w:multiLevelType w:val="hybridMultilevel"/>
    <w:lvl w:ilvl="0">
      <w:lvlJc w:val="left"/>
      <w:lvlText w:val="•"/>
      <w:numFmt w:val="bullet"/>
      <w:start w:val="1"/>
    </w:lvl>
  </w:abstractNum>
  <w:abstractNum w:abstractNumId="53">
    <w:nsid w:val="39EE015C"/>
    <w:multiLevelType w:val="hybridMultilevel"/>
    <w:lvl w:ilvl="0">
      <w:lvlJc w:val="left"/>
      <w:lvlText w:val="•"/>
      <w:numFmt w:val="bullet"/>
      <w:start w:val="1"/>
    </w:lvl>
  </w:abstractNum>
  <w:abstractNum w:abstractNumId="54">
    <w:nsid w:val="57FC4FBB"/>
    <w:multiLevelType w:val="hybridMultilevel"/>
    <w:lvl w:ilvl="0">
      <w:lvlJc w:val="left"/>
      <w:lvlText w:val="•"/>
      <w:numFmt w:val="bullet"/>
      <w:start w:val="1"/>
    </w:lvl>
  </w:abstractNum>
  <w:abstractNum w:abstractNumId="55">
    <w:nsid w:val="CC1016F"/>
    <w:multiLevelType w:val="hybridMultilevel"/>
    <w:lvl w:ilvl="0">
      <w:lvlJc w:val="left"/>
      <w:lvlText w:val="•"/>
      <w:numFmt w:val="bullet"/>
      <w:start w:val="1"/>
    </w:lvl>
  </w:abstractNum>
  <w:abstractNum w:abstractNumId="56">
    <w:nsid w:val="43F18422"/>
    <w:multiLevelType w:val="hybridMultilevel"/>
    <w:lvl w:ilvl="0">
      <w:lvlJc w:val="left"/>
      <w:lvlText w:val="(%1)"/>
      <w:numFmt w:val="lowerLetter"/>
      <w:start w:val="3"/>
    </w:lvl>
    <w:lvl w:ilvl="1">
      <w:lvlJc w:val="left"/>
      <w:lvlText w:val="•"/>
      <w:numFmt w:val="bullet"/>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
      <w:numFmt w:val="bullet"/>
      <w:start w:val="1"/>
    </w:lvl>
  </w:abstractNum>
  <w:abstractNum w:abstractNumId="60">
    <w:nsid w:val="49DA307D"/>
    <w:multiLevelType w:val="hybridMultilevel"/>
    <w:lvl w:ilvl="0">
      <w:lvlJc w:val="left"/>
      <w:lvlText w:val="•"/>
      <w:numFmt w:val="bullet"/>
      <w:start w:val="1"/>
    </w:lvl>
  </w:abstractNum>
  <w:abstractNum w:abstractNumId="61">
    <w:nsid w:val="7055A5F5"/>
    <w:multiLevelType w:val="hybridMultilevel"/>
    <w:lvl w:ilvl="0">
      <w:lvlJc w:val="left"/>
      <w:lvlText w:val="•"/>
      <w:numFmt w:val="bullet"/>
      <w:start w:val="1"/>
    </w:lvl>
  </w:abstractNum>
  <w:abstractNum w:abstractNumId="62">
    <w:nsid w:val="5FB8370B"/>
    <w:multiLevelType w:val="hybridMultilevel"/>
    <w:lvl w:ilvl="0">
      <w:lvlJc w:val="left"/>
      <w:lvlText w:val="(%1)"/>
      <w:numFmt w:val="lowerRoman"/>
      <w:start w:val="1"/>
    </w:lvl>
  </w:abstractNum>
  <w:abstractNum w:abstractNumId="63">
    <w:nsid w:val="50801EE1"/>
    <w:multiLevelType w:val="hybridMultilevel"/>
    <w:lvl w:ilvl="0">
      <w:lvlJc w:val="left"/>
      <w:lvlText w:val="•"/>
      <w:numFmt w:val="bullet"/>
      <w:start w:val="1"/>
    </w:lvl>
  </w:abstractNum>
  <w:abstractNum w:abstractNumId="64">
    <w:nsid w:val="488AC1A"/>
    <w:multiLevelType w:val="hybridMultilevel"/>
    <w:lvl w:ilvl="0">
      <w:lvlJc w:val="left"/>
      <w:lvlText w:val="(%1)"/>
      <w:numFmt w:val="decimal"/>
      <w:start w:val="1"/>
    </w:lvl>
  </w:abstractNum>
  <w:abstractNum w:abstractNumId="65">
    <w:nsid w:val="5FB8011C"/>
    <w:multiLevelType w:val="hybridMultilevel"/>
    <w:lvl w:ilvl="0">
      <w:lvlJc w:val="left"/>
      <w:lvlText w:val="•"/>
      <w:numFmt w:val="bullet"/>
      <w:start w:val="1"/>
    </w:lvl>
  </w:abstractNum>
  <w:abstractNum w:abstractNumId="66">
    <w:nsid w:val="6AA78F7F"/>
    <w:multiLevelType w:val="hybridMultilevel"/>
    <w:lvl w:ilvl="0">
      <w:lvlJc w:val="left"/>
      <w:lvlText w:val="•"/>
      <w:numFmt w:val="bullet"/>
      <w:start w:val="1"/>
    </w:lvl>
  </w:abstractNum>
  <w:abstractNum w:abstractNumId="67">
    <w:nsid w:val="7672BD23"/>
    <w:multiLevelType w:val="hybridMultilevel"/>
    <w:lvl w:ilvl="0">
      <w:lvlJc w:val="left"/>
      <w:lvlText w:val="•"/>
      <w:numFmt w:val="bullet"/>
      <w:start w:val="1"/>
    </w:lvl>
  </w:abstractNum>
  <w:abstractNum w:abstractNumId="68">
    <w:nsid w:val="6FC75AF8"/>
    <w:multiLevelType w:val="hybridMultilevel"/>
    <w:lvl w:ilvl="0">
      <w:lvlJc w:val="left"/>
      <w:lvlText w:val="•"/>
      <w:numFmt w:val="bullet"/>
      <w:start w:val="1"/>
    </w:lvl>
  </w:abstractNum>
  <w:abstractNum w:abstractNumId="69">
    <w:nsid w:val="6A5F7029"/>
    <w:multiLevelType w:val="hybridMultilevel"/>
    <w:lvl w:ilvl="0">
      <w:lvlJc w:val="left"/>
      <w:lvlText w:val="•"/>
      <w:numFmt w:val="bullet"/>
      <w:start w:val="1"/>
    </w:lvl>
  </w:abstractNum>
  <w:abstractNum w:abstractNumId="70">
    <w:nsid w:val="7D5E18F8"/>
    <w:multiLevelType w:val="hybridMultilevel"/>
    <w:lvl w:ilvl="0">
      <w:lvlJc w:val="left"/>
      <w:lvlText w:val="•"/>
      <w:numFmt w:val="bullet"/>
      <w:start w:val="1"/>
    </w:lvl>
  </w:abstractNum>
  <w:abstractNum w:abstractNumId="71">
    <w:nsid w:val="5F3534A4"/>
    <w:multiLevelType w:val="hybridMultilevel"/>
    <w:lvl w:ilvl="0">
      <w:lvlJc w:val="left"/>
      <w:lvlText w:val="•"/>
      <w:numFmt w:val="bullet"/>
      <w:start w:val="1"/>
    </w:lvl>
  </w:abstractNum>
  <w:abstractNum w:abstractNumId="72">
    <w:nsid w:val="73A1821B"/>
    <w:multiLevelType w:val="hybridMultilevel"/>
    <w:lvl w:ilvl="0">
      <w:lvlJc w:val="left"/>
      <w:lvlText w:val="(%1)"/>
      <w:numFmt w:val="lowerRoman"/>
      <w:start w:val="1"/>
    </w:lvl>
  </w:abstractNum>
  <w:abstractNum w:abstractNumId="73">
    <w:nsid w:val="7DE67713"/>
    <w:multiLevelType w:val="hybridMultilevel"/>
    <w:lvl w:ilvl="0">
      <w:lvlJc w:val="left"/>
      <w:lvlText w:val="•"/>
      <w:numFmt w:val="bullet"/>
      <w:start w:val="1"/>
    </w:lvl>
  </w:abstractNum>
  <w:abstractNum w:abstractNumId="74">
    <w:nsid w:val="555C55B5"/>
    <w:multiLevelType w:val="hybridMultilevel"/>
    <w:lvl w:ilvl="0">
      <w:lvlJc w:val="left"/>
      <w:lvlText w:val="•"/>
      <w:numFmt w:val="bullet"/>
      <w:start w:val="1"/>
    </w:lvl>
  </w:abstractNum>
  <w:abstractNum w:abstractNumId="75">
    <w:nsid w:val="3FA62ACA"/>
    <w:multiLevelType w:val="hybridMultilevel"/>
    <w:lvl w:ilvl="0">
      <w:lvlJc w:val="left"/>
      <w:lvlText w:val="(%1)"/>
      <w:numFmt w:val="decimal"/>
      <w:start w:val="2"/>
    </w:lvl>
  </w:abstractNum>
  <w:abstractNum w:abstractNumId="76">
    <w:nsid w:val="14FCE74E"/>
    <w:multiLevelType w:val="hybridMultilevel"/>
    <w:lvl w:ilvl="0">
      <w:lvlJc w:val="left"/>
      <w:lvlText w:val="•"/>
      <w:numFmt w:val="bullet"/>
      <w:start w:val="1"/>
    </w:lvl>
  </w:abstractNum>
  <w:abstractNum w:abstractNumId="77">
    <w:nsid w:val="6A3DD3E8"/>
    <w:multiLevelType w:val="hybridMultilevel"/>
    <w:lvl w:ilvl="0">
      <w:lvlJc w:val="left"/>
      <w:lvlText w:val="•"/>
      <w:numFmt w:val="bullet"/>
      <w:start w:val="1"/>
    </w:lvl>
  </w:abstractNum>
  <w:abstractNum w:abstractNumId="78">
    <w:nsid w:val="71C91298"/>
    <w:multiLevelType w:val="hybridMultilevel"/>
    <w:lvl w:ilvl="0">
      <w:lvlJc w:val="left"/>
      <w:lvlText w:val="•"/>
      <w:numFmt w:val="bullet"/>
      <w:start w:val="1"/>
    </w:lvl>
  </w:abstractNum>
  <w:abstractNum w:abstractNumId="79">
    <w:nsid w:val="9DAF632"/>
    <w:multiLevelType w:val="hybridMultilevel"/>
    <w:lvl w:ilvl="0">
      <w:lvlJc w:val="left"/>
      <w:lvlText w:val="•"/>
      <w:numFmt w:val="bullet"/>
      <w:start w:val="1"/>
    </w:lvl>
  </w:abstractNum>
  <w:abstractNum w:abstractNumId="80">
    <w:nsid w:val="53299938"/>
    <w:multiLevelType w:val="hybridMultilevel"/>
    <w:lvl w:ilvl="0">
      <w:lvlJc w:val="left"/>
      <w:lvlText w:val="$"/>
      <w:numFmt w:val="bullet"/>
      <w:start w:val="1"/>
    </w:lvl>
  </w:abstractNum>
  <w:abstractNum w:abstractNumId="81">
    <w:nsid w:val="1FBFE8E0"/>
    <w:multiLevelType w:val="hybridMultilevel"/>
    <w:lvl w:ilvl="0">
      <w:lvlJc w:val="left"/>
      <w:lvlText w:val="$"/>
      <w:numFmt w:val="bullet"/>
      <w:start w:val="1"/>
    </w:lvl>
  </w:abstractNum>
  <w:abstractNum w:abstractNumId="82">
    <w:nsid w:val="5092CA79"/>
    <w:multiLevelType w:val="hybridMultilevel"/>
    <w:lvl w:ilvl="0">
      <w:lvlJc w:val="left"/>
      <w:lvlText w:val="•"/>
      <w:numFmt w:val="bullet"/>
      <w:start w:val="1"/>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1."/>
      <w:numFmt w:val="lowerLetter"/>
      <w:start w:val="1"/>
    </w:lvl>
  </w:abstractNum>
  <w:abstractNum w:abstractNumId="85">
    <w:nsid w:val="288F1A34"/>
    <w:multiLevelType w:val="hybridMultilevel"/>
    <w:lvl w:ilvl="0">
      <w:lvlJc w:val="left"/>
      <w:lvlText w:val="%1."/>
      <w:numFmt w:val="lowerLetter"/>
      <w:start w:val="1"/>
    </w:lvl>
  </w:abstractNum>
  <w:abstractNum w:abstractNumId="86">
    <w:nsid w:val="2A155DBC"/>
    <w:multiLevelType w:val="hybridMultilevel"/>
    <w:lvl w:ilvl="0">
      <w:lvlJc w:val="left"/>
      <w:lvlText w:val="%1."/>
      <w:numFmt w:val="lowerLetter"/>
      <w:start w:val="2"/>
    </w:lvl>
  </w:abstractNum>
  <w:abstractNum w:abstractNumId="87">
    <w:nsid w:val="1D9F6E5F"/>
    <w:multiLevelType w:val="hybridMultilevel"/>
    <w:lvl w:ilvl="0">
      <w:lvlJc w:val="left"/>
      <w:lvlText w:val="%1."/>
      <w:numFmt w:val="lowerLetter"/>
      <w:start w:val="3"/>
    </w:lvl>
  </w:abstractNum>
  <w:abstractNum w:abstractNumId="88">
    <w:nsid w:val="97E1B4E"/>
    <w:multiLevelType w:val="hybridMultilevel"/>
    <w:lvl w:ilvl="0">
      <w:lvlJc w:val="left"/>
      <w:lvlText w:val="%1."/>
      <w:numFmt w:val="lowerLetter"/>
      <w:start w:val="4"/>
    </w:lvl>
  </w:abstractNum>
  <w:abstractNum w:abstractNumId="89">
    <w:nsid w:val="51088277"/>
    <w:multiLevelType w:val="hybridMultilevel"/>
    <w:lvl w:ilvl="0">
      <w:lvlJc w:val="left"/>
      <w:lvlText w:val="%1."/>
      <w:numFmt w:val="lowerLetter"/>
      <w:start w:val="5"/>
    </w:lvl>
  </w:abstractNum>
  <w:abstractNum w:abstractNumId="90">
    <w:nsid w:val="1CA0C5FA"/>
    <w:multiLevelType w:val="hybridMultilevel"/>
    <w:lvl w:ilvl="0">
      <w:lvlJc w:val="left"/>
      <w:lvlText w:val="%1."/>
      <w:numFmt w:val="lowerLetter"/>
      <w:start w:val="6"/>
    </w:lvl>
  </w:abstractNum>
  <w:abstractNum w:abstractNumId="91">
    <w:nsid w:val="53584BCB"/>
    <w:multiLevelType w:val="hybridMultilevel"/>
    <w:lvl w:ilvl="0">
      <w:lvlJc w:val="left"/>
      <w:lvlText w:val="%1."/>
      <w:numFmt w:val="lowerLetter"/>
      <w:start w:val="7"/>
    </w:lvl>
  </w:abstractNum>
  <w:abstractNum w:abstractNumId="92">
    <w:nsid w:val="415E286C"/>
    <w:multiLevelType w:val="hybridMultilevel"/>
    <w:lvl w:ilvl="0">
      <w:lvlJc w:val="left"/>
      <w:lvlText w:val="%1."/>
      <w:numFmt w:val="lowerLetter"/>
      <w:start w:val="8"/>
    </w:lvl>
  </w:abstractNum>
  <w:abstractNum w:abstractNumId="93">
    <w:nsid w:val="7C58FD05"/>
    <w:multiLevelType w:val="hybridMultilevel"/>
    <w:lvl w:ilvl="0">
      <w:lvlJc w:val="left"/>
      <w:lvlText w:val="%1."/>
      <w:numFmt w:val="lowerRoman"/>
    </w:lvl>
    <w:lvl w:ilvl="1">
      <w:lvlJc w:val="left"/>
      <w:lvlText w:val="(*)"/>
      <w:numFmt w:val="bullet"/>
      <w:start w:val="1"/>
    </w:lvl>
  </w:abstractNum>
  <w:abstractNum w:abstractNumId="94">
    <w:nsid w:val="23D86AAC"/>
    <w:multiLevelType w:val="hybridMultilevel"/>
    <w:lvl w:ilvl="0">
      <w:lvlJc w:val="left"/>
      <w:lvlText w:val="%1."/>
      <w:numFmt w:val="lowerLetter"/>
      <w:start w:val="10"/>
    </w:lvl>
  </w:abstractNum>
  <w:abstractNum w:abstractNumId="95">
    <w:nsid w:val="45E6D486"/>
    <w:multiLevelType w:val="hybridMultilevel"/>
    <w:lvl w:ilvl="0">
      <w:lvlJc w:val="left"/>
      <w:lvlText w:val="%1."/>
      <w:numFmt w:val="lowerLetter"/>
      <w:start w:val="11"/>
    </w:lvl>
  </w:abstractNum>
  <w:abstractNum w:abstractNumId="96">
    <w:nsid w:val="5C10FE21"/>
    <w:multiLevelType w:val="hybridMultilevel"/>
    <w:lvl w:ilvl="0">
      <w:lvlJc w:val="left"/>
      <w:lvlText w:val="%1."/>
      <w:numFmt w:val="lowerLetter"/>
      <w:start w:val="14"/>
    </w:lvl>
  </w:abstractNum>
  <w:abstractNum w:abstractNumId="97">
    <w:nsid w:val="E7FFA2B"/>
    <w:multiLevelType w:val="hybridMultilevel"/>
    <w:lvl w:ilvl="0">
      <w:lvlJc w:val="left"/>
      <w:lvlText w:val="\emdash "/>
      <w:numFmt w:val="bullet"/>
      <w:start w:val="1"/>
    </w:lvl>
  </w:abstractNum>
  <w:abstractNum w:abstractNumId="98">
    <w:nsid w:val="3C5991AA"/>
    <w:multiLevelType w:val="hybridMultilevel"/>
    <w:lvl w:ilvl="0">
      <w:lvlJc w:val="left"/>
      <w:lvlText w:val="%1."/>
      <w:numFmt w:val="lowerLetter"/>
      <w:start w:val="17"/>
    </w:lvl>
  </w:abstractNum>
  <w:abstractNum w:abstractNumId="99">
    <w:nsid w:val="4BD8591A"/>
    <w:multiLevelType w:val="hybridMultilevel"/>
    <w:lvl w:ilvl="0">
      <w:lvlJc w:val="left"/>
      <w:lvlText w:val="%1."/>
      <w:numFmt w:val="lowerLetter"/>
      <w:start w:val="18"/>
    </w:lvl>
  </w:abstractNum>
  <w:abstractNum w:abstractNumId="100">
    <w:nsid w:val="78DF6A55"/>
    <w:multiLevelType w:val="hybridMultilevel"/>
    <w:lvl w:ilvl="0">
      <w:lvlJc w:val="left"/>
      <w:lvlText w:val="%1."/>
      <w:numFmt w:val="lowerLetter"/>
      <w:start w:val="20"/>
    </w:lvl>
  </w:abstractNum>
  <w:abstractNum w:abstractNumId="101">
    <w:nsid w:val="39B7AAA2"/>
    <w:multiLevelType w:val="hybridMultilevel"/>
    <w:lvl w:ilvl="0">
      <w:lvlJc w:val="left"/>
      <w:lvlText w:val="%1."/>
      <w:numFmt w:val="lowerLetter"/>
      <w:start w:val="23"/>
    </w:lvl>
  </w:abstractNum>
  <w:abstractNum w:abstractNumId="102">
    <w:nsid w:val="2B0D8DBE"/>
    <w:multiLevelType w:val="hybridMultilevel"/>
    <w:lvl w:ilvl="0">
      <w:lvlJc w:val="left"/>
      <w:lvlText w:val="(*)"/>
      <w:numFmt w:val="bullet"/>
      <w:start w:val="1"/>
    </w:lvl>
  </w:abstractNum>
  <w:abstractNum w:abstractNumId="103">
    <w:nsid w:val="6C80EC70"/>
    <w:multiLevelType w:val="hybridMultilevel"/>
    <w:lvl w:ilvl="0">
      <w:lvlJc w:val="left"/>
      <w:lvlText w:val="%1."/>
      <w:numFmt w:val="lowerLetter"/>
      <w:start w:val="2"/>
    </w:lvl>
  </w:abstractNum>
  <w:abstractNum w:abstractNumId="104">
    <w:nsid w:val="379E21B5"/>
    <w:multiLevelType w:val="hybridMultilevel"/>
    <w:lvl w:ilvl="0">
      <w:lvlJc w:val="left"/>
      <w:lvlText w:val="(%1)"/>
      <w:numFmt w:val="lowerLetter"/>
      <w:start w:val="2"/>
    </w:lvl>
  </w:abstractNum>
  <w:abstractNum w:abstractNumId="105">
    <w:nsid w:val="69E373"/>
    <w:multiLevelType w:val="hybridMultilevel"/>
    <w:lvl w:ilvl="0">
      <w:lvlJc w:val="left"/>
      <w:lvlText w:val="%1."/>
      <w:numFmt w:val="lowerLetter"/>
      <w:start w:val="3"/>
    </w:lvl>
  </w:abstractNum>
  <w:abstractNum w:abstractNumId="106">
    <w:nsid w:val="2C27173B"/>
    <w:multiLevelType w:val="hybridMultilevel"/>
    <w:lvl w:ilvl="0">
      <w:lvlJc w:val="left"/>
      <w:lvlText w:val="%1."/>
      <w:numFmt w:val="lowerLetter"/>
      <w:start w:val="4"/>
    </w:lvl>
  </w:abstractNum>
  <w:abstractNum w:abstractNumId="107">
    <w:nsid w:val="4C9B0904"/>
    <w:multiLevelType w:val="hybridMultilevel"/>
    <w:lvl w:ilvl="0">
      <w:lvlJc w:val="left"/>
      <w:lvlText w:val="%1."/>
      <w:numFmt w:val="lowerLetter"/>
      <w:start w:val="5"/>
    </w:lvl>
    <w:lvl w:ilvl="1">
      <w:lvlJc w:val="left"/>
      <w:lvlText w:val="%2."/>
      <w:numFmt w:val="decimal"/>
      <w:start w:val="1"/>
    </w:lvl>
  </w:abstractNum>
  <w:abstractNum w:abstractNumId="108">
    <w:nsid w:val="6AA7B75C"/>
    <w:multiLevelType w:val="hybridMultilevel"/>
    <w:lvl w:ilvl="0">
      <w:lvlJc w:val="left"/>
      <w:lvlText w:val="%1"/>
      <w:numFmt w:val="lowerLetter"/>
      <w:start w:val="1"/>
    </w:lvl>
    <w:lvl w:ilvl="1">
      <w:lvlJc w:val="left"/>
      <w:lvlText w:val="%2."/>
      <w:numFmt w:val="decimal"/>
      <w:start w:val="2"/>
    </w:lvl>
  </w:abstractNum>
  <w:abstractNum w:abstractNumId="109">
    <w:nsid w:val="1DF029D3"/>
    <w:multiLevelType w:val="hybridMultilevel"/>
    <w:lvl w:ilvl="0">
      <w:lvlJc w:val="left"/>
      <w:lvlText w:val="%1."/>
      <w:numFmt w:val="lowerLetter"/>
      <w:start w:val="6"/>
    </w:lvl>
    <w:lvl w:ilvl="1">
      <w:lvlJc w:val="left"/>
      <w:lvlText w:val="%2"/>
      <w:numFmt w:val="decimal"/>
      <w:start w:val="1"/>
    </w:lvl>
  </w:abstractNum>
  <w:abstractNum w:abstractNumId="110">
    <w:nsid w:val="5675FF36"/>
    <w:multiLevelType w:val="hybridMultilevel"/>
    <w:lvl w:ilvl="0">
      <w:lvlJc w:val="left"/>
      <w:lvlText w:val="%1."/>
      <w:numFmt w:val="lowerLetter"/>
      <w:start w:val="1"/>
    </w:lvl>
  </w:abstractNum>
  <w:abstractNum w:abstractNumId="111">
    <w:nsid w:val="3DD15094"/>
    <w:multiLevelType w:val="hybridMultilevel"/>
    <w:lvl w:ilvl="0">
      <w:lvlJc w:val="left"/>
      <w:lvlText w:val="%1."/>
      <w:numFmt w:val="lowerLetter"/>
      <w:start w:val="2"/>
    </w:lvl>
  </w:abstractNum>
  <w:abstractNum w:abstractNumId="112">
    <w:nsid w:val="3DB012B3"/>
    <w:multiLevelType w:val="hybridMultilevel"/>
    <w:lvl w:ilvl="0">
      <w:lvlJc w:val="left"/>
      <w:lvlText w:val="%1."/>
      <w:numFmt w:val="lowerLetter"/>
      <w:start w:val="3"/>
    </w:lvl>
  </w:abstractNum>
  <w:abstractNum w:abstractNumId="113">
    <w:nsid w:val="2708C9AF"/>
    <w:multiLevelType w:val="hybridMultilevel"/>
    <w:lvl w:ilvl="0">
      <w:lvlJc w:val="left"/>
      <w:lvlText w:val="%1."/>
      <w:numFmt w:val="lowerLetter"/>
      <w:start w:val="5"/>
    </w:lvl>
  </w:abstractNum>
  <w:abstractNum w:abstractNumId="114">
    <w:nsid w:val="5B25ACE2"/>
    <w:multiLevelType w:val="hybridMultilevel"/>
    <w:lvl w:ilvl="0">
      <w:lvlJc w:val="left"/>
      <w:lvlText w:val="%1."/>
      <w:numFmt w:val="lowerLetter"/>
      <w:start w:val="2"/>
    </w:lvl>
  </w:abstractNum>
  <w:abstractNum w:abstractNumId="115">
    <w:nsid w:val="175DFCF0"/>
    <w:multiLevelType w:val="hybridMultilevel"/>
    <w:lvl w:ilvl="0">
      <w:lvlJc w:val="left"/>
      <w:lvlText w:val="(%1)"/>
      <w:numFmt w:val="lowerLetter"/>
      <w:start w:val="1"/>
    </w:lvl>
  </w:abstractNum>
  <w:abstractNum w:abstractNumId="116">
    <w:nsid w:val="4F97E3E4"/>
    <w:multiLevelType w:val="hybridMultilevel"/>
    <w:lvl w:ilvl="0">
      <w:lvlJc w:val="left"/>
      <w:lvlText w:val="%1."/>
      <w:numFmt w:val="lowerLetter"/>
      <w:start w:val="3"/>
    </w:lvl>
  </w:abstractNum>
  <w:abstractNum w:abstractNumId="117">
    <w:nsid w:val="53B0A9E"/>
    <w:multiLevelType w:val="hybridMultilevel"/>
    <w:lvl w:ilvl="0">
      <w:lvlJc w:val="left"/>
      <w:lvlText w:val="%1."/>
      <w:numFmt w:val="lowerLetter"/>
      <w:start w:val="4"/>
    </w:lvl>
  </w:abstractNum>
  <w:abstractNum w:abstractNumId="118">
    <w:nsid w:val="34FD6B4F"/>
    <w:multiLevelType w:val="hybridMultilevel"/>
    <w:lvl w:ilvl="0">
      <w:lvlJc w:val="left"/>
      <w:lvlText w:val="%1."/>
      <w:numFmt w:val="lowerLetter"/>
      <w:start w:val="5"/>
    </w:lvl>
  </w:abstractNum>
  <w:abstractNum w:abstractNumId="119">
    <w:nsid w:val="5915FF32"/>
    <w:multiLevelType w:val="hybridMultilevel"/>
    <w:lvl w:ilvl="0">
      <w:lvlJc w:val="left"/>
      <w:lvlText w:val="%1."/>
      <w:numFmt w:val="lowerLetter"/>
      <w:start w:val="6"/>
    </w:lvl>
  </w:abstractNum>
  <w:abstractNum w:abstractNumId="120">
    <w:nsid w:val="56438D15"/>
    <w:multiLevelType w:val="hybridMultilevel"/>
    <w:lvl w:ilvl="0">
      <w:lvlJc w:val="left"/>
      <w:lvlText w:val="%1."/>
      <w:numFmt w:val="lowerLetter"/>
      <w:start w:val="7"/>
    </w:lvl>
  </w:abstractNum>
  <w:abstractNum w:abstractNumId="121">
    <w:nsid w:val="519E3149"/>
    <w:multiLevelType w:val="hybridMultilevel"/>
    <w:lvl w:ilvl="0">
      <w:lvlJc w:val="left"/>
      <w:lvlText w:val="%1."/>
      <w:numFmt w:val="lowerLetter"/>
      <w:start w:val="8"/>
    </w:lvl>
  </w:abstractNum>
  <w:abstractNum w:abstractNumId="122">
    <w:nsid w:val="2C6E4AFD"/>
    <w:multiLevelType w:val="hybridMultilevel"/>
    <w:lvl w:ilvl="0">
      <w:lvlJc w:val="left"/>
      <w:lvlText w:val="%1."/>
      <w:numFmt w:val="lowerRoman"/>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1."/>
      <w:numFmt w:val="lowerLetter"/>
      <w:start w:val="10"/>
    </w:lvl>
  </w:abstractNum>
  <w:abstractNum w:abstractNumId="125">
    <w:nsid w:val="5046B5A9"/>
    <w:multiLevelType w:val="hybridMultilevel"/>
    <w:lvl w:ilvl="0">
      <w:lvlJc w:val="left"/>
      <w:lvlText w:val="%1."/>
      <w:numFmt w:val="lowerLetter"/>
      <w:start w:val="1"/>
    </w:lvl>
  </w:abstractNum>
  <w:abstractNum w:abstractNumId="126">
    <w:nsid w:val="5D888A08"/>
    <w:multiLevelType w:val="hybridMultilevel"/>
    <w:lvl w:ilvl="0">
      <w:lvlJc w:val="left"/>
      <w:lvlText w:val="%1."/>
      <w:numFmt w:val="lowerLetter"/>
      <w:start w:val="2"/>
    </w:lvl>
  </w:abstractNum>
  <w:abstractNum w:abstractNumId="127">
    <w:nsid w:val="2A082C70"/>
    <w:multiLevelType w:val="hybridMultilevel"/>
    <w:lvl w:ilvl="0">
      <w:lvlJc w:val="left"/>
      <w:lvlText w:val="%1."/>
      <w:numFmt w:val="lowerLetter"/>
      <w:start w:val="1"/>
    </w:lvl>
  </w:abstractNum>
  <w:abstractNum w:abstractNumId="128">
    <w:nsid w:val="5EC6AFD4"/>
    <w:multiLevelType w:val="hybridMultilevel"/>
    <w:lvl w:ilvl="0">
      <w:lvlJc w:val="left"/>
      <w:lvlText w:val="%1."/>
      <w:numFmt w:val="lowerLetter"/>
      <w:start w:val="2"/>
    </w:lvl>
  </w:abstractNum>
  <w:abstractNum w:abstractNumId="129">
    <w:nsid w:val="19E21BB2"/>
    <w:multiLevelType w:val="hybridMultilevel"/>
    <w:lvl w:ilvl="0">
      <w:lvlJc w:val="left"/>
      <w:lvlText w:val="%1."/>
      <w:numFmt w:val="lowerLetter"/>
      <w:start w:val="3"/>
    </w:lvl>
    <w:lvl w:ilvl="1">
      <w:lvlJc w:val="left"/>
      <w:lvlText w:val="%2."/>
      <w:numFmt w:val="lowerLetter"/>
      <w:start w:val="4"/>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2019-12-09T05:22:22Z</dcterms:created>
  <dcterms:modified xsi:type="dcterms:W3CDTF">2019-12-09T05:22:22Z</dcterms:modified>
</cp:coreProperties>
</file>