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278130</wp:posOffset>
            </wp:positionH>
            <wp:positionV relativeFrom="page">
              <wp:posOffset>115570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278130</wp:posOffset>
            </wp:positionH>
            <wp:positionV relativeFrom="page">
              <wp:posOffset>158115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2759075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2759075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Kornit Digital Ltd.</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Ordinary Shares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M6372Q113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2018</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2759075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080" w:hanging="201"/>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080" w:hanging="201"/>
        <w:spacing w:after="0"/>
        <w:tabs>
          <w:tab w:leader="none" w:pos="10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080" w:hanging="201"/>
        <w:spacing w:after="0"/>
        <w:tabs>
          <w:tab w:leader="none" w:pos="10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437" w:right="519" w:bottom="1440" w:gutter="0" w:footer="0" w:header="0"/>
        </w:sectPr>
      </w:pPr>
    </w:p>
    <w:bookmarkStart w:id="1" w:name="page2"/>
    <w:bookmarkEnd w:id="1"/>
    <w:tbl>
      <w:tblPr>
        <w:tblLayout w:type="fixed"/>
        <w:tblInd w:w="12"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40" w:type="dxa"/>
            <w:vAlign w:val="bottom"/>
            <w:gridSpan w:val="2"/>
          </w:tcPr>
          <w:p>
            <w:pPr>
              <w:ind w:left="336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338"/>
        </w:trPr>
        <w:tc>
          <w:tcPr>
            <w:tcW w:w="5360" w:type="dxa"/>
            <w:vAlign w:val="bottom"/>
            <w:gridSpan w:val="5"/>
          </w:tcPr>
          <w:p>
            <w:pPr>
              <w:spacing w:after="0"/>
              <w:rPr>
                <w:sz w:val="20"/>
                <w:szCs w:val="20"/>
                <w:color w:val="auto"/>
              </w:rPr>
            </w:pPr>
            <w:r>
              <w:rPr>
                <w:rFonts w:ascii="Arial" w:cs="Arial" w:eastAsia="Arial" w:hAnsi="Arial"/>
                <w:sz w:val="18"/>
                <w:szCs w:val="18"/>
                <w:color w:val="auto"/>
              </w:rPr>
              <w:t>CUSIP NO. M6372Q113</w:t>
            </w:r>
          </w:p>
        </w:tc>
        <w:tc>
          <w:tcPr>
            <w:tcW w:w="5680" w:type="dxa"/>
            <w:vAlign w:val="bottom"/>
          </w:tcPr>
          <w:p>
            <w:pPr>
              <w:ind w:left="4840"/>
              <w:spacing w:after="0"/>
              <w:rPr>
                <w:sz w:val="20"/>
                <w:szCs w:val="20"/>
                <w:color w:val="auto"/>
              </w:rPr>
            </w:pPr>
            <w:r>
              <w:rPr>
                <w:rFonts w:ascii="Arial" w:cs="Arial" w:eastAsia="Arial" w:hAnsi="Arial"/>
                <w:sz w:val="18"/>
                <w:szCs w:val="18"/>
                <w:color w:val="auto"/>
                <w:w w:val="86"/>
              </w:rPr>
              <w:t>Page 2 of 6</w:t>
            </w:r>
          </w:p>
        </w:tc>
        <w:tc>
          <w:tcPr>
            <w:tcW w:w="0" w:type="dxa"/>
            <w:vAlign w:val="bottom"/>
          </w:tcPr>
          <w:p>
            <w:pPr>
              <w:spacing w:after="0"/>
              <w:rPr>
                <w:sz w:val="1"/>
                <w:szCs w:val="1"/>
                <w:color w:val="auto"/>
              </w:rPr>
            </w:pPr>
          </w:p>
        </w:tc>
      </w:tr>
      <w:tr>
        <w:trPr>
          <w:trHeight w:val="54"/>
        </w:trPr>
        <w:tc>
          <w:tcPr>
            <w:tcW w:w="4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960" w:type="dxa"/>
            <w:vAlign w:val="bottom"/>
            <w:tcBorders>
              <w:bottom w:val="single" w:sz="8" w:color="auto"/>
            </w:tcBorders>
            <w:gridSpan w:val="2"/>
          </w:tcPr>
          <w:p>
            <w:pPr>
              <w:spacing w:after="0"/>
              <w:rPr>
                <w:sz w:val="4"/>
                <w:szCs w:val="4"/>
                <w:color w:val="auto"/>
              </w:rPr>
            </w:pPr>
          </w:p>
        </w:tc>
        <w:tc>
          <w:tcPr>
            <w:tcW w:w="5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00" w:type="dxa"/>
            <w:vAlign w:val="bottom"/>
            <w:tcBorders>
              <w:bottom w:val="single" w:sz="8" w:color="auto"/>
            </w:tcBorders>
          </w:tcPr>
          <w:p>
            <w:pPr>
              <w:spacing w:after="0"/>
              <w:rPr>
                <w:sz w:val="13"/>
                <w:szCs w:val="13"/>
                <w:color w:val="auto"/>
              </w:rPr>
            </w:pPr>
          </w:p>
        </w:tc>
        <w:tc>
          <w:tcPr>
            <w:tcW w:w="4960" w:type="dxa"/>
            <w:vAlign w:val="bottom"/>
            <w:tcBorders>
              <w:bottom w:val="single" w:sz="8" w:color="auto"/>
            </w:tcBorders>
            <w:gridSpan w:val="4"/>
          </w:tcPr>
          <w:p>
            <w:pPr>
              <w:spacing w:after="0"/>
              <w:rPr>
                <w:sz w:val="13"/>
                <w:szCs w:val="13"/>
                <w:color w:val="auto"/>
              </w:rPr>
            </w:pPr>
          </w:p>
        </w:tc>
        <w:tc>
          <w:tcPr>
            <w:tcW w:w="5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960" w:type="dxa"/>
            <w:vAlign w:val="bottom"/>
            <w:gridSpan w:val="4"/>
          </w:tcPr>
          <w:p>
            <w:pPr>
              <w:ind w:left="120"/>
              <w:spacing w:after="0"/>
              <w:rPr>
                <w:sz w:val="20"/>
                <w:szCs w:val="20"/>
                <w:color w:val="auto"/>
              </w:rPr>
            </w:pPr>
            <w:r>
              <w:rPr>
                <w:rFonts w:ascii="Arial" w:cs="Arial" w:eastAsia="Arial" w:hAnsi="Arial"/>
                <w:sz w:val="18"/>
                <w:szCs w:val="18"/>
                <w:color w:val="auto"/>
              </w:rPr>
              <w:t>Names of reporting persons</w:t>
            </w:r>
          </w:p>
        </w:tc>
        <w:tc>
          <w:tcPr>
            <w:tcW w:w="5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4960" w:type="dxa"/>
            <w:vAlign w:val="bottom"/>
            <w:tcBorders>
              <w:bottom w:val="single" w:sz="8" w:color="auto"/>
            </w:tcBorders>
            <w:gridSpan w:val="4"/>
          </w:tcPr>
          <w:p>
            <w:pPr>
              <w:ind w:left="120"/>
              <w:spacing w:after="0"/>
              <w:rPr>
                <w:sz w:val="20"/>
                <w:szCs w:val="20"/>
                <w:color w:val="auto"/>
              </w:rPr>
            </w:pPr>
            <w:r>
              <w:rPr>
                <w:rFonts w:ascii="Arial" w:cs="Arial" w:eastAsia="Arial" w:hAnsi="Arial"/>
                <w:sz w:val="22"/>
                <w:szCs w:val="22"/>
                <w:color w:val="auto"/>
              </w:rPr>
              <w:t>Granahan Investment Management, Inc.</w:t>
            </w:r>
          </w:p>
        </w:tc>
        <w:tc>
          <w:tcPr>
            <w:tcW w:w="5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00" w:type="dxa"/>
            <w:vAlign w:val="bottom"/>
            <w:tcBorders>
              <w:left w:val="single" w:sz="8" w:color="auto"/>
              <w:right w:val="single" w:sz="8" w:color="auto"/>
            </w:tcBorders>
          </w:tcPr>
          <w:p>
            <w:pPr>
              <w:jc w:val="right"/>
              <w:spacing w:after="0" w:line="164" w:lineRule="exact"/>
              <w:rPr>
                <w:sz w:val="20"/>
                <w:szCs w:val="20"/>
                <w:color w:val="auto"/>
              </w:rPr>
            </w:pPr>
            <w:r>
              <w:rPr>
                <w:rFonts w:ascii="Arial" w:cs="Arial" w:eastAsia="Arial" w:hAnsi="Arial"/>
                <w:sz w:val="18"/>
                <w:szCs w:val="18"/>
                <w:color w:val="auto"/>
              </w:rPr>
              <w:t>2</w:t>
            </w:r>
          </w:p>
        </w:tc>
        <w:tc>
          <w:tcPr>
            <w:tcW w:w="4960" w:type="dxa"/>
            <w:vAlign w:val="bottom"/>
            <w:gridSpan w:val="4"/>
          </w:tcPr>
          <w:p>
            <w:pPr>
              <w:ind w:left="12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5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0" w:type="dxa"/>
            <w:vAlign w:val="bottom"/>
            <w:tcBorders>
              <w:left w:val="single" w:sz="8" w:color="auto"/>
              <w:right w:val="single" w:sz="8" w:color="auto"/>
            </w:tcBorders>
          </w:tcPr>
          <w:p>
            <w:pPr>
              <w:spacing w:after="0"/>
              <w:rPr>
                <w:sz w:val="24"/>
                <w:szCs w:val="24"/>
                <w:color w:val="auto"/>
              </w:rPr>
            </w:pPr>
          </w:p>
        </w:tc>
        <w:tc>
          <w:tcPr>
            <w:tcW w:w="7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200" w:type="dxa"/>
            <w:vAlign w:val="bottom"/>
            <w:gridSpan w:val="3"/>
          </w:tcPr>
          <w:p>
            <w:pPr>
              <w:ind w:left="1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5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gridSpan w:val="3"/>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5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3"/>
          </w:tcPr>
          <w:p>
            <w:pPr>
              <w:ind w:left="120"/>
              <w:spacing w:after="0"/>
              <w:rPr>
                <w:sz w:val="20"/>
                <w:szCs w:val="20"/>
                <w:color w:val="auto"/>
              </w:rPr>
            </w:pPr>
            <w:r>
              <w:rPr>
                <w:rFonts w:ascii="Arial" w:cs="Arial" w:eastAsia="Arial" w:hAnsi="Arial"/>
                <w:sz w:val="18"/>
                <w:szCs w:val="18"/>
                <w:color w:val="auto"/>
                <w:w w:val="87"/>
              </w:rPr>
              <w:t>SEC use only</w:t>
            </w:r>
          </w:p>
        </w:tc>
        <w:tc>
          <w:tcPr>
            <w:tcW w:w="3860" w:type="dxa"/>
            <w:vAlign w:val="bottom"/>
          </w:tcPr>
          <w:p>
            <w:pPr>
              <w:spacing w:after="0"/>
              <w:rPr>
                <w:sz w:val="19"/>
                <w:szCs w:val="19"/>
                <w:color w:val="auto"/>
              </w:rPr>
            </w:pPr>
          </w:p>
        </w:tc>
        <w:tc>
          <w:tcPr>
            <w:tcW w:w="5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right w:val="single" w:sz="8" w:color="auto"/>
            </w:tcBorders>
          </w:tcPr>
          <w:p>
            <w:pPr>
              <w:spacing w:after="0"/>
              <w:rPr>
                <w:sz w:val="21"/>
                <w:szCs w:val="21"/>
                <w:color w:val="auto"/>
              </w:rPr>
            </w:pPr>
          </w:p>
        </w:tc>
        <w:tc>
          <w:tcPr>
            <w:tcW w:w="4960" w:type="dxa"/>
            <w:vAlign w:val="bottom"/>
            <w:tcBorders>
              <w:bottom w:val="single" w:sz="8" w:color="auto"/>
            </w:tcBorders>
            <w:gridSpan w:val="4"/>
          </w:tcPr>
          <w:p>
            <w:pPr>
              <w:spacing w:after="0"/>
              <w:rPr>
                <w:sz w:val="21"/>
                <w:szCs w:val="21"/>
                <w:color w:val="auto"/>
              </w:rPr>
            </w:pPr>
          </w:p>
        </w:tc>
        <w:tc>
          <w:tcPr>
            <w:tcW w:w="56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960" w:type="dxa"/>
            <w:vAlign w:val="bottom"/>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5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49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Massachusetts</w:t>
            </w:r>
          </w:p>
        </w:tc>
        <w:tc>
          <w:tcPr>
            <w:tcW w:w="5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5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116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954,814</w:t>
            </w:r>
          </w:p>
        </w:tc>
        <w:tc>
          <w:tcPr>
            <w:tcW w:w="5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160" w:type="dxa"/>
            <w:vAlign w:val="bottom"/>
            <w:tcBorders>
              <w:left w:val="single" w:sz="8" w:color="auto"/>
              <w:right w:val="single" w:sz="8" w:color="auto"/>
            </w:tcBorders>
            <w:gridSpan w:val="2"/>
            <w:vMerge w:val="continue"/>
          </w:tcPr>
          <w:p>
            <w:pPr>
              <w:spacing w:after="0"/>
              <w:rPr>
                <w:sz w:val="4"/>
                <w:szCs w:val="4"/>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4"/>
                <w:szCs w:val="4"/>
                <w:color w:val="auto"/>
              </w:rPr>
            </w:pPr>
          </w:p>
        </w:tc>
        <w:tc>
          <w:tcPr>
            <w:tcW w:w="38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56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1"/>
              </w:rPr>
              <w:t>shares</w:t>
            </w:r>
          </w:p>
        </w:tc>
        <w:tc>
          <w:tcPr>
            <w:tcW w:w="24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860" w:type="dxa"/>
            <w:vAlign w:val="bottom"/>
            <w:vMerge w:val="continue"/>
          </w:tcPr>
          <w:p>
            <w:pPr>
              <w:spacing w:after="0"/>
              <w:rPr>
                <w:sz w:val="15"/>
                <w:szCs w:val="15"/>
                <w:color w:val="auto"/>
              </w:rPr>
            </w:pPr>
          </w:p>
        </w:tc>
        <w:tc>
          <w:tcPr>
            <w:tcW w:w="5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Borders>
              <w:left w:val="single" w:sz="8" w:color="auto"/>
            </w:tcBorders>
          </w:tcPr>
          <w:p>
            <w:pPr>
              <w:spacing w:after="0"/>
              <w:rPr>
                <w:sz w:val="3"/>
                <w:szCs w:val="3"/>
                <w:color w:val="auto"/>
              </w:rPr>
            </w:pPr>
          </w:p>
        </w:tc>
        <w:tc>
          <w:tcPr>
            <w:tcW w:w="760" w:type="dxa"/>
            <w:vAlign w:val="bottom"/>
            <w:tcBorders>
              <w:right w:val="single" w:sz="8" w:color="auto"/>
            </w:tcBorders>
            <w:vMerge w:val="continue"/>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60" w:type="dxa"/>
            <w:vAlign w:val="bottom"/>
          </w:tcPr>
          <w:p>
            <w:pPr>
              <w:spacing w:after="0"/>
              <w:rPr>
                <w:sz w:val="3"/>
                <w:szCs w:val="3"/>
                <w:color w:val="auto"/>
              </w:rPr>
            </w:pPr>
          </w:p>
        </w:tc>
        <w:tc>
          <w:tcPr>
            <w:tcW w:w="5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Borders>
              <w:left w:val="single" w:sz="8" w:color="auto"/>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4"/>
              </w:rPr>
              <w:t>beneficially</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vMerge w:val="restart"/>
          </w:tcPr>
          <w:p>
            <w:pPr>
              <w:ind w:left="220"/>
              <w:spacing w:after="0"/>
              <w:rPr>
                <w:sz w:val="20"/>
                <w:szCs w:val="20"/>
                <w:color w:val="auto"/>
              </w:rPr>
            </w:pPr>
            <w:r>
              <w:rPr>
                <w:rFonts w:ascii="Arial" w:cs="Arial" w:eastAsia="Arial" w:hAnsi="Arial"/>
                <w:sz w:val="22"/>
                <w:szCs w:val="22"/>
                <w:color w:val="auto"/>
              </w:rPr>
              <w:t>0</w:t>
            </w:r>
          </w:p>
        </w:tc>
        <w:tc>
          <w:tcPr>
            <w:tcW w:w="5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0"/>
              </w:rPr>
              <w:t>owned by</w:t>
            </w:r>
          </w:p>
        </w:tc>
        <w:tc>
          <w:tcPr>
            <w:tcW w:w="2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vMerge w:val="continue"/>
          </w:tcPr>
          <w:p>
            <w:pPr>
              <w:spacing w:after="0"/>
              <w:rPr>
                <w:sz w:val="20"/>
                <w:szCs w:val="20"/>
                <w:color w:val="auto"/>
              </w:rPr>
            </w:pPr>
          </w:p>
        </w:tc>
        <w:tc>
          <w:tcPr>
            <w:tcW w:w="5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tcPr>
          <w:p>
            <w:pPr>
              <w:jc w:val="center"/>
              <w:ind w:right="185"/>
              <w:spacing w:after="0" w:line="182" w:lineRule="exact"/>
              <w:rPr>
                <w:sz w:val="20"/>
                <w:szCs w:val="20"/>
                <w:color w:val="auto"/>
              </w:rPr>
            </w:pPr>
            <w:r>
              <w:rPr>
                <w:rFonts w:ascii="Arial" w:cs="Arial" w:eastAsia="Arial" w:hAnsi="Arial"/>
                <w:sz w:val="18"/>
                <w:szCs w:val="18"/>
                <w:color w:val="auto"/>
                <w:w w:val="81"/>
              </w:rPr>
              <w:t>each</w:t>
            </w:r>
          </w:p>
        </w:tc>
        <w:tc>
          <w:tcPr>
            <w:tcW w:w="2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386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5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Borders>
              <w:left w:val="single" w:sz="8" w:color="auto"/>
            </w:tcBorders>
          </w:tcPr>
          <w:p>
            <w:pPr>
              <w:spacing w:after="0"/>
              <w:rPr>
                <w:sz w:val="21"/>
                <w:szCs w:val="21"/>
                <w:color w:val="auto"/>
              </w:rPr>
            </w:pPr>
          </w:p>
        </w:tc>
        <w:tc>
          <w:tcPr>
            <w:tcW w:w="760" w:type="dxa"/>
            <w:vAlign w:val="bottom"/>
            <w:tcBorders>
              <w:right w:val="single" w:sz="8" w:color="auto"/>
            </w:tcBorders>
          </w:tcPr>
          <w:p>
            <w:pPr>
              <w:jc w:val="center"/>
              <w:ind w:right="185"/>
              <w:spacing w:after="0"/>
              <w:rPr>
                <w:sz w:val="20"/>
                <w:szCs w:val="20"/>
                <w:color w:val="auto"/>
              </w:rPr>
            </w:pPr>
            <w:r>
              <w:rPr>
                <w:rFonts w:ascii="Arial" w:cs="Arial" w:eastAsia="Arial" w:hAnsi="Arial"/>
                <w:sz w:val="18"/>
                <w:szCs w:val="18"/>
                <w:color w:val="auto"/>
                <w:w w:val="87"/>
              </w:rPr>
              <w:t>person</w:t>
            </w:r>
          </w:p>
        </w:tc>
        <w:tc>
          <w:tcPr>
            <w:tcW w:w="2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60" w:type="dxa"/>
            <w:vAlign w:val="bottom"/>
          </w:tcPr>
          <w:p>
            <w:pPr>
              <w:ind w:left="220"/>
              <w:spacing w:after="0" w:line="244" w:lineRule="exact"/>
              <w:rPr>
                <w:sz w:val="20"/>
                <w:szCs w:val="20"/>
                <w:color w:val="auto"/>
              </w:rPr>
            </w:pPr>
            <w:r>
              <w:rPr>
                <w:rFonts w:ascii="Arial" w:cs="Arial" w:eastAsia="Arial" w:hAnsi="Arial"/>
                <w:sz w:val="22"/>
                <w:szCs w:val="22"/>
                <w:color w:val="auto"/>
              </w:rPr>
              <w:t>1,801,252</w:t>
            </w:r>
          </w:p>
        </w:tc>
        <w:tc>
          <w:tcPr>
            <w:tcW w:w="5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97"/>
              </w:rPr>
              <w:t>with:</w:t>
            </w:r>
          </w:p>
        </w:tc>
        <w:tc>
          <w:tcPr>
            <w:tcW w:w="2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5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2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2"/>
                <w:szCs w:val="12"/>
                <w:color w:val="auto"/>
              </w:rPr>
            </w:pPr>
          </w:p>
        </w:tc>
        <w:tc>
          <w:tcPr>
            <w:tcW w:w="386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5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3860" w:type="dxa"/>
            <w:vAlign w:val="bottom"/>
            <w:vMerge w:val="continue"/>
          </w:tcPr>
          <w:p>
            <w:pPr>
              <w:spacing w:after="0"/>
              <w:rPr>
                <w:sz w:val="7"/>
                <w:szCs w:val="7"/>
                <w:color w:val="auto"/>
              </w:rPr>
            </w:pPr>
          </w:p>
        </w:tc>
        <w:tc>
          <w:tcPr>
            <w:tcW w:w="5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00" w:type="dxa"/>
            <w:vAlign w:val="bottom"/>
            <w:tcBorders>
              <w:left w:val="single" w:sz="8" w:color="auto"/>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0</w:t>
            </w:r>
          </w:p>
        </w:tc>
        <w:tc>
          <w:tcPr>
            <w:tcW w:w="5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Aggregate</w:t>
            </w:r>
          </w:p>
        </w:tc>
        <w:tc>
          <w:tcPr>
            <w:tcW w:w="3960" w:type="dxa"/>
            <w:vAlign w:val="bottom"/>
            <w:gridSpan w:val="2"/>
          </w:tcPr>
          <w:p>
            <w:pPr>
              <w:spacing w:after="0"/>
              <w:rPr>
                <w:sz w:val="20"/>
                <w:szCs w:val="20"/>
                <w:color w:val="auto"/>
              </w:rPr>
            </w:pPr>
            <w:r>
              <w:rPr>
                <w:rFonts w:ascii="Arial" w:cs="Arial" w:eastAsia="Arial" w:hAnsi="Arial"/>
                <w:sz w:val="18"/>
                <w:szCs w:val="18"/>
                <w:color w:val="auto"/>
                <w:w w:val="94"/>
              </w:rPr>
              <w:t>amount beneficially owned by each reporting person</w:t>
            </w:r>
          </w:p>
        </w:tc>
        <w:tc>
          <w:tcPr>
            <w:tcW w:w="5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49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1,801,252</w:t>
            </w:r>
          </w:p>
        </w:tc>
        <w:tc>
          <w:tcPr>
            <w:tcW w:w="5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960" w:type="dxa"/>
            <w:vAlign w:val="bottom"/>
            <w:gridSpan w:val="4"/>
          </w:tcPr>
          <w:p>
            <w:pPr>
              <w:ind w:left="120"/>
              <w:spacing w:after="0"/>
              <w:rPr>
                <w:sz w:val="20"/>
                <w:szCs w:val="20"/>
                <w:color w:val="auto"/>
              </w:rPr>
            </w:pPr>
            <w:r>
              <w:rPr>
                <w:rFonts w:ascii="Arial" w:cs="Arial" w:eastAsia="Arial" w:hAnsi="Arial"/>
                <w:sz w:val="18"/>
                <w:szCs w:val="18"/>
                <w:color w:val="auto"/>
                <w:w w:val="91"/>
              </w:rPr>
              <w:t>Check if the aggregate amount in Row (9) excludes certain shares</w:t>
            </w:r>
          </w:p>
        </w:tc>
        <w:tc>
          <w:tcPr>
            <w:tcW w:w="568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left w:val="single" w:sz="8" w:color="auto"/>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2"/>
          </w:tcPr>
          <w:p>
            <w:pPr>
              <w:spacing w:after="0"/>
              <w:rPr>
                <w:sz w:val="16"/>
                <w:szCs w:val="16"/>
                <w:color w:val="auto"/>
              </w:rPr>
            </w:pPr>
          </w:p>
        </w:tc>
        <w:tc>
          <w:tcPr>
            <w:tcW w:w="56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960" w:type="dxa"/>
            <w:vAlign w:val="bottom"/>
            <w:gridSpan w:val="4"/>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5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w w:val="97"/>
              </w:rPr>
              <w:t xml:space="preserve">5.2% </w:t>
            </w:r>
            <w:r>
              <w:rPr>
                <w:rFonts w:ascii="Arial" w:cs="Arial" w:eastAsia="Arial" w:hAnsi="Arial"/>
                <w:sz w:val="18"/>
                <w:szCs w:val="18"/>
                <w:color w:val="auto"/>
                <w:w w:val="97"/>
              </w:rPr>
              <w:t>(1)</w:t>
            </w:r>
          </w:p>
        </w:tc>
        <w:tc>
          <w:tcPr>
            <w:tcW w:w="3860" w:type="dxa"/>
            <w:vAlign w:val="bottom"/>
            <w:tcBorders>
              <w:bottom w:val="single" w:sz="8" w:color="auto"/>
            </w:tcBorders>
          </w:tcPr>
          <w:p>
            <w:pPr>
              <w:spacing w:after="0"/>
              <w:rPr>
                <w:sz w:val="24"/>
                <w:szCs w:val="24"/>
                <w:color w:val="auto"/>
              </w:rPr>
            </w:pPr>
          </w:p>
        </w:tc>
        <w:tc>
          <w:tcPr>
            <w:tcW w:w="5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960" w:type="dxa"/>
            <w:vAlign w:val="bottom"/>
            <w:gridSpan w:val="4"/>
          </w:tcPr>
          <w:p>
            <w:pPr>
              <w:ind w:left="120"/>
              <w:spacing w:after="0"/>
              <w:rPr>
                <w:sz w:val="20"/>
                <w:szCs w:val="20"/>
                <w:color w:val="auto"/>
              </w:rPr>
            </w:pPr>
            <w:r>
              <w:rPr>
                <w:rFonts w:ascii="Arial" w:cs="Arial" w:eastAsia="Arial" w:hAnsi="Arial"/>
                <w:sz w:val="18"/>
                <w:szCs w:val="18"/>
                <w:color w:val="auto"/>
              </w:rPr>
              <w:t>Type of reporting person</w:t>
            </w:r>
          </w:p>
        </w:tc>
        <w:tc>
          <w:tcPr>
            <w:tcW w:w="5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40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IA</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5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80605" cy="38100"/>
                    </a:xfrm>
                    <a:prstGeom prst="rect">
                      <a:avLst/>
                    </a:prstGeom>
                    <a:noFill/>
                  </pic:spPr>
                </pic:pic>
              </a:graphicData>
            </a:graphic>
          </wp:anchor>
        </w:drawing>
      </w:r>
    </w:p>
    <w:p>
      <w:pPr>
        <w:ind w:left="442" w:right="260" w:hanging="442"/>
        <w:spacing w:after="0" w:line="277" w:lineRule="auto"/>
        <w:tabs>
          <w:tab w:leader="none" w:pos="44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Reflects 34,837,914 ordinary shares outstanding as of September 30, 2018, as reported by Kornit Digital Ltd. in its prospectus supplement filed with the Securities and Exchange Commission on December 6, 2018.</w:t>
      </w:r>
    </w:p>
    <w:p>
      <w:pPr>
        <w:sectPr>
          <w:pgSz w:w="11900" w:h="16838" w:orient="portrait"/>
          <w:cols w:equalWidth="0" w:num="1">
            <w:col w:w="11022"/>
          </w:cols>
          <w:pgMar w:left="438" w:top="194"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8060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CUSIP No. M6372Q113</w:t>
      </w:r>
      <w:r>
        <w:rPr>
          <w:sz w:val="20"/>
          <w:szCs w:val="20"/>
          <w:color w:val="auto"/>
        </w:rPr>
        <w:tab/>
      </w:r>
      <w:r>
        <w:rPr>
          <w:rFonts w:ascii="Arial" w:cs="Arial" w:eastAsia="Arial" w:hAnsi="Arial"/>
          <w:sz w:val="16"/>
          <w:szCs w:val="16"/>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u w:val="single" w:color="auto"/>
          <w:color w:val="auto"/>
        </w:rPr>
        <w:t>Name of Issuer:</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Kornit Digital Ltd.</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u w:val="single" w:color="auto"/>
          <w:color w:val="auto"/>
        </w:rPr>
        <w:t>Address of Issuer’s Principal Executive Offices:</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 Ha’Amal Street, Park Afek</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Rosh Ha’Ayin 4824096, Israel</w:t>
      </w:r>
    </w:p>
    <w:p>
      <w:pPr>
        <w:spacing w:after="0" w:line="3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u w:val="single" w:color="auto"/>
          <w:color w:val="auto"/>
        </w:rPr>
        <w:t>Name of Person Filing:</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Granahan Investment Management, Inc.</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u w:val="single" w:color="auto"/>
          <w:color w:val="auto"/>
        </w:rPr>
        <w:t>Address of Principal Business Office or, if None, Residence:</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404 Wyman Street, Suite 460</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Waltham, MA 02451</w:t>
      </w:r>
    </w:p>
    <w:p>
      <w:pPr>
        <w:spacing w:after="0" w:line="3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7"/>
          <w:szCs w:val="17"/>
          <w:u w:val="single" w:color="auto"/>
          <w:color w:val="auto"/>
        </w:rPr>
        <w:t>Citizenship:</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Massachusetts</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u w:val="single" w:color="auto"/>
          <w:color w:val="auto"/>
        </w:rPr>
        <w:t>Title of Class of Securities:</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Ordinary shares of NIS 0.01 par value per share</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7"/>
          <w:szCs w:val="17"/>
          <w:u w:val="single" w:color="auto"/>
          <w:color w:val="auto"/>
        </w:rPr>
        <w:t>CUSIP No.:</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M6372Q113</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If This Statement is Filed Pursuant to §§ 240.13d-1(b) or 240.13d-2(b) or (c), Check Whether the Person Filing is a:</w:t>
      </w:r>
    </w:p>
    <w:p>
      <w:pPr>
        <w:spacing w:after="0" w:line="219" w:lineRule="exact"/>
        <w:rPr>
          <w:sz w:val="20"/>
          <w:szCs w:val="20"/>
          <w:color w:val="auto"/>
        </w:rPr>
      </w:pPr>
    </w:p>
    <w:p>
      <w:pPr>
        <w:ind w:left="1060" w:hanging="617"/>
        <w:spacing w:after="0" w:line="207" w:lineRule="exact"/>
        <w:tabs>
          <w:tab w:leader="none" w:pos="10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060" w:hanging="617"/>
        <w:spacing w:after="0" w:line="207" w:lineRule="exact"/>
        <w:tabs>
          <w:tab w:leader="none" w:pos="10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060" w:hanging="617"/>
        <w:spacing w:after="0" w:line="207" w:lineRule="exact"/>
        <w:tabs>
          <w:tab w:leader="none" w:pos="10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060" w:hanging="617"/>
        <w:spacing w:after="0" w:line="207" w:lineRule="exact"/>
        <w:tabs>
          <w:tab w:leader="none" w:pos="10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060" w:hanging="617"/>
        <w:spacing w:after="0" w:line="207" w:lineRule="exact"/>
        <w:tabs>
          <w:tab w:leader="none" w:pos="10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117" w:lineRule="exact"/>
        <w:rPr>
          <w:rFonts w:ascii="Arial" w:cs="Arial" w:eastAsia="Arial" w:hAnsi="Arial"/>
          <w:sz w:val="18"/>
          <w:szCs w:val="18"/>
          <w:color w:val="auto"/>
        </w:rPr>
      </w:pPr>
    </w:p>
    <w:p>
      <w:pPr>
        <w:ind w:left="1060" w:hanging="617"/>
        <w:spacing w:after="0" w:line="207" w:lineRule="exact"/>
        <w:tabs>
          <w:tab w:leader="none" w:pos="10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ectPr>
          <w:pgSz w:w="11900" w:h="16838" w:orient="portrait"/>
          <w:cols w:equalWidth="0" w:num="1">
            <w:col w:w="11020"/>
          </w:cols>
          <w:pgMar w:left="440" w:top="194"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8060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CUSIP No. M6372Q113</w:t>
      </w:r>
      <w:r>
        <w:rPr>
          <w:sz w:val="20"/>
          <w:szCs w:val="20"/>
          <w:color w:val="auto"/>
        </w:rPr>
        <w:tab/>
      </w:r>
      <w:r>
        <w:rPr>
          <w:rFonts w:ascii="Arial" w:cs="Arial" w:eastAsia="Arial" w:hAnsi="Arial"/>
          <w:sz w:val="16"/>
          <w:szCs w:val="16"/>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1" w:lineRule="exact"/>
        <w:rPr>
          <w:sz w:val="20"/>
          <w:szCs w:val="20"/>
          <w:color w:val="auto"/>
        </w:rPr>
      </w:pPr>
    </w:p>
    <w:p>
      <w:pPr>
        <w:ind w:left="1060" w:hanging="617"/>
        <w:spacing w:after="0" w:line="207" w:lineRule="exact"/>
        <w:tabs>
          <w:tab w:leader="none" w:pos="10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060" w:hanging="617"/>
        <w:spacing w:after="0" w:line="207" w:lineRule="exact"/>
        <w:tabs>
          <w:tab w:leader="none" w:pos="10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1420" w:right="1080" w:hanging="977"/>
        <w:spacing w:after="0" w:line="239" w:lineRule="exact"/>
        <w:tabs>
          <w:tab w:leader="none" w:pos="1056"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060" w:hanging="617"/>
        <w:spacing w:after="0" w:line="207" w:lineRule="exact"/>
        <w:tabs>
          <w:tab w:leader="none" w:pos="10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17" w:lineRule="exact"/>
        <w:rPr>
          <w:rFonts w:ascii="Arial" w:cs="Arial" w:eastAsia="Arial" w:hAnsi="Arial"/>
          <w:sz w:val="18"/>
          <w:szCs w:val="18"/>
          <w:color w:val="auto"/>
        </w:rPr>
      </w:pPr>
    </w:p>
    <w:p>
      <w:pPr>
        <w:ind w:left="1060" w:hanging="617"/>
        <w:spacing w:after="0" w:line="207" w:lineRule="exact"/>
        <w:tabs>
          <w:tab w:leader="none" w:pos="10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w:t>
      </w:r>
    </w:p>
    <w:p>
      <w:pPr>
        <w:spacing w:after="0" w:line="200" w:lineRule="exact"/>
        <w:rPr>
          <w:sz w:val="20"/>
          <w:szCs w:val="20"/>
          <w:color w:val="auto"/>
        </w:rPr>
      </w:pPr>
    </w:p>
    <w:p>
      <w:pPr>
        <w:spacing w:after="0" w:line="2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42" w:lineRule="exact"/>
        <w:rPr>
          <w:sz w:val="20"/>
          <w:szCs w:val="20"/>
          <w:color w:val="auto"/>
        </w:rPr>
      </w:pPr>
    </w:p>
    <w:p>
      <w:pPr>
        <w:ind w:left="860" w:hanging="430"/>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1,801,252</w:t>
      </w:r>
    </w:p>
    <w:p>
      <w:pPr>
        <w:spacing w:after="0" w:line="130" w:lineRule="exact"/>
        <w:rPr>
          <w:rFonts w:ascii="Arial" w:cs="Arial" w:eastAsia="Arial" w:hAnsi="Arial"/>
          <w:sz w:val="18"/>
          <w:szCs w:val="18"/>
          <w:color w:val="auto"/>
        </w:rPr>
      </w:pPr>
    </w:p>
    <w:p>
      <w:pPr>
        <w:ind w:left="860" w:hanging="430"/>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5.2%</w:t>
      </w:r>
    </w:p>
    <w:p>
      <w:pPr>
        <w:spacing w:after="0" w:line="130" w:lineRule="exact"/>
        <w:rPr>
          <w:rFonts w:ascii="Arial" w:cs="Arial" w:eastAsia="Arial" w:hAnsi="Arial"/>
          <w:sz w:val="18"/>
          <w:szCs w:val="18"/>
          <w:color w:val="auto"/>
        </w:rPr>
      </w:pPr>
    </w:p>
    <w:p>
      <w:pPr>
        <w:ind w:left="860" w:hanging="430"/>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420" w:hanging="545"/>
        <w:spacing w:after="0"/>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954,814</w:t>
      </w:r>
    </w:p>
    <w:p>
      <w:pPr>
        <w:spacing w:after="0" w:line="130" w:lineRule="exact"/>
        <w:rPr>
          <w:rFonts w:ascii="Arial" w:cs="Arial" w:eastAsia="Arial" w:hAnsi="Arial"/>
          <w:sz w:val="18"/>
          <w:szCs w:val="18"/>
          <w:color w:val="auto"/>
        </w:rPr>
      </w:pPr>
    </w:p>
    <w:p>
      <w:pPr>
        <w:ind w:left="1420" w:hanging="545"/>
        <w:spacing w:after="0"/>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30" w:lineRule="exact"/>
        <w:rPr>
          <w:rFonts w:ascii="Arial" w:cs="Arial" w:eastAsia="Arial" w:hAnsi="Arial"/>
          <w:sz w:val="18"/>
          <w:szCs w:val="18"/>
          <w:color w:val="auto"/>
        </w:rPr>
      </w:pPr>
    </w:p>
    <w:p>
      <w:pPr>
        <w:ind w:left="1420" w:hanging="545"/>
        <w:spacing w:after="0"/>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1,801,252</w:t>
      </w:r>
    </w:p>
    <w:p>
      <w:pPr>
        <w:spacing w:after="0" w:line="130" w:lineRule="exact"/>
        <w:rPr>
          <w:rFonts w:ascii="Arial" w:cs="Arial" w:eastAsia="Arial" w:hAnsi="Arial"/>
          <w:sz w:val="18"/>
          <w:szCs w:val="18"/>
          <w:color w:val="auto"/>
        </w:rPr>
      </w:pPr>
    </w:p>
    <w:p>
      <w:pPr>
        <w:ind w:left="1420" w:hanging="545"/>
        <w:spacing w:after="0"/>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5 Percent or Less of a Class</w:t>
      </w:r>
    </w:p>
    <w:p>
      <w:pPr>
        <w:spacing w:after="0" w:line="117" w:lineRule="exact"/>
        <w:rPr>
          <w:sz w:val="20"/>
          <w:szCs w:val="20"/>
          <w:color w:val="auto"/>
        </w:rPr>
      </w:pPr>
    </w:p>
    <w:p>
      <w:pPr>
        <w:ind w:right="60" w:firstLine="4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ectPr>
          <w:pgSz w:w="11900" w:h="16838" w:orient="portrait"/>
          <w:cols w:equalWidth="0" w:num="1">
            <w:col w:w="11020"/>
          </w:cols>
          <w:pgMar w:left="440" w:top="194"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8060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CUSIP No. M6372Q113</w:t>
      </w:r>
      <w:r>
        <w:rPr>
          <w:sz w:val="20"/>
          <w:szCs w:val="20"/>
          <w:color w:val="auto"/>
        </w:rPr>
        <w:tab/>
      </w:r>
      <w:r>
        <w:rPr>
          <w:rFonts w:ascii="Arial" w:cs="Arial" w:eastAsia="Arial" w:hAnsi="Arial"/>
          <w:sz w:val="16"/>
          <w:szCs w:val="16"/>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Ownership of More than 5 Percent on Behalf of Another Person</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ind w:left="980" w:right="340" w:hanging="984"/>
        <w:spacing w:after="0" w:line="277" w:lineRule="auto"/>
        <w:tabs>
          <w:tab w:leader="none" w:pos="9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u w:val="single" w:color="auto"/>
          <w:color w:val="auto"/>
        </w:rPr>
        <w:t>Identification and Classification of the Subsidiary Which Acquired the Security Being Reported on by the Parent Holding Company or Control Person</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u w:val="single" w:color="auto"/>
          <w:color w:val="auto"/>
        </w:rPr>
        <w:t>Notice of Dissolution of Group</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u w:val="single" w:color="auto"/>
          <w:color w:val="auto"/>
        </w:rPr>
        <w:t>Certifications</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20"/>
          </w:cols>
          <w:pgMar w:left="440" w:top="194"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8060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CUSIP No. M6372Q113</w:t>
      </w:r>
      <w:r>
        <w:rPr>
          <w:sz w:val="20"/>
          <w:szCs w:val="20"/>
          <w:color w:val="auto"/>
        </w:rPr>
        <w:tab/>
      </w:r>
      <w:r>
        <w:rPr>
          <w:rFonts w:ascii="Arial" w:cs="Arial" w:eastAsia="Arial" w:hAnsi="Arial"/>
          <w:sz w:val="16"/>
          <w:szCs w:val="16"/>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48895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GRANAHAN INVESTMENT MANAGEMENT, INC.</w:t>
      </w:r>
    </w:p>
    <w:p>
      <w:pPr>
        <w:spacing w:after="0" w:line="229"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February 12, 2019</w:t>
      </w:r>
      <w:r>
        <w:rPr>
          <w:sz w:val="20"/>
          <w:szCs w:val="20"/>
          <w:color w:val="auto"/>
        </w:rPr>
        <w:tab/>
      </w:r>
      <w:r>
        <w:rPr>
          <w:rFonts w:ascii="Arial" w:cs="Arial" w:eastAsia="Arial" w:hAnsi="Arial"/>
          <w:sz w:val="16"/>
          <w:szCs w:val="16"/>
          <w:color w:val="auto"/>
        </w:rPr>
        <w:t>By:  /s/ Jane M.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3993515</wp:posOffset>
            </wp:positionH>
            <wp:positionV relativeFrom="paragraph">
              <wp:posOffset>14605</wp:posOffset>
            </wp:positionV>
            <wp:extent cx="30003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Jane M. White,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3993515</wp:posOffset>
            </wp:positionH>
            <wp:positionV relativeFrom="paragraph">
              <wp:posOffset>14605</wp:posOffset>
            </wp:positionV>
            <wp:extent cx="30003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020"/>
      </w:cols>
      <w:pgMar w:left="440" w:top="19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7"/>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2019-12-15T19:17:01Z</dcterms:created>
  <dcterms:modified xsi:type="dcterms:W3CDTF">2019-12-15T19:17:01Z</dcterms:modified>
</cp:coreProperties>
</file>