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40"/>
        <w:spacing w:after="0"/>
        <w:rPr>
          <w:sz w:val="20"/>
          <w:szCs w:val="20"/>
          <w:color w:val="auto"/>
        </w:rPr>
      </w:pPr>
      <w:r>
        <w:rPr>
          <w:rFonts w:ascii="Arial" w:cs="Arial" w:eastAsia="Arial" w:hAnsi="Arial"/>
          <w:sz w:val="15"/>
          <w:szCs w:val="15"/>
          <w:b w:val="1"/>
          <w:bCs w:val="1"/>
          <w:color w:val="auto"/>
        </w:rPr>
        <w:t>As filed with the Securities and Exchange Commission on March 27, 2015</w:t>
      </w:r>
    </w:p>
    <w:p>
      <w:pPr>
        <w:spacing w:after="0" w:line="15" w:lineRule="exact"/>
        <w:rPr>
          <w:sz w:val="24"/>
          <w:szCs w:val="24"/>
          <w:color w:val="auto"/>
        </w:rPr>
      </w:pPr>
    </w:p>
    <w:p>
      <w:pPr>
        <w:jc w:val="right"/>
        <w:ind w:right="559"/>
        <w:spacing w:after="0"/>
        <w:rPr>
          <w:sz w:val="20"/>
          <w:szCs w:val="20"/>
          <w:color w:val="auto"/>
        </w:rPr>
      </w:pPr>
      <w:r>
        <w:rPr>
          <w:rFonts w:ascii="Arial" w:cs="Arial" w:eastAsia="Arial" w:hAnsi="Arial"/>
          <w:sz w:val="15"/>
          <w:szCs w:val="15"/>
          <w:b w:val="1"/>
          <w:bCs w:val="1"/>
          <w:color w:val="auto"/>
        </w:rPr>
        <w:t>Registration No. 333-202291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wp:posOffset>
            </wp:positionH>
            <wp:positionV relativeFrom="paragraph">
              <wp:posOffset>125095</wp:posOffset>
            </wp:positionV>
            <wp:extent cx="499935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9355" cy="15240"/>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156210</wp:posOffset>
            </wp:positionV>
            <wp:extent cx="499935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9355" cy="1524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7" w:lineRule="exact"/>
        <w:rPr>
          <w:sz w:val="24"/>
          <w:szCs w:val="24"/>
          <w:color w:val="auto"/>
        </w:rPr>
      </w:pPr>
    </w:p>
    <w:p>
      <w:pPr>
        <w:ind w:left="3440"/>
        <w:spacing w:after="0"/>
        <w:rPr>
          <w:sz w:val="20"/>
          <w:szCs w:val="20"/>
          <w:color w:val="auto"/>
        </w:rPr>
      </w:pPr>
      <w:r>
        <w:rPr>
          <w:rFonts w:ascii="Arial" w:cs="Arial" w:eastAsia="Arial" w:hAnsi="Arial"/>
          <w:sz w:val="19"/>
          <w:szCs w:val="19"/>
          <w:color w:val="auto"/>
        </w:rPr>
        <w:t>______________________</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AMENDMENT NO. 5</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TO</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F-1</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REGISTRATION STATEMENT UNDER</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THE SECURITIES ACT OF 1933</w:t>
      </w:r>
    </w:p>
    <w:p>
      <w:pPr>
        <w:spacing w:after="0" w:line="7" w:lineRule="exact"/>
        <w:rPr>
          <w:sz w:val="24"/>
          <w:szCs w:val="24"/>
          <w:color w:val="auto"/>
        </w:rPr>
      </w:pPr>
    </w:p>
    <w:p>
      <w:pPr>
        <w:ind w:left="3440"/>
        <w:spacing w:after="0"/>
        <w:rPr>
          <w:sz w:val="20"/>
          <w:szCs w:val="20"/>
          <w:color w:val="auto"/>
        </w:rPr>
      </w:pPr>
      <w:r>
        <w:rPr>
          <w:rFonts w:ascii="Arial" w:cs="Arial" w:eastAsia="Arial" w:hAnsi="Arial"/>
          <w:sz w:val="19"/>
          <w:szCs w:val="19"/>
          <w:color w:val="auto"/>
        </w:rPr>
        <w:t>______________________</w:t>
      </w:r>
    </w:p>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26"/>
          <w:szCs w:val="26"/>
          <w:b w:val="1"/>
          <w:bCs w:val="1"/>
          <w:color w:val="auto"/>
        </w:rPr>
        <w:t>KORNIT DIGITAL LTD.</w:t>
      </w:r>
    </w:p>
    <w:p>
      <w:pPr>
        <w:jc w:val="center"/>
        <w:ind w:right="-20"/>
        <w:spacing w:after="0" w:line="225" w:lineRule="auto"/>
        <w:rPr>
          <w:sz w:val="20"/>
          <w:szCs w:val="20"/>
          <w:color w:val="auto"/>
        </w:rPr>
      </w:pPr>
      <w:r>
        <w:rPr>
          <w:rFonts w:ascii="Arial" w:cs="Arial" w:eastAsia="Arial" w:hAnsi="Arial"/>
          <w:sz w:val="13"/>
          <w:szCs w:val="13"/>
          <w:i w:val="1"/>
          <w:iCs w:val="1"/>
          <w:color w:val="auto"/>
        </w:rPr>
        <w:t>(Exact Name of Registrant as Specified in its Charter)</w:t>
      </w:r>
    </w:p>
    <w:p>
      <w:pPr>
        <w:spacing w:after="0" w:line="1" w:lineRule="exact"/>
        <w:rPr>
          <w:sz w:val="24"/>
          <w:szCs w:val="24"/>
          <w:color w:val="auto"/>
        </w:rPr>
      </w:pPr>
    </w:p>
    <w:p>
      <w:pPr>
        <w:ind w:left="3500"/>
        <w:spacing w:after="0"/>
        <w:rPr>
          <w:sz w:val="20"/>
          <w:szCs w:val="20"/>
          <w:color w:val="auto"/>
        </w:rPr>
      </w:pPr>
      <w:r>
        <w:rPr>
          <w:rFonts w:ascii="Arial" w:cs="Arial" w:eastAsia="Arial" w:hAnsi="Arial"/>
          <w:sz w:val="16"/>
          <w:szCs w:val="16"/>
          <w:b w:val="1"/>
          <w:bCs w:val="1"/>
          <w:color w:val="auto"/>
        </w:rPr>
        <w:t>_________________________</w:t>
      </w:r>
    </w:p>
    <w:p>
      <w:pPr>
        <w:spacing w:after="0" w:line="49" w:lineRule="exact"/>
        <w:rPr>
          <w:sz w:val="24"/>
          <w:szCs w:val="24"/>
          <w:color w:val="auto"/>
        </w:rPr>
      </w:pPr>
    </w:p>
    <w:tbl>
      <w:tblPr>
        <w:tblLayout w:type="fixed"/>
        <w:tblInd w:w="1240" w:type="dxa"/>
        <w:tblCellMar>
          <w:top w:w="0" w:type="dxa"/>
          <w:left w:w="0" w:type="dxa"/>
          <w:bottom w:w="0" w:type="dxa"/>
          <w:right w:w="0" w:type="dxa"/>
        </w:tblCellMar>
      </w:tblPr>
      <w:tr>
        <w:trPr>
          <w:trHeight w:val="149"/>
        </w:trPr>
        <w:tc>
          <w:tcPr>
            <w:tcW w:w="2120" w:type="dxa"/>
            <w:vAlign w:val="bottom"/>
          </w:tcPr>
          <w:p>
            <w:pPr>
              <w:jc w:val="center"/>
              <w:ind w:right="435"/>
              <w:spacing w:after="0"/>
              <w:rPr>
                <w:sz w:val="20"/>
                <w:szCs w:val="20"/>
                <w:color w:val="auto"/>
              </w:rPr>
            </w:pPr>
            <w:r>
              <w:rPr>
                <w:rFonts w:ascii="Arial" w:cs="Arial" w:eastAsia="Arial" w:hAnsi="Arial"/>
                <w:sz w:val="13"/>
                <w:szCs w:val="13"/>
                <w:b w:val="1"/>
                <w:bCs w:val="1"/>
                <w:color w:val="auto"/>
                <w:w w:val="91"/>
              </w:rPr>
              <w:t>State of Israel</w:t>
            </w:r>
          </w:p>
        </w:tc>
        <w:tc>
          <w:tcPr>
            <w:tcW w:w="2620" w:type="dxa"/>
            <w:vAlign w:val="bottom"/>
          </w:tcPr>
          <w:p>
            <w:pPr>
              <w:jc w:val="center"/>
              <w:ind w:right="95"/>
              <w:spacing w:after="0"/>
              <w:rPr>
                <w:sz w:val="20"/>
                <w:szCs w:val="20"/>
                <w:color w:val="auto"/>
              </w:rPr>
            </w:pPr>
            <w:r>
              <w:rPr>
                <w:rFonts w:ascii="Arial" w:cs="Arial" w:eastAsia="Arial" w:hAnsi="Arial"/>
                <w:sz w:val="13"/>
                <w:szCs w:val="13"/>
                <w:b w:val="1"/>
                <w:bCs w:val="1"/>
                <w:color w:val="auto"/>
                <w:w w:val="89"/>
              </w:rPr>
              <w:t>3555</w:t>
            </w:r>
          </w:p>
        </w:tc>
        <w:tc>
          <w:tcPr>
            <w:tcW w:w="1560" w:type="dxa"/>
            <w:vAlign w:val="bottom"/>
          </w:tcPr>
          <w:p>
            <w:pPr>
              <w:jc w:val="center"/>
              <w:ind w:left="555"/>
              <w:spacing w:after="0"/>
              <w:rPr>
                <w:sz w:val="20"/>
                <w:szCs w:val="20"/>
                <w:color w:val="auto"/>
              </w:rPr>
            </w:pPr>
            <w:r>
              <w:rPr>
                <w:rFonts w:ascii="Arial" w:cs="Arial" w:eastAsia="Arial" w:hAnsi="Arial"/>
                <w:sz w:val="13"/>
                <w:szCs w:val="13"/>
                <w:b w:val="1"/>
                <w:bCs w:val="1"/>
                <w:color w:val="auto"/>
                <w:w w:val="90"/>
              </w:rPr>
              <w:t>Not Applicable</w:t>
            </w:r>
          </w:p>
        </w:tc>
      </w:tr>
      <w:tr>
        <w:trPr>
          <w:trHeight w:val="145"/>
        </w:trPr>
        <w:tc>
          <w:tcPr>
            <w:tcW w:w="2120" w:type="dxa"/>
            <w:vAlign w:val="bottom"/>
          </w:tcPr>
          <w:p>
            <w:pPr>
              <w:jc w:val="center"/>
              <w:ind w:right="435"/>
              <w:spacing w:after="0" w:line="146" w:lineRule="exact"/>
              <w:rPr>
                <w:sz w:val="20"/>
                <w:szCs w:val="20"/>
                <w:color w:val="auto"/>
              </w:rPr>
            </w:pPr>
            <w:r>
              <w:rPr>
                <w:rFonts w:ascii="Arial" w:cs="Arial" w:eastAsia="Arial" w:hAnsi="Arial"/>
                <w:sz w:val="13"/>
                <w:szCs w:val="13"/>
                <w:i w:val="1"/>
                <w:iCs w:val="1"/>
                <w:color w:val="auto"/>
                <w:w w:val="93"/>
              </w:rPr>
              <w:t>(State or Other Jurisdiction of</w:t>
            </w:r>
          </w:p>
        </w:tc>
        <w:tc>
          <w:tcPr>
            <w:tcW w:w="2620" w:type="dxa"/>
            <w:vAlign w:val="bottom"/>
          </w:tcPr>
          <w:p>
            <w:pPr>
              <w:jc w:val="center"/>
              <w:ind w:right="75"/>
              <w:spacing w:after="0" w:line="146" w:lineRule="exact"/>
              <w:rPr>
                <w:sz w:val="20"/>
                <w:szCs w:val="20"/>
                <w:color w:val="auto"/>
              </w:rPr>
            </w:pPr>
            <w:r>
              <w:rPr>
                <w:rFonts w:ascii="Arial" w:cs="Arial" w:eastAsia="Arial" w:hAnsi="Arial"/>
                <w:sz w:val="13"/>
                <w:szCs w:val="13"/>
                <w:i w:val="1"/>
                <w:iCs w:val="1"/>
                <w:color w:val="auto"/>
                <w:w w:val="93"/>
              </w:rPr>
              <w:t>(Primary Standard Industrial</w:t>
            </w:r>
          </w:p>
        </w:tc>
        <w:tc>
          <w:tcPr>
            <w:tcW w:w="1560" w:type="dxa"/>
            <w:vAlign w:val="bottom"/>
          </w:tcPr>
          <w:p>
            <w:pPr>
              <w:jc w:val="center"/>
              <w:ind w:left="555"/>
              <w:spacing w:after="0" w:line="146" w:lineRule="exact"/>
              <w:rPr>
                <w:sz w:val="20"/>
                <w:szCs w:val="20"/>
                <w:color w:val="auto"/>
              </w:rPr>
            </w:pPr>
            <w:r>
              <w:rPr>
                <w:rFonts w:ascii="Arial" w:cs="Arial" w:eastAsia="Arial" w:hAnsi="Arial"/>
                <w:sz w:val="13"/>
                <w:szCs w:val="13"/>
                <w:i w:val="1"/>
                <w:iCs w:val="1"/>
                <w:color w:val="auto"/>
                <w:w w:val="90"/>
              </w:rPr>
              <w:t>(I.R.S. Employer</w:t>
            </w:r>
          </w:p>
        </w:tc>
      </w:tr>
      <w:tr>
        <w:trPr>
          <w:trHeight w:val="163"/>
        </w:trPr>
        <w:tc>
          <w:tcPr>
            <w:tcW w:w="2120" w:type="dxa"/>
            <w:vAlign w:val="bottom"/>
          </w:tcPr>
          <w:p>
            <w:pPr>
              <w:jc w:val="center"/>
              <w:ind w:right="435"/>
              <w:spacing w:after="0"/>
              <w:rPr>
                <w:sz w:val="20"/>
                <w:szCs w:val="20"/>
                <w:color w:val="auto"/>
              </w:rPr>
            </w:pPr>
            <w:r>
              <w:rPr>
                <w:rFonts w:ascii="Arial" w:cs="Arial" w:eastAsia="Arial" w:hAnsi="Arial"/>
                <w:sz w:val="13"/>
                <w:szCs w:val="13"/>
                <w:i w:val="1"/>
                <w:iCs w:val="1"/>
                <w:color w:val="auto"/>
                <w:w w:val="93"/>
              </w:rPr>
              <w:t>Incorporation or Organization)</w:t>
            </w:r>
          </w:p>
        </w:tc>
        <w:tc>
          <w:tcPr>
            <w:tcW w:w="2620" w:type="dxa"/>
            <w:vAlign w:val="bottom"/>
          </w:tcPr>
          <w:p>
            <w:pPr>
              <w:jc w:val="center"/>
              <w:ind w:right="75"/>
              <w:spacing w:after="0"/>
              <w:rPr>
                <w:sz w:val="20"/>
                <w:szCs w:val="20"/>
                <w:color w:val="auto"/>
              </w:rPr>
            </w:pPr>
            <w:r>
              <w:rPr>
                <w:rFonts w:ascii="Arial" w:cs="Arial" w:eastAsia="Arial" w:hAnsi="Arial"/>
                <w:sz w:val="13"/>
                <w:szCs w:val="13"/>
                <w:i w:val="1"/>
                <w:iCs w:val="1"/>
                <w:color w:val="auto"/>
                <w:w w:val="91"/>
              </w:rPr>
              <w:t>Classification Code Number)</w:t>
            </w:r>
          </w:p>
        </w:tc>
        <w:tc>
          <w:tcPr>
            <w:tcW w:w="1560" w:type="dxa"/>
            <w:vAlign w:val="bottom"/>
          </w:tcPr>
          <w:p>
            <w:pPr>
              <w:jc w:val="center"/>
              <w:ind w:left="555"/>
              <w:spacing w:after="0"/>
              <w:rPr>
                <w:sz w:val="20"/>
                <w:szCs w:val="20"/>
                <w:color w:val="auto"/>
              </w:rPr>
            </w:pPr>
            <w:r>
              <w:rPr>
                <w:rFonts w:ascii="Arial" w:cs="Arial" w:eastAsia="Arial" w:hAnsi="Arial"/>
                <w:sz w:val="13"/>
                <w:szCs w:val="13"/>
                <w:i w:val="1"/>
                <w:iCs w:val="1"/>
                <w:color w:val="auto"/>
                <w:w w:val="92"/>
              </w:rPr>
              <w:t>Identification No.)</w:t>
            </w:r>
          </w:p>
        </w:tc>
      </w:tr>
    </w:tbl>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Kornit Digital Ltd.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12 Ha`Amal Street, Afek Park,</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Rosh-Ha`Ayin 4809246, Israel</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Tel: +972-3-908-5800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3"/>
          <w:szCs w:val="13"/>
          <w:i w:val="1"/>
          <w:iCs w:val="1"/>
          <w:color w:val="auto"/>
        </w:rPr>
        <w:t>(Address, including zip code, and telephone number, including area code, of Registrant’s principal executive offices)</w:t>
      </w:r>
    </w:p>
    <w:p>
      <w:pPr>
        <w:spacing w:after="0" w:line="5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Kornit Digital North America Inc.</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10541-10601 North Commerce Street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Mequon, WI 53092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(262) 518-0200</w:t>
      </w:r>
    </w:p>
    <w:p>
      <w:pPr>
        <w:jc w:val="center"/>
        <w:ind w:right="-20"/>
        <w:spacing w:after="0" w:line="234" w:lineRule="auto"/>
        <w:rPr>
          <w:sz w:val="20"/>
          <w:szCs w:val="20"/>
          <w:color w:val="auto"/>
        </w:rPr>
      </w:pPr>
      <w:r>
        <w:rPr>
          <w:rFonts w:ascii="Arial" w:cs="Arial" w:eastAsia="Arial" w:hAnsi="Arial"/>
          <w:sz w:val="13"/>
          <w:szCs w:val="13"/>
          <w:i w:val="1"/>
          <w:iCs w:val="1"/>
          <w:color w:val="auto"/>
        </w:rPr>
        <w:t>(Name, address, including zip code, and telephone number, including area code, of agent for service)</w:t>
      </w:r>
    </w:p>
    <w:p>
      <w:pPr>
        <w:ind w:left="3440"/>
        <w:spacing w:after="0"/>
        <w:rPr>
          <w:sz w:val="20"/>
          <w:szCs w:val="20"/>
          <w:color w:val="auto"/>
        </w:rPr>
      </w:pPr>
      <w:r>
        <w:rPr>
          <w:rFonts w:ascii="Arial" w:cs="Arial" w:eastAsia="Arial" w:hAnsi="Arial"/>
          <w:sz w:val="19"/>
          <w:szCs w:val="19"/>
          <w:color w:val="auto"/>
        </w:rPr>
        <w:t>______________________</w:t>
      </w:r>
    </w:p>
    <w:p>
      <w:pPr>
        <w:spacing w:after="0" w:line="180" w:lineRule="exact"/>
        <w:rPr>
          <w:sz w:val="24"/>
          <w:szCs w:val="24"/>
          <w:color w:val="auto"/>
        </w:rPr>
      </w:pPr>
    </w:p>
    <w:tbl>
      <w:tblPr>
        <w:tblLayout w:type="fixed"/>
        <w:tblInd w:w="740" w:type="dxa"/>
        <w:tblCellMar>
          <w:top w:w="0" w:type="dxa"/>
          <w:left w:w="0" w:type="dxa"/>
          <w:bottom w:w="0" w:type="dxa"/>
          <w:right w:w="0" w:type="dxa"/>
        </w:tblCellMar>
      </w:tblPr>
      <w:tr>
        <w:trPr>
          <w:trHeight w:val="163"/>
        </w:trPr>
        <w:tc>
          <w:tcPr>
            <w:tcW w:w="1700" w:type="dxa"/>
            <w:vAlign w:val="bottom"/>
          </w:tcPr>
          <w:p>
            <w:pPr>
              <w:spacing w:after="0"/>
              <w:rPr>
                <w:sz w:val="14"/>
                <w:szCs w:val="14"/>
                <w:color w:val="auto"/>
              </w:rPr>
            </w:pPr>
          </w:p>
        </w:tc>
        <w:tc>
          <w:tcPr>
            <w:tcW w:w="4120" w:type="dxa"/>
            <w:vAlign w:val="bottom"/>
            <w:gridSpan w:val="2"/>
          </w:tcPr>
          <w:p>
            <w:pPr>
              <w:ind w:left="1240"/>
              <w:spacing w:after="0"/>
              <w:rPr>
                <w:sz w:val="20"/>
                <w:szCs w:val="20"/>
                <w:color w:val="auto"/>
              </w:rPr>
            </w:pPr>
            <w:r>
              <w:rPr>
                <w:rFonts w:ascii="Arial" w:cs="Arial" w:eastAsia="Arial" w:hAnsi="Arial"/>
                <w:sz w:val="13"/>
                <w:szCs w:val="13"/>
                <w:color w:val="auto"/>
              </w:rPr>
              <w:t>Copies of all correspondence to:</w:t>
            </w:r>
          </w:p>
        </w:tc>
        <w:tc>
          <w:tcPr>
            <w:tcW w:w="1720" w:type="dxa"/>
            <w:vAlign w:val="bottom"/>
          </w:tcPr>
          <w:p>
            <w:pPr>
              <w:spacing w:after="0"/>
              <w:rPr>
                <w:sz w:val="14"/>
                <w:szCs w:val="14"/>
                <w:color w:val="auto"/>
              </w:rPr>
            </w:pPr>
          </w:p>
        </w:tc>
      </w:tr>
      <w:tr>
        <w:trPr>
          <w:trHeight w:val="233"/>
        </w:trPr>
        <w:tc>
          <w:tcPr>
            <w:tcW w:w="1700" w:type="dxa"/>
            <w:vAlign w:val="bottom"/>
          </w:tcPr>
          <w:p>
            <w:pPr>
              <w:jc w:val="center"/>
              <w:ind w:right="55"/>
              <w:spacing w:after="0"/>
              <w:rPr>
                <w:sz w:val="20"/>
                <w:szCs w:val="20"/>
                <w:color w:val="auto"/>
              </w:rPr>
            </w:pPr>
            <w:r>
              <w:rPr>
                <w:rFonts w:ascii="Arial" w:cs="Arial" w:eastAsia="Arial" w:hAnsi="Arial"/>
                <w:sz w:val="13"/>
                <w:szCs w:val="13"/>
                <w:b w:val="1"/>
                <w:bCs w:val="1"/>
                <w:color w:val="auto"/>
                <w:w w:val="91"/>
              </w:rPr>
              <w:t>Colin J. Diamond, Esq</w:t>
            </w:r>
          </w:p>
        </w:tc>
        <w:tc>
          <w:tcPr>
            <w:tcW w:w="1980" w:type="dxa"/>
            <w:vAlign w:val="bottom"/>
          </w:tcPr>
          <w:p>
            <w:pPr>
              <w:jc w:val="center"/>
              <w:spacing w:after="0"/>
              <w:rPr>
                <w:sz w:val="20"/>
                <w:szCs w:val="20"/>
                <w:color w:val="auto"/>
              </w:rPr>
            </w:pPr>
            <w:r>
              <w:rPr>
                <w:rFonts w:ascii="Arial" w:cs="Arial" w:eastAsia="Arial" w:hAnsi="Arial"/>
                <w:sz w:val="13"/>
                <w:szCs w:val="13"/>
                <w:b w:val="1"/>
                <w:bCs w:val="1"/>
                <w:color w:val="auto"/>
                <w:w w:val="93"/>
              </w:rPr>
              <w:t>Clifford M. J. Felig, Adv.</w:t>
            </w: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w w:val="90"/>
              </w:rPr>
              <w:t>David Goldschmidt, Esq.</w:t>
            </w:r>
          </w:p>
        </w:tc>
        <w:tc>
          <w:tcPr>
            <w:tcW w:w="1720" w:type="dxa"/>
            <w:vAlign w:val="bottom"/>
          </w:tcPr>
          <w:p>
            <w:pPr>
              <w:jc w:val="center"/>
              <w:ind w:left="95"/>
              <w:spacing w:after="0"/>
              <w:rPr>
                <w:sz w:val="20"/>
                <w:szCs w:val="20"/>
                <w:color w:val="auto"/>
              </w:rPr>
            </w:pPr>
            <w:r>
              <w:rPr>
                <w:rFonts w:ascii="Arial" w:cs="Arial" w:eastAsia="Arial" w:hAnsi="Arial"/>
                <w:sz w:val="13"/>
                <w:szCs w:val="13"/>
                <w:b w:val="1"/>
                <w:bCs w:val="1"/>
                <w:color w:val="auto"/>
                <w:w w:val="91"/>
              </w:rPr>
              <w:t>Shachar Hadar, Adv.</w:t>
            </w:r>
          </w:p>
        </w:tc>
      </w:tr>
      <w:tr>
        <w:trPr>
          <w:trHeight w:val="145"/>
        </w:trPr>
        <w:tc>
          <w:tcPr>
            <w:tcW w:w="1700" w:type="dxa"/>
            <w:vAlign w:val="bottom"/>
          </w:tcPr>
          <w:p>
            <w:pPr>
              <w:jc w:val="center"/>
              <w:ind w:right="55"/>
              <w:spacing w:after="0" w:line="146" w:lineRule="exact"/>
              <w:rPr>
                <w:sz w:val="20"/>
                <w:szCs w:val="20"/>
                <w:color w:val="auto"/>
              </w:rPr>
            </w:pPr>
            <w:r>
              <w:rPr>
                <w:rFonts w:ascii="Arial" w:cs="Arial" w:eastAsia="Arial" w:hAnsi="Arial"/>
                <w:sz w:val="13"/>
                <w:szCs w:val="13"/>
                <w:b w:val="1"/>
                <w:bCs w:val="1"/>
                <w:color w:val="auto"/>
                <w:w w:val="89"/>
              </w:rPr>
              <w:t>Joshua G. Kiernan, Esq.</w:t>
            </w:r>
          </w:p>
        </w:tc>
        <w:tc>
          <w:tcPr>
            <w:tcW w:w="1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Aviv Avidan-Shalit, Adv.</w:t>
            </w:r>
          </w:p>
        </w:tc>
        <w:tc>
          <w:tcPr>
            <w:tcW w:w="21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Phyllis G. Korff, Esq.</w:t>
            </w:r>
          </w:p>
        </w:tc>
        <w:tc>
          <w:tcPr>
            <w:tcW w:w="1720" w:type="dxa"/>
            <w:vAlign w:val="bottom"/>
          </w:tcPr>
          <w:p>
            <w:pPr>
              <w:jc w:val="center"/>
              <w:ind w:left="95"/>
              <w:spacing w:after="0" w:line="146" w:lineRule="exact"/>
              <w:rPr>
                <w:sz w:val="20"/>
                <w:szCs w:val="20"/>
                <w:color w:val="auto"/>
              </w:rPr>
            </w:pPr>
            <w:r>
              <w:rPr>
                <w:rFonts w:ascii="Arial" w:cs="Arial" w:eastAsia="Arial" w:hAnsi="Arial"/>
                <w:sz w:val="13"/>
                <w:szCs w:val="13"/>
                <w:b w:val="1"/>
                <w:bCs w:val="1"/>
                <w:color w:val="auto"/>
                <w:w w:val="89"/>
              </w:rPr>
              <w:t>Gross, Kleinhendler, Hodak,</w:t>
            </w:r>
          </w:p>
        </w:tc>
      </w:tr>
      <w:tr>
        <w:trPr>
          <w:trHeight w:val="145"/>
        </w:trPr>
        <w:tc>
          <w:tcPr>
            <w:tcW w:w="1700" w:type="dxa"/>
            <w:vAlign w:val="bottom"/>
          </w:tcPr>
          <w:p>
            <w:pPr>
              <w:jc w:val="center"/>
              <w:ind w:right="55"/>
              <w:spacing w:after="0" w:line="146" w:lineRule="exact"/>
              <w:rPr>
                <w:sz w:val="20"/>
                <w:szCs w:val="20"/>
                <w:color w:val="auto"/>
              </w:rPr>
            </w:pPr>
            <w:r>
              <w:rPr>
                <w:rFonts w:ascii="Arial" w:cs="Arial" w:eastAsia="Arial" w:hAnsi="Arial"/>
                <w:sz w:val="13"/>
                <w:szCs w:val="13"/>
                <w:b w:val="1"/>
                <w:bCs w:val="1"/>
                <w:color w:val="auto"/>
                <w:w w:val="95"/>
              </w:rPr>
              <w:t>White &amp; Case LLP</w:t>
            </w:r>
          </w:p>
        </w:tc>
        <w:tc>
          <w:tcPr>
            <w:tcW w:w="1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Meitar Liquornik Geva Leshem</w:t>
            </w:r>
          </w:p>
        </w:tc>
        <w:tc>
          <w:tcPr>
            <w:tcW w:w="21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Skadden, Arps, Slate, Meagher &amp;</w:t>
            </w:r>
          </w:p>
        </w:tc>
        <w:tc>
          <w:tcPr>
            <w:tcW w:w="1720" w:type="dxa"/>
            <w:vAlign w:val="bottom"/>
          </w:tcPr>
          <w:p>
            <w:pPr>
              <w:jc w:val="center"/>
              <w:ind w:left="95"/>
              <w:spacing w:after="0" w:line="146" w:lineRule="exact"/>
              <w:rPr>
                <w:sz w:val="20"/>
                <w:szCs w:val="20"/>
                <w:color w:val="auto"/>
              </w:rPr>
            </w:pPr>
            <w:r>
              <w:rPr>
                <w:rFonts w:ascii="Arial" w:cs="Arial" w:eastAsia="Arial" w:hAnsi="Arial"/>
                <w:sz w:val="13"/>
                <w:szCs w:val="13"/>
                <w:b w:val="1"/>
                <w:bCs w:val="1"/>
                <w:color w:val="auto"/>
                <w:w w:val="91"/>
              </w:rPr>
              <w:t>Halevy, Greenberg &amp; Co.</w:t>
            </w:r>
          </w:p>
        </w:tc>
      </w:tr>
      <w:tr>
        <w:trPr>
          <w:trHeight w:val="145"/>
        </w:trPr>
        <w:tc>
          <w:tcPr>
            <w:tcW w:w="1700" w:type="dxa"/>
            <w:vAlign w:val="bottom"/>
          </w:tcPr>
          <w:p>
            <w:pPr>
              <w:jc w:val="center"/>
              <w:ind w:right="55"/>
              <w:spacing w:after="0" w:line="146" w:lineRule="exact"/>
              <w:rPr>
                <w:sz w:val="20"/>
                <w:szCs w:val="20"/>
                <w:color w:val="auto"/>
              </w:rPr>
            </w:pPr>
            <w:r>
              <w:rPr>
                <w:rFonts w:ascii="Arial" w:cs="Arial" w:eastAsia="Arial" w:hAnsi="Arial"/>
                <w:sz w:val="13"/>
                <w:szCs w:val="13"/>
                <w:b w:val="1"/>
                <w:bCs w:val="1"/>
                <w:color w:val="auto"/>
                <w:w w:val="87"/>
              </w:rPr>
              <w:t>1155 Avenue of the Americas</w:t>
            </w:r>
          </w:p>
        </w:tc>
        <w:tc>
          <w:tcPr>
            <w:tcW w:w="1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5"/>
              </w:rPr>
              <w:t>Tal</w:t>
            </w:r>
          </w:p>
        </w:tc>
        <w:tc>
          <w:tcPr>
            <w:tcW w:w="21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7"/>
              </w:rPr>
              <w:t>Flom LLP</w:t>
            </w:r>
          </w:p>
        </w:tc>
        <w:tc>
          <w:tcPr>
            <w:tcW w:w="1720" w:type="dxa"/>
            <w:vAlign w:val="bottom"/>
          </w:tcPr>
          <w:p>
            <w:pPr>
              <w:jc w:val="center"/>
              <w:ind w:left="95"/>
              <w:spacing w:after="0" w:line="146" w:lineRule="exact"/>
              <w:rPr>
                <w:sz w:val="20"/>
                <w:szCs w:val="20"/>
                <w:color w:val="auto"/>
              </w:rPr>
            </w:pPr>
            <w:r>
              <w:rPr>
                <w:rFonts w:ascii="Arial" w:cs="Arial" w:eastAsia="Arial" w:hAnsi="Arial"/>
                <w:sz w:val="13"/>
                <w:szCs w:val="13"/>
                <w:b w:val="1"/>
                <w:bCs w:val="1"/>
                <w:color w:val="auto"/>
                <w:w w:val="92"/>
              </w:rPr>
              <w:t>One Azrieli Center</w:t>
            </w:r>
          </w:p>
        </w:tc>
      </w:tr>
      <w:tr>
        <w:trPr>
          <w:trHeight w:val="145"/>
        </w:trPr>
        <w:tc>
          <w:tcPr>
            <w:tcW w:w="1700" w:type="dxa"/>
            <w:vAlign w:val="bottom"/>
          </w:tcPr>
          <w:p>
            <w:pPr>
              <w:jc w:val="center"/>
              <w:ind w:right="55"/>
              <w:spacing w:after="0" w:line="146" w:lineRule="exact"/>
              <w:rPr>
                <w:sz w:val="20"/>
                <w:szCs w:val="20"/>
                <w:color w:val="auto"/>
              </w:rPr>
            </w:pPr>
            <w:r>
              <w:rPr>
                <w:rFonts w:ascii="Arial" w:cs="Arial" w:eastAsia="Arial" w:hAnsi="Arial"/>
                <w:sz w:val="13"/>
                <w:szCs w:val="13"/>
                <w:b w:val="1"/>
                <w:bCs w:val="1"/>
                <w:color w:val="auto"/>
                <w:w w:val="91"/>
              </w:rPr>
              <w:t>New York, NY 10036</w:t>
            </w:r>
          </w:p>
        </w:tc>
        <w:tc>
          <w:tcPr>
            <w:tcW w:w="1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16 Abba Hillel Silver Rd.</w:t>
            </w:r>
          </w:p>
        </w:tc>
        <w:tc>
          <w:tcPr>
            <w:tcW w:w="21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4 Times Square</w:t>
            </w:r>
          </w:p>
        </w:tc>
        <w:tc>
          <w:tcPr>
            <w:tcW w:w="1720" w:type="dxa"/>
            <w:vAlign w:val="bottom"/>
          </w:tcPr>
          <w:p>
            <w:pPr>
              <w:jc w:val="center"/>
              <w:ind w:left="75"/>
              <w:spacing w:after="0" w:line="146" w:lineRule="exact"/>
              <w:rPr>
                <w:sz w:val="20"/>
                <w:szCs w:val="20"/>
                <w:color w:val="auto"/>
              </w:rPr>
            </w:pPr>
            <w:r>
              <w:rPr>
                <w:rFonts w:ascii="Arial" w:cs="Arial" w:eastAsia="Arial" w:hAnsi="Arial"/>
                <w:sz w:val="13"/>
                <w:szCs w:val="13"/>
                <w:b w:val="1"/>
                <w:bCs w:val="1"/>
                <w:color w:val="auto"/>
                <w:w w:val="90"/>
              </w:rPr>
              <w:t>Tel Aviv 67021, Israel</w:t>
            </w:r>
          </w:p>
        </w:tc>
      </w:tr>
      <w:tr>
        <w:trPr>
          <w:trHeight w:val="145"/>
        </w:trPr>
        <w:tc>
          <w:tcPr>
            <w:tcW w:w="1700" w:type="dxa"/>
            <w:vAlign w:val="bottom"/>
          </w:tcPr>
          <w:p>
            <w:pPr>
              <w:jc w:val="center"/>
              <w:ind w:right="55"/>
              <w:spacing w:after="0" w:line="146" w:lineRule="exact"/>
              <w:rPr>
                <w:sz w:val="20"/>
                <w:szCs w:val="20"/>
                <w:color w:val="auto"/>
              </w:rPr>
            </w:pPr>
            <w:r>
              <w:rPr>
                <w:rFonts w:ascii="Arial" w:cs="Arial" w:eastAsia="Arial" w:hAnsi="Arial"/>
                <w:sz w:val="13"/>
                <w:szCs w:val="13"/>
                <w:b w:val="1"/>
                <w:bCs w:val="1"/>
                <w:color w:val="auto"/>
                <w:w w:val="91"/>
              </w:rPr>
              <w:t>Tel: (212) 819-8200</w:t>
            </w:r>
          </w:p>
        </w:tc>
        <w:tc>
          <w:tcPr>
            <w:tcW w:w="1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Ramat Gan 5250608, Israel</w:t>
            </w:r>
          </w:p>
        </w:tc>
        <w:tc>
          <w:tcPr>
            <w:tcW w:w="21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New York, NY 10036</w:t>
            </w:r>
          </w:p>
        </w:tc>
        <w:tc>
          <w:tcPr>
            <w:tcW w:w="1720" w:type="dxa"/>
            <w:vAlign w:val="bottom"/>
          </w:tcPr>
          <w:p>
            <w:pPr>
              <w:jc w:val="center"/>
              <w:ind w:left="95"/>
              <w:spacing w:after="0" w:line="146" w:lineRule="exact"/>
              <w:rPr>
                <w:sz w:val="20"/>
                <w:szCs w:val="20"/>
                <w:color w:val="auto"/>
              </w:rPr>
            </w:pPr>
            <w:r>
              <w:rPr>
                <w:rFonts w:ascii="Arial" w:cs="Arial" w:eastAsia="Arial" w:hAnsi="Arial"/>
                <w:sz w:val="13"/>
                <w:szCs w:val="13"/>
                <w:b w:val="1"/>
                <w:bCs w:val="1"/>
                <w:color w:val="auto"/>
                <w:w w:val="91"/>
              </w:rPr>
              <w:t>Tel: +972-3-607-4444</w:t>
            </w:r>
          </w:p>
        </w:tc>
      </w:tr>
      <w:tr>
        <w:trPr>
          <w:trHeight w:val="145"/>
        </w:trPr>
        <w:tc>
          <w:tcPr>
            <w:tcW w:w="1700" w:type="dxa"/>
            <w:vAlign w:val="bottom"/>
          </w:tcPr>
          <w:p>
            <w:pPr>
              <w:jc w:val="center"/>
              <w:ind w:right="75"/>
              <w:spacing w:after="0" w:line="146" w:lineRule="exact"/>
              <w:rPr>
                <w:sz w:val="20"/>
                <w:szCs w:val="20"/>
                <w:color w:val="auto"/>
              </w:rPr>
            </w:pPr>
            <w:r>
              <w:rPr>
                <w:rFonts w:ascii="Arial" w:cs="Arial" w:eastAsia="Arial" w:hAnsi="Arial"/>
                <w:sz w:val="13"/>
                <w:szCs w:val="13"/>
                <w:b w:val="1"/>
                <w:bCs w:val="1"/>
                <w:color w:val="auto"/>
                <w:w w:val="90"/>
              </w:rPr>
              <w:t>Fax: (212) 354-8113</w:t>
            </w:r>
          </w:p>
        </w:tc>
        <w:tc>
          <w:tcPr>
            <w:tcW w:w="1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Tel: +972-3-610-3100</w:t>
            </w:r>
          </w:p>
        </w:tc>
        <w:tc>
          <w:tcPr>
            <w:tcW w:w="21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Tel: (212) 735-3000</w:t>
            </w:r>
          </w:p>
        </w:tc>
        <w:tc>
          <w:tcPr>
            <w:tcW w:w="1720" w:type="dxa"/>
            <w:vAlign w:val="bottom"/>
          </w:tcPr>
          <w:p>
            <w:pPr>
              <w:jc w:val="center"/>
              <w:ind w:left="95"/>
              <w:spacing w:after="0" w:line="146" w:lineRule="exact"/>
              <w:rPr>
                <w:sz w:val="20"/>
                <w:szCs w:val="20"/>
                <w:color w:val="auto"/>
              </w:rPr>
            </w:pPr>
            <w:r>
              <w:rPr>
                <w:rFonts w:ascii="Arial" w:cs="Arial" w:eastAsia="Arial" w:hAnsi="Arial"/>
                <w:sz w:val="13"/>
                <w:szCs w:val="13"/>
                <w:b w:val="1"/>
                <w:bCs w:val="1"/>
                <w:color w:val="auto"/>
                <w:w w:val="91"/>
              </w:rPr>
              <w:t>Fax: +972-3-607-4470</w:t>
            </w:r>
          </w:p>
        </w:tc>
      </w:tr>
      <w:tr>
        <w:trPr>
          <w:trHeight w:val="167"/>
        </w:trPr>
        <w:tc>
          <w:tcPr>
            <w:tcW w:w="17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3"/>
                <w:szCs w:val="13"/>
                <w:b w:val="1"/>
                <w:bCs w:val="1"/>
                <w:color w:val="auto"/>
                <w:w w:val="90"/>
              </w:rPr>
              <w:t>Fax: +972-3-610-3111</w:t>
            </w: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w w:val="90"/>
              </w:rPr>
              <w:t>Fax: (212) 735-2000</w:t>
            </w:r>
          </w:p>
        </w:tc>
        <w:tc>
          <w:tcPr>
            <w:tcW w:w="1720" w:type="dxa"/>
            <w:vAlign w:val="bottom"/>
          </w:tcPr>
          <w:p>
            <w:pPr>
              <w:spacing w:after="0"/>
              <w:rPr>
                <w:sz w:val="14"/>
                <w:szCs w:val="14"/>
                <w:color w:val="auto"/>
              </w:rPr>
            </w:pPr>
          </w:p>
        </w:tc>
      </w:tr>
    </w:tbl>
    <w:p>
      <w:pPr>
        <w:spacing w:after="0" w:line="173" w:lineRule="exact"/>
        <w:rPr>
          <w:sz w:val="24"/>
          <w:szCs w:val="24"/>
          <w:color w:val="auto"/>
        </w:rPr>
      </w:pPr>
    </w:p>
    <w:p>
      <w:pPr>
        <w:ind w:left="3440"/>
        <w:spacing w:after="0"/>
        <w:rPr>
          <w:sz w:val="20"/>
          <w:szCs w:val="20"/>
          <w:color w:val="auto"/>
        </w:rPr>
      </w:pPr>
      <w:r>
        <w:rPr>
          <w:rFonts w:ascii="Arial" w:cs="Arial" w:eastAsia="Arial" w:hAnsi="Arial"/>
          <w:sz w:val="19"/>
          <w:szCs w:val="19"/>
          <w:color w:val="auto"/>
        </w:rPr>
        <w:t>______________________</w:t>
      </w:r>
    </w:p>
    <w:p>
      <w:pPr>
        <w:spacing w:after="0" w:line="192" w:lineRule="exact"/>
        <w:rPr>
          <w:sz w:val="24"/>
          <w:szCs w:val="24"/>
          <w:color w:val="auto"/>
        </w:rPr>
      </w:pPr>
    </w:p>
    <w:p>
      <w:pPr>
        <w:ind w:left="580" w:right="959"/>
        <w:spacing w:after="0" w:line="284" w:lineRule="auto"/>
        <w:rPr>
          <w:sz w:val="20"/>
          <w:szCs w:val="20"/>
          <w:color w:val="auto"/>
        </w:rPr>
      </w:pPr>
      <w:r>
        <w:rPr>
          <w:rFonts w:ascii="Arial" w:cs="Arial" w:eastAsia="Arial" w:hAnsi="Arial"/>
          <w:sz w:val="15"/>
          <w:szCs w:val="15"/>
          <w:color w:val="auto"/>
        </w:rPr>
        <w:t>Approximate date of commencement of proposed sale to the public: As soon as practicable after effectiveness of this registration statement.</w:t>
      </w:r>
    </w:p>
    <w:p>
      <w:pPr>
        <w:spacing w:after="0" w:line="28" w:lineRule="exact"/>
        <w:rPr>
          <w:sz w:val="24"/>
          <w:szCs w:val="24"/>
          <w:color w:val="auto"/>
        </w:rPr>
      </w:pPr>
    </w:p>
    <w:p>
      <w:pPr>
        <w:ind w:left="580" w:right="639"/>
        <w:spacing w:after="0" w:line="201"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5" w:lineRule="exact"/>
        <w:rPr>
          <w:sz w:val="24"/>
          <w:szCs w:val="24"/>
          <w:color w:val="auto"/>
        </w:rPr>
      </w:pPr>
    </w:p>
    <w:p>
      <w:pPr>
        <w:ind w:left="580" w:right="959"/>
        <w:spacing w:after="0" w:line="199"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5" w:lineRule="exact"/>
        <w:rPr>
          <w:sz w:val="24"/>
          <w:szCs w:val="24"/>
          <w:color w:val="auto"/>
        </w:rPr>
      </w:pPr>
    </w:p>
    <w:p>
      <w:pPr>
        <w:ind w:left="580" w:right="659"/>
        <w:spacing w:after="0" w:line="201"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6" w:lineRule="exact"/>
        <w:rPr>
          <w:sz w:val="24"/>
          <w:szCs w:val="24"/>
          <w:color w:val="auto"/>
        </w:rPr>
      </w:pPr>
    </w:p>
    <w:p>
      <w:pPr>
        <w:ind w:left="580" w:right="639"/>
        <w:spacing w:after="0" w:line="19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3440"/>
        <w:spacing w:after="0"/>
        <w:rPr>
          <w:sz w:val="20"/>
          <w:szCs w:val="20"/>
          <w:color w:val="auto"/>
        </w:rPr>
      </w:pPr>
      <w:r>
        <w:rPr>
          <w:rFonts w:ascii="Arial" w:cs="Arial" w:eastAsia="Arial" w:hAnsi="Arial"/>
          <w:sz w:val="19"/>
          <w:szCs w:val="19"/>
          <w:color w:val="auto"/>
        </w:rPr>
        <w:t>______________________</w:t>
      </w:r>
    </w:p>
    <w:p>
      <w:pPr>
        <w:spacing w:after="0" w:line="140" w:lineRule="exact"/>
        <w:rPr>
          <w:sz w:val="24"/>
          <w:szCs w:val="24"/>
          <w:color w:val="auto"/>
        </w:rPr>
      </w:pPr>
    </w:p>
    <w:tbl>
      <w:tblPr>
        <w:tblLayout w:type="fixed"/>
        <w:tblInd w:w="580" w:type="dxa"/>
        <w:tblCellMar>
          <w:top w:w="0" w:type="dxa"/>
          <w:left w:w="0" w:type="dxa"/>
          <w:bottom w:w="0" w:type="dxa"/>
          <w:right w:w="0" w:type="dxa"/>
        </w:tblCellMar>
      </w:tblPr>
      <w:tr>
        <w:trPr>
          <w:trHeight w:val="167"/>
        </w:trPr>
        <w:tc>
          <w:tcPr>
            <w:tcW w:w="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4"/>
          </w:tcPr>
          <w:p>
            <w:pPr>
              <w:ind w:left="140"/>
              <w:spacing w:after="0"/>
              <w:rPr>
                <w:sz w:val="20"/>
                <w:szCs w:val="20"/>
                <w:color w:val="auto"/>
              </w:rPr>
            </w:pPr>
            <w:r>
              <w:rPr>
                <w:rFonts w:ascii="Arial" w:cs="Arial" w:eastAsia="Arial" w:hAnsi="Arial"/>
                <w:sz w:val="13"/>
                <w:szCs w:val="13"/>
                <w:b w:val="1"/>
                <w:bCs w:val="1"/>
                <w:color w:val="auto"/>
              </w:rPr>
              <w:t>CALCULATION OF REGISTRATION FEE</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3"/>
              </w:rPr>
              <w:t>Proposed</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Proposed maximum</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8"/>
              </w:rPr>
              <w:t>maximum</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2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Title of each class of securities to be</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Amount to be</w:t>
            </w:r>
          </w:p>
        </w:tc>
        <w:tc>
          <w:tcPr>
            <w:tcW w:w="20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offering price per</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9"/>
              </w:rPr>
              <w:t>aggregate offering</w:t>
            </w:r>
          </w:p>
        </w:tc>
        <w:tc>
          <w:tcPr>
            <w:tcW w:w="2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2"/>
              </w:rPr>
              <w:t>Amount of</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520" w:type="dxa"/>
            <w:vAlign w:val="bottom"/>
            <w:gridSpan w:val="2"/>
            <w:vMerge w:val="continue"/>
          </w:tcPr>
          <w:p>
            <w:pPr>
              <w:spacing w:after="0"/>
              <w:rPr>
                <w:sz w:val="4"/>
                <w:szCs w:val="4"/>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2"/>
              </w:rPr>
              <w:t>registered</w:t>
            </w:r>
            <w:r>
              <w:rPr>
                <w:rFonts w:ascii="Arial" w:cs="Arial" w:eastAsia="Arial" w:hAnsi="Arial"/>
                <w:sz w:val="21"/>
                <w:szCs w:val="21"/>
                <w:b w:val="1"/>
                <w:bCs w:val="1"/>
                <w:color w:val="auto"/>
                <w:w w:val="82"/>
                <w:vertAlign w:val="superscript"/>
              </w:rPr>
              <w:t>(1)</w:t>
            </w:r>
          </w:p>
        </w:tc>
        <w:tc>
          <w:tcPr>
            <w:tcW w:w="200" w:type="dxa"/>
            <w:vAlign w:val="bottom"/>
          </w:tcPr>
          <w:p>
            <w:pPr>
              <w:spacing w:after="0"/>
              <w:rPr>
                <w:sz w:val="4"/>
                <w:szCs w:val="4"/>
                <w:color w:val="auto"/>
              </w:rPr>
            </w:pP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0"/>
              </w:rPr>
              <w:t>share</w:t>
            </w:r>
            <w:r>
              <w:rPr>
                <w:rFonts w:ascii="Arial" w:cs="Arial" w:eastAsia="Arial" w:hAnsi="Arial"/>
                <w:sz w:val="21"/>
                <w:szCs w:val="21"/>
                <w:b w:val="1"/>
                <w:bCs w:val="1"/>
                <w:color w:val="auto"/>
                <w:w w:val="80"/>
                <w:vertAlign w:val="superscript"/>
              </w:rPr>
              <w:t>(2)</w:t>
            </w:r>
          </w:p>
        </w:tc>
        <w:tc>
          <w:tcPr>
            <w:tcW w:w="200" w:type="dxa"/>
            <w:vAlign w:val="bottom"/>
            <w:vMerge w:val="restart"/>
          </w:tcPr>
          <w:p>
            <w:pPr>
              <w:spacing w:after="0"/>
              <w:rPr>
                <w:sz w:val="4"/>
                <w:szCs w:val="4"/>
                <w:color w:val="auto"/>
              </w:rPr>
            </w:pPr>
          </w:p>
        </w:tc>
        <w:tc>
          <w:tcPr>
            <w:tcW w:w="1180" w:type="dxa"/>
            <w:vAlign w:val="bottom"/>
            <w:vMerge w:val="restart"/>
          </w:tcPr>
          <w:p>
            <w:pPr>
              <w:jc w:val="center"/>
              <w:spacing w:after="0"/>
              <w:rPr>
                <w:sz w:val="20"/>
                <w:szCs w:val="20"/>
                <w:color w:val="auto"/>
              </w:rPr>
            </w:pPr>
            <w:r>
              <w:rPr>
                <w:rFonts w:ascii="Arial" w:cs="Arial" w:eastAsia="Arial" w:hAnsi="Arial"/>
                <w:sz w:val="25"/>
                <w:szCs w:val="25"/>
                <w:b w:val="1"/>
                <w:bCs w:val="1"/>
                <w:color w:val="auto"/>
                <w:w w:val="80"/>
                <w:vertAlign w:val="subscript"/>
              </w:rPr>
              <w:t>price</w:t>
            </w:r>
            <w:r>
              <w:rPr>
                <w:rFonts w:ascii="Arial" w:cs="Arial" w:eastAsia="Arial" w:hAnsi="Arial"/>
                <w:sz w:val="11"/>
                <w:szCs w:val="11"/>
                <w:b w:val="1"/>
                <w:bCs w:val="1"/>
                <w:color w:val="auto"/>
                <w:w w:val="80"/>
              </w:rPr>
              <w:t>(1)(2)</w:t>
            </w:r>
          </w:p>
        </w:tc>
        <w:tc>
          <w:tcPr>
            <w:tcW w:w="200" w:type="dxa"/>
            <w:vAlign w:val="bottom"/>
          </w:tcPr>
          <w:p>
            <w:pPr>
              <w:spacing w:after="0"/>
              <w:rPr>
                <w:sz w:val="4"/>
                <w:szCs w:val="4"/>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registration fee</w:t>
            </w:r>
            <w:r>
              <w:rPr>
                <w:rFonts w:ascii="Arial" w:cs="Arial" w:eastAsia="Arial" w:hAnsi="Arial"/>
                <w:sz w:val="21"/>
                <w:szCs w:val="21"/>
                <w:b w:val="1"/>
                <w:bCs w:val="1"/>
                <w:color w:val="auto"/>
                <w:w w:val="86"/>
                <w:vertAlign w:val="superscript"/>
              </w:rPr>
              <w:t>(3)</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registered</w:t>
            </w:r>
          </w:p>
        </w:tc>
        <w:tc>
          <w:tcPr>
            <w:tcW w:w="200" w:type="dxa"/>
            <w:vAlign w:val="bottom"/>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3"/>
                <w:szCs w:val="13"/>
                <w:color w:val="auto"/>
                <w:w w:val="94"/>
              </w:rPr>
              <w:t>Ordinary shares, par value NIS 0.01 per share</w:t>
            </w: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8,165,000</w:t>
            </w:r>
          </w:p>
        </w:tc>
        <w:tc>
          <w:tcPr>
            <w:tcW w:w="1520" w:type="dxa"/>
            <w:vAlign w:val="bottom"/>
            <w:gridSpan w:val="2"/>
          </w:tcPr>
          <w:p>
            <w:pPr>
              <w:jc w:val="center"/>
              <w:ind w:left="119"/>
              <w:spacing w:after="0"/>
              <w:rPr>
                <w:sz w:val="20"/>
                <w:szCs w:val="20"/>
                <w:color w:val="auto"/>
              </w:rPr>
            </w:pPr>
            <w:r>
              <w:rPr>
                <w:rFonts w:ascii="Arial" w:cs="Arial" w:eastAsia="Arial" w:hAnsi="Arial"/>
                <w:sz w:val="16"/>
                <w:szCs w:val="16"/>
                <w:color w:val="auto"/>
                <w:w w:val="89"/>
              </w:rPr>
              <w:t>$15.00</w:t>
            </w:r>
          </w:p>
        </w:tc>
        <w:tc>
          <w:tcPr>
            <w:tcW w:w="2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w w:val="87"/>
              </w:rPr>
              <w:t>$122,475,000</w:t>
            </w:r>
          </w:p>
        </w:tc>
        <w:tc>
          <w:tcPr>
            <w:tcW w:w="130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$14,232</w:t>
            </w:r>
          </w:p>
        </w:tc>
        <w:tc>
          <w:tcPr>
            <w:tcW w:w="0" w:type="dxa"/>
            <w:vAlign w:val="bottom"/>
          </w:tcPr>
          <w:p>
            <w:pPr>
              <w:spacing w:after="0"/>
              <w:rPr>
                <w:sz w:val="1"/>
                <w:szCs w:val="1"/>
                <w:color w:val="auto"/>
              </w:rPr>
            </w:pPr>
          </w:p>
        </w:tc>
      </w:tr>
      <w:tr>
        <w:trPr>
          <w:trHeight w:val="247"/>
        </w:trPr>
        <w:tc>
          <w:tcPr>
            <w:tcW w:w="2360" w:type="dxa"/>
            <w:vAlign w:val="bottom"/>
            <w:gridSpan w:val="2"/>
          </w:tcPr>
          <w:p>
            <w:pPr>
              <w:jc w:val="right"/>
              <w:ind w:right="935"/>
              <w:spacing w:after="0"/>
              <w:rPr>
                <w:sz w:val="20"/>
                <w:szCs w:val="20"/>
                <w:color w:val="auto"/>
              </w:rPr>
            </w:pPr>
            <w:r>
              <w:rPr>
                <w:rFonts w:ascii="Arial" w:cs="Arial" w:eastAsia="Arial" w:hAnsi="Arial"/>
                <w:sz w:val="19"/>
                <w:szCs w:val="19"/>
                <w:color w:val="auto"/>
                <w:w w:val="90"/>
              </w:rPr>
              <w:t>______________</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800" w:hanging="223"/>
        <w:spacing w:after="0"/>
        <w:tabs>
          <w:tab w:leader="none" w:pos="80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shares granted pursuant to the underwriters’ option to purchase additional shares.</w:t>
      </w:r>
    </w:p>
    <w:p>
      <w:pPr>
        <w:spacing w:after="0" w:line="22" w:lineRule="exact"/>
        <w:rPr>
          <w:rFonts w:ascii="Arial" w:cs="Arial" w:eastAsia="Arial" w:hAnsi="Arial"/>
          <w:sz w:val="13"/>
          <w:szCs w:val="13"/>
          <w:color w:val="auto"/>
        </w:rPr>
      </w:pPr>
    </w:p>
    <w:p>
      <w:pPr>
        <w:ind w:left="800" w:hanging="223"/>
        <w:spacing w:after="0"/>
        <w:tabs>
          <w:tab w:leader="none" w:pos="80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457(a) under the Securities Act of 1933.</w:t>
      </w:r>
    </w:p>
    <w:p>
      <w:pPr>
        <w:spacing w:after="0" w:line="32" w:lineRule="exact"/>
        <w:rPr>
          <w:rFonts w:ascii="Arial" w:cs="Arial" w:eastAsia="Arial" w:hAnsi="Arial"/>
          <w:sz w:val="13"/>
          <w:szCs w:val="13"/>
          <w:color w:val="auto"/>
        </w:rPr>
      </w:pPr>
    </w:p>
    <w:p>
      <w:pPr>
        <w:ind w:left="800" w:hanging="223"/>
        <w:spacing w:after="0"/>
        <w:tabs>
          <w:tab w:leader="none" w:pos="80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13" w:lineRule="exact"/>
        <w:rPr>
          <w:sz w:val="24"/>
          <w:szCs w:val="24"/>
          <w:color w:val="auto"/>
        </w:rPr>
      </w:pPr>
    </w:p>
    <w:p>
      <w:pPr>
        <w:ind w:left="3620"/>
        <w:spacing w:after="0"/>
        <w:rPr>
          <w:sz w:val="20"/>
          <w:szCs w:val="20"/>
          <w:color w:val="auto"/>
        </w:rPr>
      </w:pPr>
      <w:r>
        <w:rPr>
          <w:rFonts w:ascii="Arial" w:cs="Arial" w:eastAsia="Arial" w:hAnsi="Arial"/>
          <w:sz w:val="16"/>
          <w:szCs w:val="16"/>
          <w:color w:val="auto"/>
        </w:rPr>
        <w:t>______________________</w:t>
      </w:r>
    </w:p>
    <w:p>
      <w:pPr>
        <w:spacing w:after="0" w:line="2" w:lineRule="exact"/>
        <w:rPr>
          <w:sz w:val="24"/>
          <w:szCs w:val="24"/>
          <w:color w:val="auto"/>
        </w:rPr>
      </w:pPr>
    </w:p>
    <w:p>
      <w:pPr>
        <w:ind w:left="580" w:right="659"/>
        <w:spacing w:after="0" w:line="261"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wp:posOffset>
            </wp:positionH>
            <wp:positionV relativeFrom="paragraph">
              <wp:posOffset>199390</wp:posOffset>
            </wp:positionV>
            <wp:extent cx="49993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EXPLANATORY NOTE</w:t>
      </w:r>
    </w:p>
    <w:p>
      <w:pPr>
        <w:spacing w:after="0" w:line="208" w:lineRule="exact"/>
        <w:rPr>
          <w:sz w:val="20"/>
          <w:szCs w:val="20"/>
          <w:color w:val="auto"/>
        </w:rPr>
      </w:pPr>
    </w:p>
    <w:p>
      <w:pPr>
        <w:ind w:left="580" w:right="619" w:firstLine="194"/>
        <w:spacing w:after="0" w:line="355" w:lineRule="auto"/>
        <w:rPr>
          <w:sz w:val="20"/>
          <w:szCs w:val="20"/>
          <w:color w:val="auto"/>
        </w:rPr>
      </w:pPr>
      <w:r>
        <w:rPr>
          <w:rFonts w:ascii="Arial" w:cs="Arial" w:eastAsia="Arial" w:hAnsi="Arial"/>
          <w:sz w:val="14"/>
          <w:szCs w:val="14"/>
          <w:color w:val="auto"/>
        </w:rPr>
        <w:t>This Amendment is filed solely to file the exhibits indicated in Item 8 of Part II. No change is made to the preliminary prospectus constituting Part I of the Registration Statement or Items 6, 7 or 9 of Part II of the Registration Statement.</w:t>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Item 8. Exhibits and Financial Statement Schedules.</w:t>
      </w:r>
    </w:p>
    <w:p>
      <w:pPr>
        <w:spacing w:after="0" w:line="208" w:lineRule="exact"/>
        <w:rPr>
          <w:sz w:val="20"/>
          <w:szCs w:val="20"/>
          <w:color w:val="auto"/>
        </w:rPr>
      </w:pPr>
    </w:p>
    <w:p>
      <w:pPr>
        <w:ind w:left="1020" w:hanging="249"/>
        <w:spacing w:after="0"/>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Exhibit Index is hereby incorporated herein by reference.</w:t>
      </w:r>
    </w:p>
    <w:p>
      <w:pPr>
        <w:spacing w:after="0" w:line="203" w:lineRule="exact"/>
        <w:rPr>
          <w:rFonts w:ascii="Arial" w:cs="Arial" w:eastAsia="Arial" w:hAnsi="Arial"/>
          <w:sz w:val="16"/>
          <w:szCs w:val="16"/>
          <w:color w:val="auto"/>
        </w:rPr>
      </w:pPr>
    </w:p>
    <w:p>
      <w:pPr>
        <w:ind w:left="1020" w:hanging="249"/>
        <w:spacing w:after="0"/>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Financial Statement Schedules.</w:t>
      </w:r>
    </w:p>
    <w:p>
      <w:pPr>
        <w:spacing w:after="0" w:line="204" w:lineRule="exact"/>
        <w:rPr>
          <w:sz w:val="20"/>
          <w:szCs w:val="20"/>
          <w:color w:val="auto"/>
        </w:rPr>
      </w:pPr>
    </w:p>
    <w:p>
      <w:pPr>
        <w:ind w:left="580" w:right="699" w:firstLine="194"/>
        <w:spacing w:after="0" w:line="267" w:lineRule="auto"/>
        <w:rPr>
          <w:sz w:val="20"/>
          <w:szCs w:val="20"/>
          <w:color w:val="auto"/>
        </w:rPr>
      </w:pPr>
      <w:r>
        <w:rPr>
          <w:rFonts w:ascii="Arial" w:cs="Arial" w:eastAsia="Arial" w:hAnsi="Arial"/>
          <w:sz w:val="16"/>
          <w:szCs w:val="16"/>
          <w:color w:val="auto"/>
        </w:rPr>
        <w:t>All Financial Statement Schedules have been omitted because either they are not required, are not applicable or the information required therein is otherwise set forth in the Registrant’s consolidated financial statements and related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148590</wp:posOffset>
            </wp:positionV>
            <wp:extent cx="49993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8" w:lineRule="exact"/>
        <w:rPr>
          <w:sz w:val="20"/>
          <w:szCs w:val="20"/>
          <w:color w:val="auto"/>
        </w:rPr>
      </w:pPr>
    </w:p>
    <w:p>
      <w:pPr>
        <w:ind w:left="580" w:right="679" w:firstLine="194"/>
        <w:spacing w:after="0" w:line="308" w:lineRule="auto"/>
        <w:rPr>
          <w:sz w:val="20"/>
          <w:szCs w:val="20"/>
          <w:color w:val="auto"/>
        </w:rPr>
      </w:pPr>
      <w:r>
        <w:rPr>
          <w:rFonts w:ascii="Arial" w:cs="Arial" w:eastAsia="Arial" w:hAnsi="Arial"/>
          <w:sz w:val="14"/>
          <w:szCs w:val="14"/>
          <w:color w:val="auto"/>
        </w:rPr>
        <w:t>Pursuant to the requirements of the Securities Act of 1933, the Registrant certifies that it has reasonable grounds to believe that it meets all of the requirements for filing on Form F-1 and has duly caused this registration statement to be</w:t>
      </w:r>
    </w:p>
    <w:p>
      <w:pPr>
        <w:ind w:left="580" w:right="739"/>
        <w:spacing w:after="0" w:line="215" w:lineRule="auto"/>
        <w:rPr>
          <w:sz w:val="20"/>
          <w:szCs w:val="20"/>
          <w:color w:val="auto"/>
        </w:rPr>
      </w:pPr>
      <w:r>
        <w:rPr>
          <w:rFonts w:ascii="Arial" w:cs="Arial" w:eastAsia="Arial" w:hAnsi="Arial"/>
          <w:sz w:val="16"/>
          <w:szCs w:val="16"/>
          <w:color w:val="auto"/>
        </w:rPr>
        <w:t>signed on its behalf by the undersigned, thereunto duly authorized, in Rosh Ha-Ayin, Israel on this 27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March, 2015.</w:t>
      </w:r>
    </w:p>
    <w:p>
      <w:pPr>
        <w:spacing w:after="0" w:line="179" w:lineRule="exact"/>
        <w:rPr>
          <w:sz w:val="20"/>
          <w:szCs w:val="20"/>
          <w:color w:val="auto"/>
        </w:rPr>
      </w:pPr>
    </w:p>
    <w:p>
      <w:pPr>
        <w:ind w:left="4980"/>
        <w:spacing w:after="0"/>
        <w:rPr>
          <w:sz w:val="20"/>
          <w:szCs w:val="20"/>
          <w:color w:val="auto"/>
        </w:rPr>
      </w:pPr>
      <w:r>
        <w:rPr>
          <w:rFonts w:ascii="Arial" w:cs="Arial" w:eastAsia="Arial" w:hAnsi="Arial"/>
          <w:sz w:val="16"/>
          <w:szCs w:val="16"/>
          <w:b w:val="1"/>
          <w:bCs w:val="1"/>
          <w:color w:val="auto"/>
        </w:rPr>
        <w:t>KORNIT DIGITAL LTD.</w:t>
      </w:r>
    </w:p>
    <w:p>
      <w:pPr>
        <w:spacing w:after="0" w:line="208" w:lineRule="exact"/>
        <w:rPr>
          <w:sz w:val="20"/>
          <w:szCs w:val="20"/>
          <w:color w:val="auto"/>
        </w:rPr>
      </w:pPr>
    </w:p>
    <w:p>
      <w:pPr>
        <w:ind w:left="4980"/>
        <w:spacing w:after="0"/>
        <w:tabs>
          <w:tab w:leader="none" w:pos="5400" w:val="left"/>
        </w:tabs>
        <w:rPr>
          <w:sz w:val="20"/>
          <w:szCs w:val="20"/>
          <w:color w:val="auto"/>
        </w:rPr>
      </w:pPr>
      <w:r>
        <w:rPr>
          <w:rFonts w:ascii="Arial" w:cs="Arial" w:eastAsia="Arial" w:hAnsi="Arial"/>
          <w:sz w:val="16"/>
          <w:szCs w:val="16"/>
          <w:color w:val="auto"/>
        </w:rPr>
        <w:t>By:</w:t>
        <w:tab/>
        <w:t>/s/ Gabi Seligsohn</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Name: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-116205</wp:posOffset>
            </wp:positionV>
            <wp:extent cx="19227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2780" cy="7620"/>
                    </a:xfrm>
                    <a:prstGeom prst="rect">
                      <a:avLst/>
                    </a:prstGeom>
                    <a:noFill/>
                  </pic:spPr>
                </pic:pic>
              </a:graphicData>
            </a:graphic>
          </wp:anchor>
        </w:drawing>
      </w:r>
    </w:p>
    <w:p>
      <w:pPr>
        <w:spacing w:after="0" w:line="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 Chief Executive Officer and Director</w:t>
      </w:r>
    </w:p>
    <w:p>
      <w:pPr>
        <w:spacing w:after="0" w:line="167" w:lineRule="exact"/>
        <w:rPr>
          <w:sz w:val="20"/>
          <w:szCs w:val="20"/>
          <w:color w:val="auto"/>
        </w:rPr>
      </w:pPr>
    </w:p>
    <w:p>
      <w:pPr>
        <w:ind w:left="580" w:right="759" w:firstLine="194"/>
        <w:spacing w:after="0" w:line="281"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on March 27, 2015 in the capacities indicated:</w:t>
      </w:r>
    </w:p>
    <w:p>
      <w:pPr>
        <w:sectPr>
          <w:pgSz w:w="11900" w:h="16838" w:orient="portrait"/>
          <w:cols w:equalWidth="0" w:num="1">
            <w:col w:w="9019"/>
          </w:cols>
          <w:pgMar w:left="1440" w:top="123" w:right="1440" w:bottom="1440" w:gutter="0" w:footer="0" w:header="0"/>
        </w:sectPr>
      </w:pPr>
    </w:p>
    <w:p>
      <w:pPr>
        <w:spacing w:after="0" w:line="151" w:lineRule="exact"/>
        <w:rPr>
          <w:sz w:val="20"/>
          <w:szCs w:val="20"/>
          <w:color w:val="auto"/>
        </w:rPr>
      </w:pPr>
    </w:p>
    <w:p>
      <w:pPr>
        <w:jc w:val="center"/>
        <w:ind w:left="1020"/>
        <w:spacing w:after="0"/>
        <w:rPr>
          <w:sz w:val="20"/>
          <w:szCs w:val="20"/>
          <w:color w:val="auto"/>
        </w:rPr>
      </w:pPr>
      <w:r>
        <w:rPr>
          <w:rFonts w:ascii="Arial" w:cs="Arial" w:eastAsia="Arial" w:hAnsi="Arial"/>
          <w:sz w:val="13"/>
          <w:szCs w:val="13"/>
          <w:b w:val="1"/>
          <w:bCs w:val="1"/>
          <w:color w:val="auto"/>
        </w:rPr>
        <w:t>Signature and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36195</wp:posOffset>
            </wp:positionV>
            <wp:extent cx="11226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2680" cy="7620"/>
                    </a:xfrm>
                    <a:prstGeom prst="rect">
                      <a:avLst/>
                    </a:prstGeom>
                    <a:noFill/>
                  </pic:spPr>
                </pic:pic>
              </a:graphicData>
            </a:graphic>
          </wp:anchor>
        </w:drawing>
      </w:r>
    </w:p>
    <w:p>
      <w:pPr>
        <w:spacing w:after="0" w:line="222" w:lineRule="exact"/>
        <w:rPr>
          <w:sz w:val="20"/>
          <w:szCs w:val="20"/>
          <w:color w:val="auto"/>
        </w:rPr>
      </w:pPr>
    </w:p>
    <w:p>
      <w:pPr>
        <w:jc w:val="center"/>
        <w:ind w:left="1020"/>
        <w:spacing w:after="0"/>
        <w:rPr>
          <w:sz w:val="20"/>
          <w:szCs w:val="20"/>
          <w:color w:val="auto"/>
        </w:rPr>
      </w:pPr>
      <w:r>
        <w:rPr>
          <w:rFonts w:ascii="Arial" w:cs="Arial" w:eastAsia="Arial" w:hAnsi="Arial"/>
          <w:sz w:val="15"/>
          <w:szCs w:val="15"/>
          <w:color w:val="auto"/>
        </w:rPr>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10795</wp:posOffset>
            </wp:positionV>
            <wp:extent cx="11226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2680" cy="7620"/>
                    </a:xfrm>
                    <a:prstGeom prst="rect">
                      <a:avLst/>
                    </a:prstGeom>
                    <a:noFill/>
                  </pic:spPr>
                </pic:pic>
              </a:graphicData>
            </a:graphic>
          </wp:anchor>
        </w:drawing>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Gabi Seligsohn</w:t>
      </w:r>
    </w:p>
    <w:p>
      <w:pPr>
        <w:spacing w:after="0" w:line="11"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10160</wp:posOffset>
            </wp:positionV>
            <wp:extent cx="11226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2680" cy="7620"/>
                    </a:xfrm>
                    <a:prstGeom prst="rect">
                      <a:avLst/>
                    </a:prstGeom>
                    <a:noFill/>
                  </pic:spPr>
                </pic:pic>
              </a:graphicData>
            </a:graphic>
          </wp:anchor>
        </w:drawing>
      </w:r>
    </w:p>
    <w:p>
      <w:pPr>
        <w:jc w:val="center"/>
        <w:ind w:left="1020"/>
        <w:spacing w:after="0"/>
        <w:rPr>
          <w:sz w:val="20"/>
          <w:szCs w:val="20"/>
          <w:color w:val="auto"/>
        </w:rPr>
      </w:pPr>
      <w:r>
        <w:rPr>
          <w:rFonts w:ascii="Arial" w:cs="Arial" w:eastAsia="Arial" w:hAnsi="Arial"/>
          <w:sz w:val="15"/>
          <w:szCs w:val="15"/>
          <w:color w:val="auto"/>
        </w:rPr>
        <w:t>Guy Avidan</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10795</wp:posOffset>
            </wp:positionV>
            <wp:extent cx="11226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2680" cy="7620"/>
                    </a:xfrm>
                    <a:prstGeom prst="rect">
                      <a:avLst/>
                    </a:prstGeom>
                    <a:noFill/>
                  </pic:spPr>
                </pic:pic>
              </a:graphicData>
            </a:graphic>
          </wp:anchor>
        </w:drawing>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Yuval Cohen</w:t>
      </w:r>
    </w:p>
    <w:p>
      <w:pPr>
        <w:spacing w:after="0" w:line="1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10160</wp:posOffset>
            </wp:positionV>
            <wp:extent cx="11226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22680" cy="76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5"/>
          <w:szCs w:val="15"/>
          <w:color w:val="auto"/>
        </w:rPr>
        <w:t>Ofer Ben-Zur</w:t>
      </w:r>
    </w:p>
    <w:p>
      <w:pPr>
        <w:spacing w:after="0" w:line="1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10160</wp:posOffset>
            </wp:positionV>
            <wp:extent cx="11226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22680" cy="7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5"/>
          <w:szCs w:val="15"/>
          <w:color w:val="auto"/>
        </w:rPr>
        <w:t>Eli Blatt</w:t>
      </w:r>
    </w:p>
    <w:p>
      <w:pPr>
        <w:spacing w:after="0" w:line="1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10160</wp:posOffset>
            </wp:positionV>
            <wp:extent cx="1122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22680" cy="7620"/>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5"/>
          <w:szCs w:val="15"/>
          <w:color w:val="auto"/>
        </w:rPr>
        <w:t>Lauri Hanover</w:t>
      </w:r>
    </w:p>
    <w:p>
      <w:pPr>
        <w:spacing w:after="0" w:line="1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10160</wp:posOffset>
            </wp:positionV>
            <wp:extent cx="1122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22680" cy="76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5"/>
          <w:szCs w:val="15"/>
          <w:color w:val="auto"/>
        </w:rPr>
        <w:t>Marc Lesnick</w:t>
      </w:r>
    </w:p>
    <w:p>
      <w:pPr>
        <w:spacing w:after="0" w:line="1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10160</wp:posOffset>
            </wp:positionV>
            <wp:extent cx="11226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22680" cy="762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5"/>
          <w:szCs w:val="15"/>
          <w:color w:val="auto"/>
        </w:rPr>
        <w:t>Alon Lumbroso</w:t>
      </w:r>
    </w:p>
    <w:p>
      <w:pPr>
        <w:spacing w:after="0" w:line="1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10160</wp:posOffset>
            </wp:positionV>
            <wp:extent cx="112268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22680" cy="762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5"/>
          <w:szCs w:val="15"/>
          <w:color w:val="auto"/>
        </w:rPr>
        <w:t>Jerry Mandel</w:t>
      </w:r>
    </w:p>
    <w:p>
      <w:pPr>
        <w:spacing w:after="0" w:line="11" w:lineRule="exact"/>
        <w:rPr>
          <w:sz w:val="20"/>
          <w:szCs w:val="20"/>
          <w:color w:val="auto"/>
        </w:rPr>
      </w:pPr>
    </w:p>
    <w:p>
      <w:pPr>
        <w:jc w:val="center"/>
        <w:ind w:left="10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10160</wp:posOffset>
            </wp:positionV>
            <wp:extent cx="11226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22680" cy="7620"/>
                    </a:xfrm>
                    <a:prstGeom prst="rect">
                      <a:avLst/>
                    </a:prstGeom>
                    <a:noFill/>
                  </pic:spPr>
                </pic:pic>
              </a:graphicData>
            </a:graphic>
          </wp:anchor>
        </w:drawing>
      </w:r>
    </w:p>
    <w:p>
      <w:pPr>
        <w:jc w:val="center"/>
        <w:ind w:left="1020"/>
        <w:spacing w:after="0"/>
        <w:rPr>
          <w:sz w:val="20"/>
          <w:szCs w:val="20"/>
          <w:color w:val="auto"/>
        </w:rPr>
      </w:pPr>
      <w:r>
        <w:rPr>
          <w:rFonts w:ascii="Arial" w:cs="Arial" w:eastAsia="Arial" w:hAnsi="Arial"/>
          <w:sz w:val="15"/>
          <w:szCs w:val="15"/>
          <w:color w:val="auto"/>
        </w:rPr>
        <w:t>Dov Ofer</w:t>
      </w:r>
    </w:p>
    <w:p>
      <w:pPr>
        <w:spacing w:after="0" w:line="191" w:lineRule="exact"/>
        <w:rPr>
          <w:sz w:val="20"/>
          <w:szCs w:val="20"/>
          <w:color w:val="auto"/>
        </w:rPr>
      </w:pPr>
    </w:p>
    <w:p>
      <w:pPr>
        <w:jc w:val="center"/>
        <w:ind w:left="1020"/>
        <w:spacing w:after="0"/>
        <w:rPr>
          <w:sz w:val="20"/>
          <w:szCs w:val="20"/>
          <w:color w:val="auto"/>
        </w:rPr>
      </w:pPr>
      <w:r>
        <w:rPr>
          <w:rFonts w:ascii="Arial" w:cs="Arial" w:eastAsia="Arial" w:hAnsi="Arial"/>
          <w:sz w:val="15"/>
          <w:szCs w:val="15"/>
          <w:color w:val="auto"/>
        </w:rPr>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10795</wp:posOffset>
            </wp:positionV>
            <wp:extent cx="112268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22680" cy="7620"/>
                    </a:xfrm>
                    <a:prstGeom prst="rect">
                      <a:avLst/>
                    </a:prstGeom>
                    <a:noFill/>
                  </pic:spPr>
                </pic:pic>
              </a:graphicData>
            </a:graphic>
          </wp:anchor>
        </w:drawing>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Gabi Seligsohn</w:t>
      </w:r>
    </w:p>
    <w:p>
      <w:pPr>
        <w:spacing w:after="0" w:line="11"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Attorney-in-fact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4640" w:type="dxa"/>
            <w:vAlign w:val="bottom"/>
            <w:tcBorders>
              <w:bottom w:val="single" w:sz="8" w:color="auto"/>
            </w:tcBorders>
          </w:tcPr>
          <w:p>
            <w:pPr>
              <w:ind w:left="2180"/>
              <w:spacing w:after="0"/>
              <w:rPr>
                <w:sz w:val="20"/>
                <w:szCs w:val="20"/>
                <w:color w:val="auto"/>
              </w:rPr>
            </w:pPr>
            <w:r>
              <w:rPr>
                <w:rFonts w:ascii="Arial" w:cs="Arial" w:eastAsia="Arial" w:hAnsi="Arial"/>
                <w:sz w:val="15"/>
                <w:szCs w:val="15"/>
                <w:b w:val="1"/>
                <w:bCs w:val="1"/>
                <w:color w:val="auto"/>
              </w:rPr>
              <w:t>Title</w:t>
            </w:r>
          </w:p>
        </w:tc>
        <w:tc>
          <w:tcPr>
            <w:tcW w:w="140" w:type="dxa"/>
            <w:vAlign w:val="bottom"/>
          </w:tcPr>
          <w:p>
            <w:pPr>
              <w:spacing w:after="0"/>
              <w:rPr>
                <w:sz w:val="17"/>
                <w:szCs w:val="17"/>
                <w:color w:val="auto"/>
              </w:rPr>
            </w:pPr>
          </w:p>
        </w:tc>
        <w:tc>
          <w:tcPr>
            <w:tcW w:w="94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rPr>
              <w:t>Date</w:t>
            </w:r>
          </w:p>
        </w:tc>
        <w:tc>
          <w:tcPr>
            <w:tcW w:w="0" w:type="dxa"/>
            <w:vAlign w:val="bottom"/>
          </w:tcPr>
          <w:p>
            <w:pPr>
              <w:spacing w:after="0"/>
              <w:rPr>
                <w:sz w:val="1"/>
                <w:szCs w:val="1"/>
                <w:color w:val="auto"/>
              </w:rPr>
            </w:pPr>
          </w:p>
        </w:tc>
      </w:tr>
      <w:tr>
        <w:trPr>
          <w:trHeight w:val="539"/>
        </w:trPr>
        <w:tc>
          <w:tcPr>
            <w:tcW w:w="4780" w:type="dxa"/>
            <w:vAlign w:val="bottom"/>
            <w:gridSpan w:val="2"/>
          </w:tcPr>
          <w:p>
            <w:pPr>
              <w:spacing w:after="0"/>
              <w:rPr>
                <w:sz w:val="20"/>
                <w:szCs w:val="20"/>
                <w:color w:val="auto"/>
              </w:rPr>
            </w:pPr>
            <w:r>
              <w:rPr>
                <w:rFonts w:ascii="Arial" w:cs="Arial" w:eastAsia="Arial" w:hAnsi="Arial"/>
                <w:sz w:val="15"/>
                <w:szCs w:val="15"/>
                <w:color w:val="auto"/>
              </w:rPr>
              <w:t>Chief Executive Officer and Director (principal executive officer)</w:t>
            </w:r>
          </w:p>
        </w:tc>
        <w:tc>
          <w:tcPr>
            <w:tcW w:w="940" w:type="dxa"/>
            <w:vAlign w:val="bottom"/>
          </w:tcPr>
          <w:p>
            <w:pPr>
              <w:jc w:val="right"/>
              <w:spacing w:after="0"/>
              <w:rPr>
                <w:sz w:val="20"/>
                <w:szCs w:val="20"/>
                <w:color w:val="auto"/>
              </w:rPr>
            </w:pPr>
            <w:r>
              <w:rPr>
                <w:rFonts w:ascii="Arial" w:cs="Arial" w:eastAsia="Arial" w:hAnsi="Arial"/>
                <w:sz w:val="15"/>
                <w:szCs w:val="15"/>
                <w:color w:val="auto"/>
                <w:w w:val="86"/>
              </w:rPr>
              <w:t>March 27, 2015</w:t>
            </w:r>
          </w:p>
        </w:tc>
        <w:tc>
          <w:tcPr>
            <w:tcW w:w="0" w:type="dxa"/>
            <w:vAlign w:val="bottom"/>
          </w:tcPr>
          <w:p>
            <w:pPr>
              <w:spacing w:after="0"/>
              <w:rPr>
                <w:sz w:val="1"/>
                <w:szCs w:val="1"/>
                <w:color w:val="auto"/>
              </w:rPr>
            </w:pPr>
          </w:p>
        </w:tc>
      </w:tr>
      <w:tr>
        <w:trPr>
          <w:trHeight w:val="374"/>
        </w:trPr>
        <w:tc>
          <w:tcPr>
            <w:tcW w:w="4780" w:type="dxa"/>
            <w:vAlign w:val="bottom"/>
            <w:gridSpan w:val="2"/>
          </w:tcPr>
          <w:p>
            <w:pPr>
              <w:spacing w:after="0"/>
              <w:rPr>
                <w:sz w:val="20"/>
                <w:szCs w:val="20"/>
                <w:color w:val="auto"/>
              </w:rPr>
            </w:pPr>
            <w:r>
              <w:rPr>
                <w:rFonts w:ascii="Arial" w:cs="Arial" w:eastAsia="Arial" w:hAnsi="Arial"/>
                <w:sz w:val="15"/>
                <w:szCs w:val="15"/>
                <w:color w:val="auto"/>
                <w:w w:val="98"/>
              </w:rPr>
              <w:t>Chief Financial Officer (principal financial officer and principal accounting</w:t>
            </w: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w w:val="86"/>
              </w:rPr>
              <w:t>March 27, 2015</w:t>
            </w:r>
          </w:p>
        </w:tc>
        <w:tc>
          <w:tcPr>
            <w:tcW w:w="0" w:type="dxa"/>
            <w:vAlign w:val="bottom"/>
          </w:tcPr>
          <w:p>
            <w:pPr>
              <w:spacing w:after="0"/>
              <w:rPr>
                <w:sz w:val="1"/>
                <w:szCs w:val="1"/>
                <w:color w:val="auto"/>
              </w:rPr>
            </w:pPr>
          </w:p>
        </w:tc>
      </w:tr>
      <w:tr>
        <w:trPr>
          <w:trHeight w:val="87"/>
        </w:trPr>
        <w:tc>
          <w:tcPr>
            <w:tcW w:w="4780" w:type="dxa"/>
            <w:vAlign w:val="bottom"/>
            <w:gridSpan w:val="2"/>
            <w:vMerge w:val="restart"/>
          </w:tcPr>
          <w:p>
            <w:pPr>
              <w:spacing w:after="0"/>
              <w:rPr>
                <w:sz w:val="20"/>
                <w:szCs w:val="20"/>
                <w:color w:val="auto"/>
              </w:rPr>
            </w:pPr>
            <w:r>
              <w:rPr>
                <w:rFonts w:ascii="Arial" w:cs="Arial" w:eastAsia="Arial" w:hAnsi="Arial"/>
                <w:sz w:val="15"/>
                <w:szCs w:val="15"/>
                <w:color w:val="auto"/>
              </w:rPr>
              <w:t>officer)</w:t>
            </w: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478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3"/>
        </w:trPr>
        <w:tc>
          <w:tcPr>
            <w:tcW w:w="4780" w:type="dxa"/>
            <w:vAlign w:val="bottom"/>
            <w:gridSpan w:val="2"/>
          </w:tcPr>
          <w:p>
            <w:pPr>
              <w:spacing w:after="0"/>
              <w:rPr>
                <w:sz w:val="20"/>
                <w:szCs w:val="20"/>
                <w:color w:val="auto"/>
              </w:rPr>
            </w:pPr>
            <w:r>
              <w:rPr>
                <w:rFonts w:ascii="Arial" w:cs="Arial" w:eastAsia="Arial" w:hAnsi="Arial"/>
                <w:sz w:val="15"/>
                <w:szCs w:val="15"/>
                <w:color w:val="auto"/>
              </w:rPr>
              <w:t>Chairman of the Board of Directors</w:t>
            </w:r>
          </w:p>
        </w:tc>
        <w:tc>
          <w:tcPr>
            <w:tcW w:w="94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5"/>
        </w:trPr>
        <w:tc>
          <w:tcPr>
            <w:tcW w:w="478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94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5"/>
        </w:trPr>
        <w:tc>
          <w:tcPr>
            <w:tcW w:w="478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94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5"/>
        </w:trPr>
        <w:tc>
          <w:tcPr>
            <w:tcW w:w="478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94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5"/>
        </w:trPr>
        <w:tc>
          <w:tcPr>
            <w:tcW w:w="478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94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5"/>
        </w:trPr>
        <w:tc>
          <w:tcPr>
            <w:tcW w:w="478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94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5"/>
        </w:trPr>
        <w:tc>
          <w:tcPr>
            <w:tcW w:w="478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94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5"/>
        </w:trPr>
        <w:tc>
          <w:tcPr>
            <w:tcW w:w="478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94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5"/>
        </w:trPr>
        <w:tc>
          <w:tcPr>
            <w:tcW w:w="4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w w:val="86"/>
              </w:rPr>
              <w:t>March 27, 2015</w:t>
            </w:r>
          </w:p>
        </w:tc>
        <w:tc>
          <w:tcPr>
            <w:tcW w:w="0" w:type="dxa"/>
            <w:vAlign w:val="bottom"/>
          </w:tcPr>
          <w:p>
            <w:pPr>
              <w:spacing w:after="0"/>
              <w:rPr>
                <w:sz w:val="1"/>
                <w:szCs w:val="1"/>
                <w:color w:val="auto"/>
              </w:rPr>
            </w:pPr>
          </w:p>
        </w:tc>
      </w:tr>
    </w:tbl>
    <w:p>
      <w:pPr>
        <w:spacing w:after="0" w:line="566" w:lineRule="exact"/>
        <w:rPr>
          <w:sz w:val="20"/>
          <w:szCs w:val="20"/>
          <w:color w:val="auto"/>
        </w:rPr>
      </w:pPr>
    </w:p>
    <w:p>
      <w:pPr>
        <w:sectPr>
          <w:pgSz w:w="11900" w:h="16838" w:orient="portrait"/>
          <w:cols w:equalWidth="0" w:num="2">
            <w:col w:w="2300" w:space="440"/>
            <w:col w:w="6279"/>
          </w:cols>
          <w:pgMar w:left="1440" w:top="123" w:right="1440" w:bottom="1440" w:gutter="0" w:footer="0" w:header="0"/>
          <w:type w:val="continuous"/>
        </w:sectPr>
      </w:pP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KORNIT DIGITAL NORTH AMERICA INC.</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Authorized Representative in the United States</w:t>
      </w:r>
    </w:p>
    <w:p>
      <w:pPr>
        <w:spacing w:after="0" w:line="216" w:lineRule="exact"/>
        <w:rPr>
          <w:sz w:val="20"/>
          <w:szCs w:val="20"/>
          <w:color w:val="auto"/>
        </w:rPr>
      </w:pPr>
    </w:p>
    <w:p>
      <w:pPr>
        <w:ind w:left="580"/>
        <w:spacing w:after="0"/>
        <w:tabs>
          <w:tab w:leader="none" w:pos="7460" w:val="left"/>
        </w:tabs>
        <w:rPr>
          <w:sz w:val="20"/>
          <w:szCs w:val="20"/>
          <w:color w:val="auto"/>
        </w:rPr>
      </w:pPr>
      <w:r>
        <w:rPr>
          <w:rFonts w:ascii="Arial" w:cs="Arial" w:eastAsia="Arial" w:hAnsi="Arial"/>
          <w:sz w:val="16"/>
          <w:szCs w:val="16"/>
          <w:color w:val="auto"/>
        </w:rPr>
        <w:t>By:/s/ Paul Borucki</w:t>
      </w:r>
      <w:r>
        <w:rPr>
          <w:sz w:val="20"/>
          <w:szCs w:val="20"/>
          <w:color w:val="auto"/>
        </w:rPr>
        <w:tab/>
      </w:r>
      <w:r>
        <w:rPr>
          <w:rFonts w:ascii="Arial" w:cs="Arial" w:eastAsia="Arial" w:hAnsi="Arial"/>
          <w:sz w:val="13"/>
          <w:szCs w:val="13"/>
          <w:color w:val="auto"/>
        </w:rPr>
        <w:t>March 27, 2015</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Name: Paul Borucki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-116205</wp:posOffset>
            </wp:positionV>
            <wp:extent cx="10769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76960" cy="7620"/>
                    </a:xfrm>
                    <a:prstGeom prst="rect">
                      <a:avLst/>
                    </a:prstGeom>
                    <a:noFill/>
                  </pic:spPr>
                </pic:pic>
              </a:graphicData>
            </a:graphic>
          </wp:anchor>
        </w:drawing>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191135</wp:posOffset>
            </wp:positionV>
            <wp:extent cx="499935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3" w:name="page4"/>
    <w:bookmarkEnd w:id="3"/>
    <w:tbl>
      <w:tblPr>
        <w:tblLayout w:type="fixed"/>
        <w:tblInd w:w="5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80" w:type="dxa"/>
            <w:vAlign w:val="bottom"/>
          </w:tcPr>
          <w:p>
            <w:pPr>
              <w:ind w:left="2200"/>
              <w:spacing w:after="0"/>
              <w:rPr>
                <w:sz w:val="20"/>
                <w:szCs w:val="20"/>
                <w:color w:val="auto"/>
              </w:rPr>
            </w:pPr>
            <w:r>
              <w:rPr>
                <w:rFonts w:ascii="Arial" w:cs="Arial" w:eastAsia="Arial" w:hAnsi="Arial"/>
                <w:sz w:val="16"/>
                <w:szCs w:val="16"/>
                <w:b w:val="1"/>
                <w:bCs w:val="1"/>
                <w:color w:val="auto"/>
              </w:rPr>
              <w:t>EXHIBIT INDEX</w:t>
            </w:r>
          </w:p>
        </w:tc>
      </w:tr>
      <w:tr>
        <w:trPr>
          <w:trHeight w:val="369"/>
        </w:trPr>
        <w:tc>
          <w:tcPr>
            <w:tcW w:w="1100" w:type="dxa"/>
            <w:vAlign w:val="bottom"/>
            <w:gridSpan w:val="3"/>
          </w:tcPr>
          <w:p>
            <w:pPr>
              <w:spacing w:after="0"/>
              <w:rPr>
                <w:sz w:val="20"/>
                <w:szCs w:val="20"/>
                <w:color w:val="auto"/>
              </w:rPr>
            </w:pPr>
            <w:r>
              <w:rPr>
                <w:rFonts w:ascii="Arial" w:cs="Arial" w:eastAsia="Arial" w:hAnsi="Arial"/>
                <w:sz w:val="15"/>
                <w:szCs w:val="15"/>
                <w:b w:val="1"/>
                <w:bCs w:val="1"/>
                <w:color w:val="auto"/>
              </w:rPr>
              <w:t>Exhibit No.</w:t>
            </w:r>
          </w:p>
        </w:tc>
        <w:tc>
          <w:tcPr>
            <w:tcW w:w="6780" w:type="dxa"/>
            <w:vAlign w:val="bottom"/>
          </w:tcPr>
          <w:p>
            <w:pPr>
              <w:spacing w:after="0"/>
              <w:rPr>
                <w:sz w:val="20"/>
                <w:szCs w:val="20"/>
                <w:color w:val="auto"/>
              </w:rPr>
            </w:pPr>
            <w:r>
              <w:rPr>
                <w:rFonts w:ascii="Arial" w:cs="Arial" w:eastAsia="Arial" w:hAnsi="Arial"/>
                <w:sz w:val="15"/>
                <w:szCs w:val="15"/>
                <w:b w:val="1"/>
                <w:bCs w:val="1"/>
                <w:color w:val="auto"/>
              </w:rPr>
              <w:t>Description</w:t>
            </w:r>
          </w:p>
        </w:tc>
      </w:tr>
      <w:tr>
        <w:trPr>
          <w:trHeight w:val="180"/>
        </w:trPr>
        <w:tc>
          <w:tcPr>
            <w:tcW w:w="20" w:type="dxa"/>
            <w:vAlign w:val="bottom"/>
          </w:tcPr>
          <w:p>
            <w:pPr>
              <w:spacing w:after="0"/>
              <w:rPr>
                <w:sz w:val="15"/>
                <w:szCs w:val="15"/>
                <w:color w:val="auto"/>
              </w:rPr>
            </w:pPr>
          </w:p>
        </w:tc>
        <w:tc>
          <w:tcPr>
            <w:tcW w:w="92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1.1</w:t>
            </w:r>
          </w:p>
        </w:tc>
        <w:tc>
          <w:tcPr>
            <w:tcW w:w="160" w:type="dxa"/>
            <w:vAlign w:val="bottom"/>
          </w:tcPr>
          <w:p>
            <w:pPr>
              <w:spacing w:after="0"/>
              <w:rPr>
                <w:sz w:val="15"/>
                <w:szCs w:val="15"/>
                <w:color w:val="auto"/>
              </w:rPr>
            </w:pPr>
          </w:p>
        </w:tc>
        <w:tc>
          <w:tcPr>
            <w:tcW w:w="67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w w:val="93"/>
              </w:rPr>
              <w:t>Form of Underwriting Agreement by and among Kornit Digital Ltd. and the underwriters named therein</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3.1</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Articles of Association of the Registrant**</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2"/>
              </w:rPr>
              <w:t>Form of Amended and Restated Articles of Association of the Registrant, to be effective upon closing of</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this offering**</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4.1</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Specimen Share Certificate**</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5.1</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3"/>
              </w:rPr>
              <w:t>Opinion of Meitar Liquornik Geva Leshem Tal, Israeli counsel to the Registrant, as to the validity of the</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ordinary shares (including consent)</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2004 Share Option Plan**</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10.2</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2012 Share Incentive Plan**</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10.3</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7"/>
              </w:rPr>
              <w:t>Form of indemnification agreement by and between Kornit Digital Ltd. and each of its directors and</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executive officers**</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3"/>
              </w:rPr>
              <w:t>Sales Representative Agreement, dated April 1, 2014, between the Registrant and Hirsch International</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Corporation†**</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10.5</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4"/>
              </w:rPr>
              <w:t>Original Equipment Manufacturer Supply Agreement, dated January 6, 2006, between the Registrant</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and Spectra Printing, a division of Dimatix, 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10.6</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3"/>
              </w:rPr>
              <w:t>Amendment No. 1 to Original Equipment Manufacturer Supply Agreement, dated September 20, 2006,</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10.7</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4"/>
              </w:rPr>
              <w:t>Amendment No. 2 to Original Equipment Manufacturer Supply Agreement, dated September 1, 2007,</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10.8</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7"/>
              </w:rPr>
              <w:t>Amendment No. 3 to Original Equipment Manufacturer Supply Agreement, dated March 17, 2008,</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10.9</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2"/>
              </w:rPr>
              <w:t>Amendment No. 4 to Original Equipment Manufacturer Supply Agreement, dated July 1, 2010, between</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the Registrant and Fujifilm Dimatix, Inc., formerly Spectra Printing, a division of Dimatix, 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10.10</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7"/>
              </w:rPr>
              <w:t>Amendment No. 5 to Original Equipment Manufacturer Supply Agreement, dated October 4, 2011,</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10.11</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5"/>
              </w:rPr>
              <w:t>Amendment No. 6 to Original Equipment Manufacturer Supply Agreement, dated December 6, 2012,</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10.12</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6"/>
              </w:rPr>
              <w:t>Amendment No. 7 to Original Equipment Manufacturer Supply Agreement, dated February 1, 2013,</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10.13</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7"/>
              </w:rPr>
              <w:t>Amendment No. 8 to Original Equipment Manufacturer Supply Agreement, dated January 1, 2014,</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10.14</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7"/>
              </w:rPr>
              <w:t>Amendment No. 9 to Original Equipment Manufacturer Supply Agreement, dated August 22, 2014,</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10.15</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4"/>
              </w:rPr>
              <w:t>Amended and Restated Supplier Agreement, dated March 9, 2015, between the Registrant and I.T.S.</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Industrial Technologic Solutions, Ltd.†∞**</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10.16</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Amended and Restated Investors’ Rights Agreement, dated March 18, 2015, by and among the</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Registrant and the other parties thereto**</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10.17</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0"/>
              </w:rPr>
              <w:t>Management Services Agreement, dated August 11, 2011, by and between the Registrant and Fortissimo</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Capital Fund II (Israel) L.P.**</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10.18</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1"/>
              </w:rPr>
              <w:t>Termination Agreement, dated March 18, 2015, terminating the Management Services Agreement, dated</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August 11, 2011, by and between the Registrant and Fortissimo Capital Fund II (Israel) L.P.**</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10.19</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0"/>
              </w:rPr>
              <w:t>Lease Agreement, dated March 25, 2010, by and between the Registrant and Benvenisti Engineering Ltd.</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4"/>
              </w:rPr>
              <w:t>as amended by Addendum to Lease Agreement, dated November 21, 2011, and Addendum to Lease</w:t>
            </w:r>
          </w:p>
        </w:tc>
      </w:tr>
      <w:tr>
        <w:trPr>
          <w:trHeight w:val="20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Agreement, dated September 16, 2014∞**</w:t>
            </w:r>
          </w:p>
        </w:tc>
      </w:tr>
      <w:tr>
        <w:trPr>
          <w:trHeight w:val="255"/>
        </w:trPr>
        <w:tc>
          <w:tcPr>
            <w:tcW w:w="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780" w:type="dxa"/>
            <w:vAlign w:val="bottom"/>
            <w:tcBorders>
              <w:bottom w:val="single" w:sz="8" w:color="auto"/>
            </w:tcBorders>
          </w:tcPr>
          <w:p>
            <w:pPr>
              <w:spacing w:after="0"/>
              <w:rPr>
                <w:sz w:val="22"/>
                <w:szCs w:val="22"/>
                <w:color w:val="auto"/>
              </w:rPr>
            </w:pPr>
          </w:p>
        </w:tc>
      </w:tr>
    </w:tbl>
    <w:p>
      <w:pPr>
        <w:sectPr>
          <w:pgSz w:w="11900" w:h="16838" w:orient="portrait"/>
          <w:cols w:equalWidth="0" w:num="1">
            <w:col w:w="9019"/>
          </w:cols>
          <w:pgMar w:left="1440" w:top="280" w:right="1440" w:bottom="1440" w:gutter="0" w:footer="0" w:header="0"/>
        </w:sectPr>
      </w:pPr>
    </w:p>
    <w:bookmarkStart w:id="4" w:name="page5"/>
    <w:bookmarkEnd w:id="4"/>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80" w:type="dxa"/>
            <w:vAlign w:val="bottom"/>
          </w:tcPr>
          <w:p>
            <w:pPr>
              <w:ind w:left="2200"/>
              <w:spacing w:after="0"/>
              <w:rPr>
                <w:sz w:val="20"/>
                <w:szCs w:val="20"/>
                <w:color w:val="auto"/>
              </w:rPr>
            </w:pPr>
            <w:r>
              <w:rPr>
                <w:rFonts w:ascii="Arial" w:cs="Arial" w:eastAsia="Arial" w:hAnsi="Arial"/>
                <w:sz w:val="16"/>
                <w:szCs w:val="16"/>
                <w:b w:val="1"/>
                <w:bCs w:val="1"/>
                <w:color w:val="auto"/>
              </w:rPr>
              <w:t>EXHIBIT INDEX</w:t>
            </w:r>
          </w:p>
        </w:tc>
      </w:tr>
      <w:tr>
        <w:trPr>
          <w:trHeight w:val="357"/>
        </w:trPr>
        <w:tc>
          <w:tcPr>
            <w:tcW w:w="1100" w:type="dxa"/>
            <w:vAlign w:val="bottom"/>
            <w:gridSpan w:val="3"/>
          </w:tcPr>
          <w:p>
            <w:pPr>
              <w:spacing w:after="0"/>
              <w:rPr>
                <w:sz w:val="20"/>
                <w:szCs w:val="20"/>
                <w:color w:val="auto"/>
              </w:rPr>
            </w:pPr>
            <w:r>
              <w:rPr>
                <w:rFonts w:ascii="Arial" w:cs="Arial" w:eastAsia="Arial" w:hAnsi="Arial"/>
                <w:sz w:val="15"/>
                <w:szCs w:val="15"/>
                <w:b w:val="1"/>
                <w:bCs w:val="1"/>
                <w:color w:val="auto"/>
              </w:rPr>
              <w:t>Exhibit No.</w:t>
            </w:r>
          </w:p>
        </w:tc>
        <w:tc>
          <w:tcPr>
            <w:tcW w:w="6780" w:type="dxa"/>
            <w:vAlign w:val="bottom"/>
          </w:tcPr>
          <w:p>
            <w:pPr>
              <w:spacing w:after="0"/>
              <w:rPr>
                <w:sz w:val="20"/>
                <w:szCs w:val="20"/>
                <w:color w:val="auto"/>
              </w:rPr>
            </w:pPr>
            <w:r>
              <w:rPr>
                <w:rFonts w:ascii="Arial" w:cs="Arial" w:eastAsia="Arial" w:hAnsi="Arial"/>
                <w:sz w:val="15"/>
                <w:szCs w:val="15"/>
                <w:b w:val="1"/>
                <w:bCs w:val="1"/>
                <w:color w:val="auto"/>
              </w:rPr>
              <w:t>Description</w:t>
            </w:r>
          </w:p>
        </w:tc>
      </w:tr>
      <w:tr>
        <w:trPr>
          <w:trHeight w:val="180"/>
        </w:trPr>
        <w:tc>
          <w:tcPr>
            <w:tcW w:w="20" w:type="dxa"/>
            <w:vAlign w:val="bottom"/>
          </w:tcPr>
          <w:p>
            <w:pPr>
              <w:spacing w:after="0"/>
              <w:rPr>
                <w:sz w:val="15"/>
                <w:szCs w:val="15"/>
                <w:color w:val="auto"/>
              </w:rPr>
            </w:pPr>
          </w:p>
        </w:tc>
        <w:tc>
          <w:tcPr>
            <w:tcW w:w="92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10.20</w:t>
            </w:r>
          </w:p>
        </w:tc>
        <w:tc>
          <w:tcPr>
            <w:tcW w:w="160" w:type="dxa"/>
            <w:vAlign w:val="bottom"/>
          </w:tcPr>
          <w:p>
            <w:pPr>
              <w:spacing w:after="0"/>
              <w:rPr>
                <w:sz w:val="15"/>
                <w:szCs w:val="15"/>
                <w:color w:val="auto"/>
              </w:rPr>
            </w:pPr>
          </w:p>
        </w:tc>
        <w:tc>
          <w:tcPr>
            <w:tcW w:w="67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w w:val="91"/>
              </w:rPr>
              <w:t>English Summary of the Office and Parking Space Lease Agreement dated as of December 17, 2007, by</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3"/>
              </w:rPr>
              <w:t>and between the Registrant and Industrial Building Corporation Ltd. as amended by Addendum, dated</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5"/>
              </w:rPr>
              <w:t>2007, Addendum to Lease Agreement, dated 2007, Addendum to Lease Agreement, dated March 8,</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0"/>
              </w:rPr>
              <w:t>2012, Addendum to Lease Agreement, dated 2012, Addendum to Lease Agreement, dated December 19,</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5"/>
              </w:rPr>
              <w:t>2012, Addendum to Lease Agreement, dated May 20, 2013, Addendum to Lease Agreement, dated</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January 12, 2014, and Addendum to Lease Agreement, dated January 12, 2014.**</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10.21</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2015 Incentive Compensation Plan**</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10.22</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2015 Employee Stock Purchase Plan**</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21.1</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List of subsidiaries of the Registrant**</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23.1</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Consent of Kost Forer Gabbay &amp; Kasierer, a member of Ernst &amp; Young Global, an independent</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registered public accounting firm**</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23.2</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Consent of Meitar Liquornik Geva Leshem Tal (included in Exhibit 5.1)</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24.1</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Power of Attorney (included in signature pages of Registration Statement)**</w:t>
            </w:r>
          </w:p>
        </w:tc>
      </w:tr>
      <w:tr>
        <w:trPr>
          <w:trHeight w:val="206"/>
        </w:trPr>
        <w:tc>
          <w:tcPr>
            <w:tcW w:w="940" w:type="dxa"/>
            <w:vAlign w:val="bottom"/>
            <w:gridSpan w:val="2"/>
          </w:tcPr>
          <w:p>
            <w:pPr>
              <w:spacing w:after="0"/>
              <w:rPr>
                <w:sz w:val="20"/>
                <w:szCs w:val="20"/>
                <w:color w:val="auto"/>
              </w:rPr>
            </w:pPr>
            <w:r>
              <w:rPr>
                <w:rFonts w:ascii="Arial" w:cs="Arial" w:eastAsia="Arial" w:hAnsi="Arial"/>
                <w:sz w:val="16"/>
                <w:szCs w:val="16"/>
                <w:color w:val="auto"/>
              </w:rPr>
              <w:t>99.1</w:t>
            </w:r>
          </w:p>
        </w:tc>
        <w:tc>
          <w:tcPr>
            <w:tcW w:w="160" w:type="dxa"/>
            <w:vAlign w:val="bottom"/>
          </w:tcPr>
          <w:p>
            <w:pPr>
              <w:spacing w:after="0"/>
              <w:rPr>
                <w:sz w:val="17"/>
                <w:szCs w:val="17"/>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Power of Attorney of Lauri Hanover, Alon Lumbroso, Jerry Mandel and Dov Ofer**</w:t>
            </w:r>
          </w:p>
        </w:tc>
      </w:tr>
    </w:tbl>
    <w:p>
      <w:pPr>
        <w:spacing w:after="0" w:line="14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__________________</w:t>
      </w:r>
    </w:p>
    <w:p>
      <w:pPr>
        <w:spacing w:after="0" w:line="22" w:lineRule="exact"/>
        <w:rPr>
          <w:sz w:val="20"/>
          <w:szCs w:val="20"/>
          <w:color w:val="auto"/>
        </w:rPr>
      </w:pPr>
    </w:p>
    <w:p>
      <w:pPr>
        <w:ind w:left="920" w:hanging="343"/>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Previously filed.</w:t>
      </w:r>
    </w:p>
    <w:p>
      <w:pPr>
        <w:spacing w:after="0" w:line="10" w:lineRule="exact"/>
        <w:rPr>
          <w:sz w:val="20"/>
          <w:szCs w:val="20"/>
          <w:color w:val="auto"/>
        </w:rPr>
      </w:pPr>
    </w:p>
    <w:p>
      <w:pPr>
        <w:ind w:left="860" w:hanging="283"/>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Confidential treatment requested.</w:t>
      </w:r>
    </w:p>
    <w:p>
      <w:pPr>
        <w:spacing w:after="0" w:line="10" w:lineRule="exact"/>
        <w:rPr>
          <w:sz w:val="20"/>
          <w:szCs w:val="20"/>
          <w:color w:val="auto"/>
        </w:rPr>
      </w:pPr>
    </w:p>
    <w:p>
      <w:pPr>
        <w:ind w:left="860" w:hanging="283"/>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English translation of the original Hebrew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168275</wp:posOffset>
            </wp:positionV>
            <wp:extent cx="499935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KORNIT DIGITAL LTD.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Ordinary Shares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UNDERWRITING AGREEMENT</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2015</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w:t>
      </w:r>
      <w:r>
        <w:rPr>
          <w:rFonts w:ascii="Arial" w:cs="Arial" w:eastAsia="Arial" w:hAnsi="Arial"/>
          <w:sz w:val="10"/>
          <w:szCs w:val="10"/>
          <w:color w:val="auto"/>
        </w:rPr>
        <w:t>ARCLAYS</w:t>
      </w:r>
      <w:r>
        <w:rPr>
          <w:rFonts w:ascii="Arial" w:cs="Arial" w:eastAsia="Arial" w:hAnsi="Arial"/>
          <w:sz w:val="16"/>
          <w:szCs w:val="16"/>
          <w:color w:val="auto"/>
        </w:rPr>
        <w:t xml:space="preserve"> C</w:t>
      </w:r>
      <w:r>
        <w:rPr>
          <w:rFonts w:ascii="Arial" w:cs="Arial" w:eastAsia="Arial" w:hAnsi="Arial"/>
          <w:sz w:val="10"/>
          <w:szCs w:val="10"/>
          <w:color w:val="auto"/>
        </w:rPr>
        <w:t>APITAL</w:t>
      </w:r>
      <w:r>
        <w:rPr>
          <w:rFonts w:ascii="Arial" w:cs="Arial" w:eastAsia="Arial" w:hAnsi="Arial"/>
          <w:sz w:val="16"/>
          <w:szCs w:val="16"/>
          <w:color w:val="auto"/>
        </w:rPr>
        <w:t xml:space="preserve"> I</w:t>
      </w:r>
      <w:r>
        <w:rPr>
          <w:rFonts w:ascii="Arial" w:cs="Arial" w:eastAsia="Arial" w:hAnsi="Arial"/>
          <w:sz w:val="10"/>
          <w:szCs w:val="10"/>
          <w:color w:val="auto"/>
        </w:rPr>
        <w:t>NC</w:t>
      </w:r>
      <w:r>
        <w:rPr>
          <w:rFonts w:ascii="Arial" w:cs="Arial" w:eastAsia="Arial" w:hAnsi="Arial"/>
          <w:sz w:val="16"/>
          <w:szCs w:val="16"/>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ITIGROUP</w:t>
      </w:r>
      <w:r>
        <w:rPr>
          <w:rFonts w:ascii="Arial" w:cs="Arial" w:eastAsia="Arial" w:hAnsi="Arial"/>
          <w:sz w:val="16"/>
          <w:szCs w:val="16"/>
          <w:color w:val="auto"/>
        </w:rPr>
        <w:t xml:space="preserve"> G</w:t>
      </w:r>
      <w:r>
        <w:rPr>
          <w:rFonts w:ascii="Arial" w:cs="Arial" w:eastAsia="Arial" w:hAnsi="Arial"/>
          <w:sz w:val="10"/>
          <w:szCs w:val="10"/>
          <w:color w:val="auto"/>
        </w:rPr>
        <w:t>LOBAL</w:t>
      </w:r>
      <w:r>
        <w:rPr>
          <w:rFonts w:ascii="Arial" w:cs="Arial" w:eastAsia="Arial" w:hAnsi="Arial"/>
          <w:sz w:val="16"/>
          <w:szCs w:val="16"/>
          <w:color w:val="auto"/>
        </w:rPr>
        <w:t xml:space="preserve"> M</w:t>
      </w:r>
      <w:r>
        <w:rPr>
          <w:rFonts w:ascii="Arial" w:cs="Arial" w:eastAsia="Arial" w:hAnsi="Arial"/>
          <w:sz w:val="10"/>
          <w:szCs w:val="10"/>
          <w:color w:val="auto"/>
        </w:rPr>
        <w:t>ARKETS</w:t>
      </w:r>
      <w:r>
        <w:rPr>
          <w:rFonts w:ascii="Arial" w:cs="Arial" w:eastAsia="Arial" w:hAnsi="Arial"/>
          <w:sz w:val="16"/>
          <w:szCs w:val="16"/>
          <w:color w:val="auto"/>
        </w:rPr>
        <w:t xml:space="preserve"> I</w:t>
      </w:r>
      <w:r>
        <w:rPr>
          <w:rFonts w:ascii="Arial" w:cs="Arial" w:eastAsia="Arial" w:hAnsi="Arial"/>
          <w:sz w:val="10"/>
          <w:szCs w:val="10"/>
          <w:color w:val="auto"/>
        </w:rPr>
        <w:t>NC</w:t>
      </w:r>
      <w:r>
        <w:rPr>
          <w:rFonts w:ascii="Arial" w:cs="Arial" w:eastAsia="Arial" w:hAnsi="Arial"/>
          <w:sz w:val="16"/>
          <w:szCs w:val="16"/>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As Representatives of the several</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Underwriters named in Schedule I attached hereto,</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c/o Barclays Capital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745 Seventh Avenue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10019</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c/o Citigroup Global Markets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388 Greenwich Street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10013</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04" w:lineRule="exact"/>
        <w:rPr>
          <w:sz w:val="20"/>
          <w:szCs w:val="20"/>
          <w:color w:val="auto"/>
        </w:rPr>
      </w:pPr>
    </w:p>
    <w:p>
      <w:pPr>
        <w:jc w:val="both"/>
        <w:ind w:firstLine="1163"/>
        <w:spacing w:after="0" w:line="259" w:lineRule="auto"/>
        <w:rPr>
          <w:sz w:val="20"/>
          <w:szCs w:val="20"/>
          <w:color w:val="auto"/>
        </w:rPr>
      </w:pPr>
      <w:r>
        <w:rPr>
          <w:rFonts w:ascii="Arial" w:cs="Arial" w:eastAsia="Arial" w:hAnsi="Arial"/>
          <w:sz w:val="16"/>
          <w:szCs w:val="16"/>
          <w:color w:val="auto"/>
        </w:rPr>
        <w:t>Kornit Digital Ltd., a company incorporated under the laws of the State of Israel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proposes to sell [●] of the Company’s ordinary shares (the “</w:t>
      </w:r>
      <w:r>
        <w:rPr>
          <w:rFonts w:ascii="Arial" w:cs="Arial" w:eastAsia="Arial" w:hAnsi="Arial"/>
          <w:sz w:val="16"/>
          <w:szCs w:val="16"/>
          <w:b w:val="1"/>
          <w:bCs w:val="1"/>
          <w:i w:val="1"/>
          <w:iCs w:val="1"/>
          <w:color w:val="auto"/>
        </w:rPr>
        <w:t>Firm Shares</w:t>
      </w:r>
      <w:r>
        <w:rPr>
          <w:rFonts w:ascii="Arial" w:cs="Arial" w:eastAsia="Arial" w:hAnsi="Arial"/>
          <w:sz w:val="16"/>
          <w:szCs w:val="16"/>
          <w:color w:val="auto"/>
        </w:rPr>
        <w:t>”), par value NIS 0.01 per share (the “</w:t>
      </w:r>
      <w:r>
        <w:rPr>
          <w:rFonts w:ascii="Arial" w:cs="Arial" w:eastAsia="Arial" w:hAnsi="Arial"/>
          <w:sz w:val="16"/>
          <w:szCs w:val="16"/>
          <w:b w:val="1"/>
          <w:bCs w:val="1"/>
          <w:i w:val="1"/>
          <w:iCs w:val="1"/>
          <w:color w:val="auto"/>
        </w:rPr>
        <w:t>Ordinary Shares</w:t>
      </w:r>
      <w:r>
        <w:rPr>
          <w:rFonts w:ascii="Arial" w:cs="Arial" w:eastAsia="Arial" w:hAnsi="Arial"/>
          <w:sz w:val="16"/>
          <w:szCs w:val="16"/>
          <w:color w:val="auto"/>
        </w:rPr>
        <w:t>”). In addition, the Company proposes to grant to the underwriters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named in Schedule I attached to this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 option to purchase up to [●] additional Ordinary Shares on the terms set forth in Section 2 (the “</w:t>
      </w:r>
      <w:r>
        <w:rPr>
          <w:rFonts w:ascii="Arial" w:cs="Arial" w:eastAsia="Arial" w:hAnsi="Arial"/>
          <w:sz w:val="16"/>
          <w:szCs w:val="16"/>
          <w:b w:val="1"/>
          <w:bCs w:val="1"/>
          <w:i w:val="1"/>
          <w:iCs w:val="1"/>
          <w:color w:val="auto"/>
        </w:rPr>
        <w:t>Option Shares</w:t>
      </w:r>
      <w:r>
        <w:rPr>
          <w:rFonts w:ascii="Arial" w:cs="Arial" w:eastAsia="Arial" w:hAnsi="Arial"/>
          <w:sz w:val="16"/>
          <w:szCs w:val="16"/>
          <w:color w:val="auto"/>
        </w:rPr>
        <w:t>”). The Firm Shares and the Option Shares, if purchased, are hereinafter collectively called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This Agreement is to confirm the agreement concerning the purchase of the Shares from the Company by the Underwriters.</w:t>
      </w:r>
    </w:p>
    <w:p>
      <w:pPr>
        <w:spacing w:after="0" w:line="170" w:lineRule="exact"/>
        <w:rPr>
          <w:sz w:val="20"/>
          <w:szCs w:val="20"/>
          <w:color w:val="auto"/>
        </w:rPr>
      </w:pPr>
    </w:p>
    <w:p>
      <w:pPr>
        <w:ind w:left="1680" w:hanging="516"/>
        <w:spacing w:after="0"/>
        <w:tabs>
          <w:tab w:leader="none" w:pos="1680"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Representations, Warranties and Agreements of the Company</w:t>
      </w:r>
      <w:r>
        <w:rPr>
          <w:rFonts w:ascii="Arial" w:cs="Arial" w:eastAsia="Arial" w:hAnsi="Arial"/>
          <w:sz w:val="16"/>
          <w:szCs w:val="16"/>
          <w:color w:val="auto"/>
        </w:rPr>
        <w:t>. The Company represents, warrants and agrees that:</w:t>
      </w:r>
    </w:p>
    <w:p>
      <w:pPr>
        <w:spacing w:after="0" w:line="203" w:lineRule="exact"/>
        <w:rPr>
          <w:rFonts w:ascii="Arial" w:cs="Arial" w:eastAsia="Arial" w:hAnsi="Arial"/>
          <w:sz w:val="16"/>
          <w:szCs w:val="16"/>
          <w:color w:val="auto"/>
        </w:rPr>
      </w:pPr>
    </w:p>
    <w:p>
      <w:pPr>
        <w:jc w:val="both"/>
        <w:ind w:firstLine="583"/>
        <w:spacing w:after="0" w:line="311" w:lineRule="auto"/>
        <w:tabs>
          <w:tab w:leader="none" w:pos="1412" w:val="left"/>
        </w:tabs>
        <w:numPr>
          <w:ilvl w:val="0"/>
          <w:numId w:val="7"/>
        </w:numPr>
        <w:rPr>
          <w:rFonts w:ascii="Arial" w:cs="Arial" w:eastAsia="Arial" w:hAnsi="Arial"/>
          <w:sz w:val="14"/>
          <w:szCs w:val="14"/>
          <w:color w:val="auto"/>
        </w:rPr>
      </w:pPr>
      <w:r>
        <w:rPr>
          <w:rFonts w:ascii="Arial" w:cs="Arial" w:eastAsia="Arial" w:hAnsi="Arial"/>
          <w:sz w:val="14"/>
          <w:szCs w:val="14"/>
          <w:color w:val="auto"/>
        </w:rPr>
        <w:t>A registration statement on Form F-1 (File No. 333-202291) relating to the Shares has (i) been prepared by the Company in conformity with the requirements of the Securities Act of 1933, as amended (the “</w:t>
      </w:r>
      <w:r>
        <w:rPr>
          <w:rFonts w:ascii="Arial" w:cs="Arial" w:eastAsia="Arial" w:hAnsi="Arial"/>
          <w:sz w:val="14"/>
          <w:szCs w:val="14"/>
          <w:b w:val="1"/>
          <w:bCs w:val="1"/>
          <w:i w:val="1"/>
          <w:iCs w:val="1"/>
          <w:color w:val="auto"/>
        </w:rPr>
        <w:t>Securities Act</w:t>
      </w:r>
      <w:r>
        <w:rPr>
          <w:rFonts w:ascii="Arial" w:cs="Arial" w:eastAsia="Arial" w:hAnsi="Arial"/>
          <w:sz w:val="14"/>
          <w:szCs w:val="14"/>
          <w:color w:val="auto"/>
        </w:rPr>
        <w:t>”), and the rules and regulations of the Securities and Exchange Commission (the “</w:t>
      </w:r>
      <w:r>
        <w:rPr>
          <w:rFonts w:ascii="Arial" w:cs="Arial" w:eastAsia="Arial" w:hAnsi="Arial"/>
          <w:sz w:val="14"/>
          <w:szCs w:val="14"/>
          <w:b w:val="1"/>
          <w:bCs w:val="1"/>
          <w:i w:val="1"/>
          <w:iCs w:val="1"/>
          <w:color w:val="auto"/>
        </w:rPr>
        <w:t>Commission</w:t>
      </w:r>
      <w:r>
        <w:rPr>
          <w:rFonts w:ascii="Arial" w:cs="Arial" w:eastAsia="Arial" w:hAnsi="Arial"/>
          <w:sz w:val="14"/>
          <w:szCs w:val="14"/>
          <w:color w:val="auto"/>
        </w:rPr>
        <w:t>”) thereunder; (ii) been filed with the Commission under the Securities Act; and (iii) become effective under the Securities Act. Copies of such registration statement and any amendment thereto have been delivered by the Company to you as the representatives (the “</w:t>
      </w:r>
      <w:r>
        <w:rPr>
          <w:rFonts w:ascii="Arial" w:cs="Arial" w:eastAsia="Arial" w:hAnsi="Arial"/>
          <w:sz w:val="14"/>
          <w:szCs w:val="14"/>
          <w:b w:val="1"/>
          <w:bCs w:val="1"/>
          <w:i w:val="1"/>
          <w:iCs w:val="1"/>
          <w:color w:val="auto"/>
        </w:rPr>
        <w:t>Representatives</w:t>
      </w:r>
      <w:r>
        <w:rPr>
          <w:rFonts w:ascii="Arial" w:cs="Arial" w:eastAsia="Arial" w:hAnsi="Arial"/>
          <w:sz w:val="14"/>
          <w:szCs w:val="14"/>
          <w:color w:val="auto"/>
        </w:rPr>
        <w:t>”) of the Underwriters. As used in this Agreement:</w:t>
      </w:r>
    </w:p>
    <w:p>
      <w:pPr>
        <w:spacing w:after="0" w:line="134" w:lineRule="exact"/>
        <w:rPr>
          <w:rFonts w:ascii="Arial" w:cs="Arial" w:eastAsia="Arial" w:hAnsi="Arial"/>
          <w:sz w:val="14"/>
          <w:szCs w:val="14"/>
          <w:color w:val="auto"/>
        </w:rPr>
      </w:pPr>
    </w:p>
    <w:p>
      <w:pPr>
        <w:ind w:left="2300" w:hanging="554"/>
        <w:spacing w:after="0"/>
        <w:tabs>
          <w:tab w:leader="none" w:pos="2300" w:val="left"/>
        </w:tabs>
        <w:numPr>
          <w:ilvl w:val="2"/>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Time</w:t>
      </w:r>
      <w:r>
        <w:rPr>
          <w:rFonts w:ascii="Arial" w:cs="Arial" w:eastAsia="Arial" w:hAnsi="Arial"/>
          <w:sz w:val="16"/>
          <w:szCs w:val="16"/>
          <w:color w:val="auto"/>
        </w:rPr>
        <w:t>” means [●] [a.m.][p.m.] (New York City time) [●],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8375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341" w:right="299" w:bottom="1440" w:gutter="0" w:footer="0" w:header="0"/>
        </w:sectPr>
      </w:pPr>
    </w:p>
    <w:bookmarkStart w:id="6" w:name="page7"/>
    <w:bookmarkEnd w:id="6"/>
    <w:p>
      <w:pPr>
        <w:ind w:left="1720" w:hanging="554"/>
        <w:spacing w:after="0"/>
        <w:tabs>
          <w:tab w:leader="none" w:pos="1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means the date and time as of which such registration statement was declared effective by the Commission;</w:t>
      </w:r>
    </w:p>
    <w:p>
      <w:pPr>
        <w:spacing w:after="0" w:line="203" w:lineRule="exact"/>
        <w:rPr>
          <w:rFonts w:ascii="Arial" w:cs="Arial" w:eastAsia="Arial" w:hAnsi="Arial"/>
          <w:sz w:val="16"/>
          <w:szCs w:val="16"/>
          <w:color w:val="auto"/>
        </w:rPr>
      </w:pPr>
    </w:p>
    <w:p>
      <w:pPr>
        <w:ind w:left="1740" w:hanging="574"/>
        <w:spacing w:after="0"/>
        <w:tabs>
          <w:tab w:leader="none" w:pos="1740" w:val="left"/>
        </w:tabs>
        <w:numPr>
          <w:ilvl w:val="0"/>
          <w:numId w:val="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Issuer Free Writing Prospectus</w:t>
      </w:r>
      <w:r>
        <w:rPr>
          <w:rFonts w:ascii="Arial" w:cs="Arial" w:eastAsia="Arial" w:hAnsi="Arial"/>
          <w:sz w:val="15"/>
          <w:szCs w:val="15"/>
          <w:color w:val="auto"/>
        </w:rPr>
        <w:t>” means each “issuer free writing prospectus” (as defined in Rule 433 under the Securities Act);</w:t>
      </w:r>
    </w:p>
    <w:p>
      <w:pPr>
        <w:spacing w:after="0" w:line="215" w:lineRule="exact"/>
        <w:rPr>
          <w:rFonts w:ascii="Arial" w:cs="Arial" w:eastAsia="Arial" w:hAnsi="Arial"/>
          <w:sz w:val="15"/>
          <w:szCs w:val="15"/>
          <w:color w:val="auto"/>
        </w:rPr>
      </w:pPr>
    </w:p>
    <w:p>
      <w:pPr>
        <w:ind w:left="1160" w:firstLine="6"/>
        <w:spacing w:after="0" w:line="281" w:lineRule="auto"/>
        <w:tabs>
          <w:tab w:leader="none" w:pos="1716"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Preliminary Prospectus</w:t>
      </w:r>
      <w:r>
        <w:rPr>
          <w:rFonts w:ascii="Arial" w:cs="Arial" w:eastAsia="Arial" w:hAnsi="Arial"/>
          <w:sz w:val="16"/>
          <w:szCs w:val="16"/>
          <w:color w:val="auto"/>
        </w:rPr>
        <w:t>” means any preliminary prospectus relating to the Shares included in such registration statement or filed with the Commission pursuant to Rule 424(b) under the Securities Act;</w:t>
      </w:r>
    </w:p>
    <w:p>
      <w:pPr>
        <w:spacing w:after="0" w:line="150" w:lineRule="exact"/>
        <w:rPr>
          <w:rFonts w:ascii="Arial" w:cs="Arial" w:eastAsia="Arial" w:hAnsi="Arial"/>
          <w:sz w:val="16"/>
          <w:szCs w:val="16"/>
          <w:color w:val="auto"/>
        </w:rPr>
      </w:pPr>
    </w:p>
    <w:p>
      <w:pPr>
        <w:jc w:val="both"/>
        <w:ind w:left="1160" w:firstLine="6"/>
        <w:spacing w:after="0" w:line="292" w:lineRule="auto"/>
        <w:tabs>
          <w:tab w:leader="none" w:pos="1784" w:val="left"/>
        </w:tabs>
        <w:numPr>
          <w:ilvl w:val="0"/>
          <w:numId w:val="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Pricing Disclosure Package</w:t>
      </w:r>
      <w:r>
        <w:rPr>
          <w:rFonts w:ascii="Arial" w:cs="Arial" w:eastAsia="Arial" w:hAnsi="Arial"/>
          <w:sz w:val="15"/>
          <w:szCs w:val="15"/>
          <w:color w:val="auto"/>
        </w:rPr>
        <w:t>” means, as of the Applicable Time, the most recent Preliminary Prospectus, together with the information included in Schedule III hereto and each Issuer Free Writing Prospectus filed or used by the Company on or before the Applicable Time, other than a road show that is an Issuer Free Writing Prospectus but is not required to be filed under Rule 433 under the Securities Act;</w:t>
      </w:r>
    </w:p>
    <w:p>
      <w:pPr>
        <w:spacing w:after="0" w:line="145" w:lineRule="exact"/>
        <w:rPr>
          <w:rFonts w:ascii="Arial" w:cs="Arial" w:eastAsia="Arial" w:hAnsi="Arial"/>
          <w:sz w:val="15"/>
          <w:szCs w:val="15"/>
          <w:color w:val="auto"/>
        </w:rPr>
      </w:pPr>
    </w:p>
    <w:p>
      <w:pPr>
        <w:ind w:left="1740" w:hanging="574"/>
        <w:spacing w:after="0"/>
        <w:tabs>
          <w:tab w:leader="none" w:pos="1740" w:val="left"/>
        </w:tabs>
        <w:numPr>
          <w:ilvl w:val="0"/>
          <w:numId w:val="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Prospectus</w:t>
      </w:r>
      <w:r>
        <w:rPr>
          <w:rFonts w:ascii="Arial" w:cs="Arial" w:eastAsia="Arial" w:hAnsi="Arial"/>
          <w:sz w:val="14"/>
          <w:szCs w:val="14"/>
          <w:color w:val="auto"/>
        </w:rPr>
        <w:t>” means the final prospectus relating to the Shares, as filed with the Commission pursuant to Rule 424(b) under the Securities</w:t>
      </w:r>
    </w:p>
    <w:p>
      <w:pPr>
        <w:spacing w:after="0" w:line="44" w:lineRule="exact"/>
        <w:rPr>
          <w:rFonts w:ascii="Arial" w:cs="Arial" w:eastAsia="Arial" w:hAnsi="Arial"/>
          <w:sz w:val="14"/>
          <w:szCs w:val="14"/>
          <w:color w:val="auto"/>
        </w:rPr>
      </w:pPr>
    </w:p>
    <w:p>
      <w:pPr>
        <w:ind w:left="1160"/>
        <w:spacing w:after="0"/>
        <w:rPr>
          <w:rFonts w:ascii="Arial" w:cs="Arial" w:eastAsia="Arial" w:hAnsi="Arial"/>
          <w:sz w:val="14"/>
          <w:szCs w:val="14"/>
          <w:color w:val="auto"/>
        </w:rPr>
      </w:pPr>
      <w:r>
        <w:rPr>
          <w:rFonts w:ascii="Arial" w:cs="Arial" w:eastAsia="Arial" w:hAnsi="Arial"/>
          <w:sz w:val="16"/>
          <w:szCs w:val="16"/>
          <w:color w:val="auto"/>
        </w:rPr>
        <w:t>Act;</w:t>
      </w:r>
    </w:p>
    <w:p>
      <w:pPr>
        <w:spacing w:after="0" w:line="191" w:lineRule="exact"/>
        <w:rPr>
          <w:rFonts w:ascii="Arial" w:cs="Arial" w:eastAsia="Arial" w:hAnsi="Arial"/>
          <w:sz w:val="14"/>
          <w:szCs w:val="14"/>
          <w:color w:val="auto"/>
        </w:rPr>
      </w:pPr>
    </w:p>
    <w:p>
      <w:pPr>
        <w:jc w:val="both"/>
        <w:ind w:left="1160" w:firstLine="6"/>
        <w:spacing w:after="0" w:line="267" w:lineRule="auto"/>
        <w:tabs>
          <w:tab w:leader="none" w:pos="1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means such registration statement, as amended as of the Effective Date, including any Preliminary Prospectus or the Prospectus, all exhibits to such registration statement and including the information deemed by virtue of Rule 430A under the Securities Act to be part of such registration statement as of the Effective Date;</w:t>
      </w:r>
    </w:p>
    <w:p>
      <w:pPr>
        <w:spacing w:after="0" w:line="161" w:lineRule="exact"/>
        <w:rPr>
          <w:rFonts w:ascii="Arial" w:cs="Arial" w:eastAsia="Arial" w:hAnsi="Arial"/>
          <w:sz w:val="16"/>
          <w:szCs w:val="16"/>
          <w:color w:val="auto"/>
        </w:rPr>
      </w:pPr>
    </w:p>
    <w:p>
      <w:pPr>
        <w:ind w:left="1160" w:firstLine="6"/>
        <w:spacing w:after="0" w:line="281" w:lineRule="auto"/>
        <w:tabs>
          <w:tab w:leader="none" w:pos="1656"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Testing-the-Waters Communication</w:t>
      </w:r>
      <w:r>
        <w:rPr>
          <w:rFonts w:ascii="Arial" w:cs="Arial" w:eastAsia="Arial" w:hAnsi="Arial"/>
          <w:sz w:val="16"/>
          <w:szCs w:val="16"/>
          <w:color w:val="auto"/>
        </w:rPr>
        <w:t>” means any oral or written communication with potential investors undertaken in reliance on Section 5(d) of the Securities Act; and</w:t>
      </w:r>
    </w:p>
    <w:p>
      <w:pPr>
        <w:spacing w:after="0" w:line="150" w:lineRule="exact"/>
        <w:rPr>
          <w:rFonts w:ascii="Arial" w:cs="Arial" w:eastAsia="Arial" w:hAnsi="Arial"/>
          <w:sz w:val="16"/>
          <w:szCs w:val="16"/>
          <w:color w:val="auto"/>
        </w:rPr>
      </w:pPr>
    </w:p>
    <w:p>
      <w:pPr>
        <w:ind w:left="1160" w:firstLine="6"/>
        <w:spacing w:after="0" w:line="281" w:lineRule="auto"/>
        <w:tabs>
          <w:tab w:leader="none" w:pos="1724"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Written Testing-the-Waters Communication</w:t>
      </w:r>
      <w:r>
        <w:rPr>
          <w:rFonts w:ascii="Arial" w:cs="Arial" w:eastAsia="Arial" w:hAnsi="Arial"/>
          <w:sz w:val="16"/>
          <w:szCs w:val="16"/>
          <w:color w:val="auto"/>
        </w:rPr>
        <w:t>” means any Testing-the-Waters Communication that is a written communication within the meaning of Rule 405 under the Securities Act.</w:t>
      </w:r>
    </w:p>
    <w:p>
      <w:pPr>
        <w:spacing w:after="0" w:line="151"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Any reference to the “</w:t>
      </w:r>
      <w:r>
        <w:rPr>
          <w:rFonts w:ascii="Arial" w:cs="Arial" w:eastAsia="Arial" w:hAnsi="Arial"/>
          <w:sz w:val="14"/>
          <w:szCs w:val="14"/>
          <w:b w:val="1"/>
          <w:bCs w:val="1"/>
          <w:i w:val="1"/>
          <w:iCs w:val="1"/>
          <w:color w:val="auto"/>
        </w:rPr>
        <w:t>most recent Preliminary Prospectus</w:t>
      </w:r>
      <w:r>
        <w:rPr>
          <w:rFonts w:ascii="Arial" w:cs="Arial" w:eastAsia="Arial" w:hAnsi="Arial"/>
          <w:sz w:val="14"/>
          <w:szCs w:val="14"/>
          <w:color w:val="auto"/>
        </w:rPr>
        <w:t>” shall be deemed to refer to the latest Preliminary Prospectus included in the Registration Statement or filed pursuant to Rule 424(b) under the Securities Act prior to or on the date hereof. Any reference herein to the term “Registration Statement” shall be deemed to include the abbreviated registration statement to register additional Ordinary Shares under Rule 462(b) under the Securities Act (the “</w:t>
      </w:r>
      <w:r>
        <w:rPr>
          <w:rFonts w:ascii="Arial" w:cs="Arial" w:eastAsia="Arial" w:hAnsi="Arial"/>
          <w:sz w:val="14"/>
          <w:szCs w:val="14"/>
          <w:b w:val="1"/>
          <w:bCs w:val="1"/>
          <w:i w:val="1"/>
          <w:iCs w:val="1"/>
          <w:color w:val="auto"/>
        </w:rPr>
        <w:t>Rule 462(b) Registration</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Statement</w:t>
      </w:r>
      <w:r>
        <w:rPr>
          <w:rFonts w:ascii="Arial" w:cs="Arial" w:eastAsia="Arial" w:hAnsi="Arial"/>
          <w:sz w:val="14"/>
          <w:szCs w:val="14"/>
          <w:color w:val="auto"/>
        </w:rPr>
        <w:t>”). The Commission has not issued any order preventing or suspending the use of any Preliminary Prospectus or the Prospectus or suspending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effectiveness of the Registration Statement, and no proceeding or examination for such purpose has been instituted or threatened by the Commission.</w:t>
      </w:r>
    </w:p>
    <w:p>
      <w:pPr>
        <w:spacing w:after="0" w:line="334"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13970</wp:posOffset>
            </wp:positionV>
            <wp:extent cx="718375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720"/>
          </w:cols>
          <w:pgMar w:left="880" w:top="805" w:right="299" w:bottom="1440" w:gutter="0" w:footer="0" w:header="0"/>
        </w:sectPr>
      </w:pPr>
    </w:p>
    <w:bookmarkStart w:id="7" w:name="page8"/>
    <w:bookmarkEnd w:id="7"/>
    <w:p>
      <w:pPr>
        <w:jc w:val="both"/>
        <w:ind w:firstLine="583"/>
        <w:spacing w:after="0" w:line="267" w:lineRule="auto"/>
        <w:tabs>
          <w:tab w:leader="none" w:pos="1173" w:val="left"/>
        </w:tabs>
        <w:numPr>
          <w:ilvl w:val="0"/>
          <w:numId w:val="9"/>
        </w:numPr>
        <w:rPr>
          <w:rFonts w:ascii="Arial" w:cs="Arial" w:eastAsia="Arial" w:hAnsi="Arial"/>
          <w:sz w:val="16"/>
          <w:szCs w:val="16"/>
          <w:color w:val="auto"/>
        </w:rPr>
      </w:pPr>
      <w:r>
        <w:rPr>
          <w:rFonts w:ascii="Arial" w:cs="Arial" w:eastAsia="Arial" w:hAnsi="Arial"/>
          <w:sz w:val="16"/>
          <w:szCs w:val="16"/>
          <w:color w:val="auto"/>
        </w:rPr>
        <w:t>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6"/>
          <w:szCs w:val="16"/>
          <w:b w:val="1"/>
          <w:bCs w:val="1"/>
          <w:i w:val="1"/>
          <w:iCs w:val="1"/>
          <w:color w:val="auto"/>
        </w:rPr>
        <w:t>Emerging Growth Company</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firstLine="583"/>
        <w:spacing w:after="0" w:line="281" w:lineRule="auto"/>
        <w:tabs>
          <w:tab w:leader="none" w:pos="13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Company (i) has not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or approved for distribution any Written Testing-the-Waters Communications other than those listed on Schedule VI hereto.</w:t>
      </w:r>
    </w:p>
    <w:p>
      <w:pPr>
        <w:spacing w:after="0" w:line="153" w:lineRule="exact"/>
        <w:rPr>
          <w:rFonts w:ascii="Arial" w:cs="Arial" w:eastAsia="Arial" w:hAnsi="Arial"/>
          <w:sz w:val="15"/>
          <w:szCs w:val="15"/>
          <w:color w:val="auto"/>
        </w:rPr>
      </w:pPr>
    </w:p>
    <w:p>
      <w:pPr>
        <w:jc w:val="both"/>
        <w:ind w:firstLine="583"/>
        <w:spacing w:after="0" w:line="267" w:lineRule="auto"/>
        <w:tabs>
          <w:tab w:leader="none" w:pos="1295"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Company was not at the time of initial filing of the Registration Statement and at the earliest time thereafter that the Company or another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under the Securities Act) of the Shares and is not on the date hereof and will not be on the applicable Delivery Date, an “ineligible issuer” (as defined in Rule 405 under the Securities Act).</w:t>
      </w:r>
    </w:p>
    <w:p>
      <w:pPr>
        <w:spacing w:after="0" w:line="161" w:lineRule="exact"/>
        <w:rPr>
          <w:rFonts w:ascii="Arial" w:cs="Arial" w:eastAsia="Arial" w:hAnsi="Arial"/>
          <w:sz w:val="16"/>
          <w:szCs w:val="16"/>
          <w:color w:val="auto"/>
        </w:rPr>
      </w:pPr>
    </w:p>
    <w:p>
      <w:pPr>
        <w:jc w:val="both"/>
        <w:ind w:firstLine="583"/>
        <w:spacing w:after="0" w:line="285" w:lineRule="auto"/>
        <w:tabs>
          <w:tab w:leader="none" w:pos="1354"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Registration Statement conformed and will conform in all material respects on the Effective Date and on the applicable Delivery Date, and any amendment to the Registration Statement filed after the date hereof will conform in all material respects when filed, to the requirements of the Securities Act and the rules and regulations thereunder. The most recent Preliminary Prospectus conformed, and the Prospectus will conform, in all material respects when filed with the Commission pursuant to Rule 424(b) under the Securities Act and on the applicable Delivery Date to the requirements of the Securities Act and the rules and regulations thereunder.</w:t>
      </w:r>
    </w:p>
    <w:p>
      <w:pPr>
        <w:spacing w:after="0" w:line="149" w:lineRule="exact"/>
        <w:rPr>
          <w:rFonts w:ascii="Arial" w:cs="Arial" w:eastAsia="Arial" w:hAnsi="Arial"/>
          <w:sz w:val="15"/>
          <w:szCs w:val="15"/>
          <w:color w:val="auto"/>
        </w:rPr>
      </w:pPr>
    </w:p>
    <w:p>
      <w:pPr>
        <w:jc w:val="both"/>
        <w:ind w:firstLine="583"/>
        <w:spacing w:after="0" w:line="262" w:lineRule="auto"/>
        <w:tabs>
          <w:tab w:leader="none" w:pos="1248"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Registration Statement did not, as of the Effective Date, contain an untrue statement of a material fact or omit to state a material fact required to be stated therein or necessary to make the statements therein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representation or warranty is made as to information contained in or omitted from the Registration Statement in reliance upon and in conformity with written information furnished to the Company through the Representatives by or on behalf of any Underwriter specifically for inclusion therein, which information is specified in Section 8(e).</w:t>
      </w:r>
    </w:p>
    <w:p>
      <w:pPr>
        <w:spacing w:after="0" w:line="165" w:lineRule="exact"/>
        <w:rPr>
          <w:rFonts w:ascii="Arial" w:cs="Arial" w:eastAsia="Arial" w:hAnsi="Arial"/>
          <w:sz w:val="16"/>
          <w:szCs w:val="16"/>
          <w:color w:val="auto"/>
        </w:rPr>
      </w:pPr>
    </w:p>
    <w:p>
      <w:pPr>
        <w:jc w:val="both"/>
        <w:ind w:firstLine="583"/>
        <w:spacing w:after="0" w:line="285" w:lineRule="auto"/>
        <w:tabs>
          <w:tab w:leader="none" w:pos="1251"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The Prospectus will not, as of its date or as of the applicable Delivery Date, contain an untrue statement of a material fact or omit to state a material fact necessary to make the statements therein, in the light of the circumstances under which they were made, not misleading;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representation or warranty is made as to information contained in or omitted from the Prospectus in reliance upon and in conformity with written information furnished to the Company through the Representatives by or on behalf of any Underwriter specifically for inclusion therein, which information is specified in Section 8(e).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8" w:name="page9"/>
    <w:bookmarkEnd w:id="8"/>
    <w:p>
      <w:pPr>
        <w:jc w:val="both"/>
        <w:ind w:firstLine="583"/>
        <w:spacing w:after="0" w:line="285" w:lineRule="auto"/>
        <w:tabs>
          <w:tab w:leader="none" w:pos="1174" w:val="left"/>
        </w:tabs>
        <w:numPr>
          <w:ilvl w:val="0"/>
          <w:numId w:val="10"/>
        </w:numPr>
        <w:rPr>
          <w:rFonts w:ascii="Arial" w:cs="Arial" w:eastAsia="Arial" w:hAnsi="Arial"/>
          <w:sz w:val="15"/>
          <w:szCs w:val="15"/>
          <w:color w:val="auto"/>
        </w:rPr>
      </w:pPr>
      <w:r>
        <w:rPr>
          <w:rFonts w:ascii="Arial" w:cs="Arial" w:eastAsia="Arial" w:hAnsi="Arial"/>
          <w:sz w:val="15"/>
          <w:szCs w:val="15"/>
          <w:color w:val="auto"/>
        </w:rPr>
        <w:t xml:space="preserve">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representation or warranty is made as to information contained in or omitted from the Pricing Disclosure Package in reliance upon and in conformity with written information furnished to the Company through the Representatives by or on behalf of any Underwriter specifically for inclusion therein, which information is specified in Section 8(e).</w:t>
      </w:r>
    </w:p>
    <w:p>
      <w:pPr>
        <w:spacing w:after="0" w:line="149" w:lineRule="exact"/>
        <w:rPr>
          <w:rFonts w:ascii="Arial" w:cs="Arial" w:eastAsia="Arial" w:hAnsi="Arial"/>
          <w:sz w:val="15"/>
          <w:szCs w:val="15"/>
          <w:color w:val="auto"/>
        </w:rPr>
      </w:pPr>
    </w:p>
    <w:p>
      <w:pPr>
        <w:jc w:val="both"/>
        <w:ind w:firstLine="583"/>
        <w:spacing w:after="0" w:line="259" w:lineRule="auto"/>
        <w:tabs>
          <w:tab w:leader="none" w:pos="122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Each Issuer Free Writing Prospectus listed in Schedule IV hereto, when taken together with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representation or warranty is made as to information contained in or omitted from such Issuer Free Writing Prospectus listed in Schedule IV hereto in reliance upon and in conformity with written information furnished to the Company through the Representatives by or on behalf of any Underwriter specifically for inclusion therein, which information is specified in Section 8(e).</w:t>
      </w:r>
    </w:p>
    <w:p>
      <w:pPr>
        <w:spacing w:after="0" w:line="170" w:lineRule="exact"/>
        <w:rPr>
          <w:rFonts w:ascii="Arial" w:cs="Arial" w:eastAsia="Arial" w:hAnsi="Arial"/>
          <w:sz w:val="16"/>
          <w:szCs w:val="16"/>
          <w:color w:val="auto"/>
        </w:rPr>
      </w:pPr>
    </w:p>
    <w:p>
      <w:pPr>
        <w:jc w:val="both"/>
        <w:ind w:firstLine="583"/>
        <w:spacing w:after="0" w:line="255" w:lineRule="auto"/>
        <w:tabs>
          <w:tab w:leader="none" w:pos="1171"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Each Written Testing-the-Waters Communication prepared by, or approved by the Company, if any, did not, as of the Applicable Time, when taken together with the Pricing Disclosure Package, contain an untrue statement of a material fact or omit to state a material fact necessary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representation or warranty is made as to information contained in or omitted from such Written Testing-the-Waters Communication listed on Schedule VI hereto in reliance upon and in conformity with written information furnished to the Company through the Representatives by or on behalf of any Underwriter specifically for inclusion therein, which information is specified in Section 8(e) and the Company has filed publicly on EDGAR at least 21 calendar days prior to any “road show” (as defined in Rule 433 under the Securities Act), any confidentially submitted registration statement and registration statement amendments relating to the offer and sale of the Shares. Each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Initial Delivery Date and as of the Option Shares Delivery Date, as the case may be, will not, contain any untrue statement of a material fact or omit to state a material fact necessary in order to make the statements therein, in the light of the circumstances under which they were made, not misleading.</w:t>
      </w:r>
    </w:p>
    <w:p>
      <w:pPr>
        <w:spacing w:after="0" w:line="175" w:lineRule="exact"/>
        <w:rPr>
          <w:rFonts w:ascii="Arial" w:cs="Arial" w:eastAsia="Arial" w:hAnsi="Arial"/>
          <w:sz w:val="16"/>
          <w:szCs w:val="16"/>
          <w:color w:val="auto"/>
        </w:rPr>
      </w:pPr>
    </w:p>
    <w:p>
      <w:pPr>
        <w:jc w:val="both"/>
        <w:ind w:firstLine="583"/>
        <w:spacing w:after="0" w:line="277" w:lineRule="auto"/>
        <w:tabs>
          <w:tab w:leader="none" w:pos="1382" w:val="left"/>
        </w:tabs>
        <w:numPr>
          <w:ilvl w:val="0"/>
          <w:numId w:val="10"/>
        </w:numPr>
        <w:rPr>
          <w:rFonts w:ascii="Arial" w:cs="Arial" w:eastAsia="Arial" w:hAnsi="Arial"/>
          <w:sz w:val="15"/>
          <w:szCs w:val="15"/>
          <w:color w:val="auto"/>
        </w:rPr>
      </w:pPr>
      <w:r>
        <w:rPr>
          <w:rFonts w:ascii="Arial" w:cs="Arial" w:eastAsia="Arial" w:hAnsi="Arial"/>
          <w:sz w:val="15"/>
          <w:szCs w:val="15"/>
          <w:color w:val="auto"/>
        </w:rPr>
        <w:t>Each Issuer Free Writing Prospectus conformed or will conform in all material respects to the requirements of the Securities Act and the rules and regulations thereunder on the date of first use, and the Company has complied with all prospectus delivery and any filing requirements applicable to such Issuer Free Writing Prospectus pursuant to the Securities Act and rules and regulations thereunder. The Company has not made any offer relating to the Shares that would constitute an Issuer Free Writing Prospectus without the prior written consent of the Representatives, except as set forth on Schedule V hereto. The Company has retained in accordance with the Securities Act and the rules and regulations thereunder all Issuer Free Writing Prospectuses that were not required to be filed pursuant to the Securities Act and the rules and regulations thereunder. The Company has taken all actions necessary so that any “road show” (as defined in Rule 433 under the Securities Act) in connection with the offering of the Shares will not be required to be filed pursuant to the Securities Act and the rules and regulations thereunder.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9" w:name="page10"/>
    <w:bookmarkEnd w:id="9"/>
    <w:p>
      <w:pPr>
        <w:jc w:val="both"/>
        <w:ind w:firstLine="583"/>
        <w:spacing w:after="0" w:line="274" w:lineRule="auto"/>
        <w:tabs>
          <w:tab w:leader="none" w:pos="1171"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Company and each of its subsidiaries have been duly organized, are validly existing and, to the extent such concept is applicable, in good standing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or in good standing could not, in the aggregate, reasonably be expected to have a material adverse effect on the condition (financial or otherwise), results of operations, shareholders’ equity, properties, business or prospects of the Company and its subsidiaries taken as a whole (a “</w:t>
      </w:r>
      <w:r>
        <w:rPr>
          <w:rFonts w:ascii="Arial" w:cs="Arial" w:eastAsia="Arial" w:hAnsi="Arial"/>
          <w:sz w:val="15"/>
          <w:szCs w:val="15"/>
          <w:b w:val="1"/>
          <w:bCs w:val="1"/>
          <w:i w:val="1"/>
          <w:iCs w:val="1"/>
          <w:color w:val="auto"/>
        </w:rPr>
        <w:t>Material Adverse Effect</w:t>
      </w:r>
      <w:r>
        <w:rPr>
          <w:rFonts w:ascii="Arial" w:cs="Arial" w:eastAsia="Arial" w:hAnsi="Arial"/>
          <w:sz w:val="15"/>
          <w:szCs w:val="15"/>
          <w:color w:val="auto"/>
        </w:rPr>
        <w:t>”). The Company and each of its subsidiaries have all power and authority necessary to own or hold their properties and to conduct the businesses in which they are engaged. The Company does not own or control, directly or indirectly, any corporation, association or other entity other than the subsidiaries listed in Exhibit 21 to the Registration Statement. None of the subsidiaries of the Company (other than Kornit Digital Technologies Ltd. and Kornit Digital North America Inc. (collectively, the “</w:t>
      </w:r>
      <w:r>
        <w:rPr>
          <w:rFonts w:ascii="Arial" w:cs="Arial" w:eastAsia="Arial" w:hAnsi="Arial"/>
          <w:sz w:val="15"/>
          <w:szCs w:val="15"/>
          <w:b w:val="1"/>
          <w:bCs w:val="1"/>
          <w:i w:val="1"/>
          <w:iCs w:val="1"/>
          <w:color w:val="auto"/>
        </w:rPr>
        <w:t>Significant Subsidiaries</w:t>
      </w:r>
      <w:r>
        <w:rPr>
          <w:rFonts w:ascii="Arial" w:cs="Arial" w:eastAsia="Arial" w:hAnsi="Arial"/>
          <w:sz w:val="15"/>
          <w:szCs w:val="15"/>
          <w:color w:val="auto"/>
        </w:rPr>
        <w:t>”)) is a “significant subsidiary” (as defined in Rule 405 under the Securities Act). The Company and its sole Israeli subsidiary, Kornit Digital Technologies Ltd., are not currently designated as a “breaching company” (within the meaning of the Israeli Companies Law 5759-1999) by the Registrar of Companies of the State of Israel, nor has a proceeding been instituted by the Registrar of Companies in Israel for the dissolution of the Company or Kornit Digital Technologies Ltd.</w:t>
      </w:r>
    </w:p>
    <w:p>
      <w:pPr>
        <w:spacing w:after="0" w:line="159" w:lineRule="exact"/>
        <w:rPr>
          <w:rFonts w:ascii="Arial" w:cs="Arial" w:eastAsia="Arial" w:hAnsi="Arial"/>
          <w:sz w:val="15"/>
          <w:szCs w:val="15"/>
          <w:color w:val="auto"/>
        </w:rPr>
      </w:pPr>
    </w:p>
    <w:p>
      <w:pPr>
        <w:jc w:val="both"/>
        <w:ind w:firstLine="583"/>
        <w:spacing w:after="0" w:line="275" w:lineRule="auto"/>
        <w:tabs>
          <w:tab w:leader="none" w:pos="1239"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Company has an authorized capitalization as set forth in each of the most recent Preliminary Prospectus and the Prospectus, and all of the issued share capital of the Company has been duly authorized and validly issued, is fully paid and non-assessable, conforms to the description thereof contained in the most recent Preliminary Prospectus and was issued in compliance with Israeli securities laws and, to the extent applicable, other foreign and U.S. federal and state securities laws and not in violation of any preemptive right, resale right, right of first refusal or similar right. All of the Company’s options, warrants and other rights to purchase or exchange any securities for shares of the Company have been duly authorized and validly issued, conform to the description thereof contained in the most recent Preliminary Prospectus and were issued in compliance with Israeli securities laws and, to the extent applicable, other foreign or U.S. federal and state securities laws. All of the issued share capital or other ownership interest of each subsidiary of the Company have been duly authorized and validly issued, are fully paid and non-assessable and are owned directly or indirectly by the Company, free and clear of all liens, encumbrances, equities or claims, except for such liens, encumbrances, equities or claims as could not, individually or in the aggregate, reasonably be expected to have a Material Adverse Effect.</w:t>
      </w:r>
    </w:p>
    <w:p>
      <w:pPr>
        <w:spacing w:after="0" w:line="159" w:lineRule="exact"/>
        <w:rPr>
          <w:rFonts w:ascii="Arial" w:cs="Arial" w:eastAsia="Arial" w:hAnsi="Arial"/>
          <w:sz w:val="15"/>
          <w:szCs w:val="15"/>
          <w:color w:val="auto"/>
        </w:rPr>
      </w:pPr>
    </w:p>
    <w:p>
      <w:pPr>
        <w:jc w:val="both"/>
        <w:ind w:firstLine="583"/>
        <w:spacing w:after="0" w:line="262" w:lineRule="auto"/>
        <w:tabs>
          <w:tab w:leader="none" w:pos="121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Shares to be issued and sold by the Company to the Underwriters hereunder have been duly authorized and, upon payment and delivery in accordance with this Agreement, will be validly issued, fully paid and non-assessable, will conform in all material respects to the description thereof contained in the most recent Preliminary Prospectus, will be issued in compliance with federal and state securities laws and will be free of statutory and contractual preemptive rights, rights of first refusal and similar rights.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0" w:name="page11"/>
    <w:bookmarkEnd w:id="10"/>
    <w:p>
      <w:pPr>
        <w:jc w:val="both"/>
        <w:ind w:firstLine="583"/>
        <w:spacing w:after="0" w:line="256" w:lineRule="auto"/>
        <w:tabs>
          <w:tab w:leader="none" w:pos="1278"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grants and issuances of the Company's shares to its, or its subsidiaries', employees were made pursuant to an employee benefit plan, qualified share option plan or other equity compensation plan. With respect to any share options granted (the “Share Options”) (i) each Share Option purported to be issued under Section 102 of the Israel Tax Ordinance qualifies for treatment under that section and for treatment under the capital gains track, (ii) each Share Option intended to qualify as an “incentive stock option” under Section 422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so qualifies in all material respects, and (iii) each grant of a Share Option was duly authorized no later than the date on which the grant of such Share Option was by its terms to be effective by all necessary corporate action, in each case, in all material respects,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each party thereto.</w:t>
      </w:r>
    </w:p>
    <w:p>
      <w:pPr>
        <w:spacing w:after="0" w:line="174" w:lineRule="exact"/>
        <w:rPr>
          <w:rFonts w:ascii="Arial" w:cs="Arial" w:eastAsia="Arial" w:hAnsi="Arial"/>
          <w:sz w:val="16"/>
          <w:szCs w:val="16"/>
          <w:color w:val="auto"/>
        </w:rPr>
      </w:pPr>
    </w:p>
    <w:p>
      <w:pPr>
        <w:ind w:firstLine="583"/>
        <w:spacing w:after="0" w:line="281" w:lineRule="auto"/>
        <w:tabs>
          <w:tab w:leader="none" w:pos="117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Company has all requisite corporate power and authority to execute, deliver and perform its obligations under this Agreement. This Agreement has been duly and validly authorized, executed and delivered by the Company.</w:t>
      </w:r>
    </w:p>
    <w:p>
      <w:pPr>
        <w:spacing w:after="0" w:line="150" w:lineRule="exact"/>
        <w:rPr>
          <w:rFonts w:ascii="Arial" w:cs="Arial" w:eastAsia="Arial" w:hAnsi="Arial"/>
          <w:sz w:val="16"/>
          <w:szCs w:val="16"/>
          <w:color w:val="auto"/>
        </w:rPr>
      </w:pPr>
    </w:p>
    <w:p>
      <w:pPr>
        <w:jc w:val="both"/>
        <w:ind w:firstLine="583"/>
        <w:spacing w:after="0" w:line="297" w:lineRule="auto"/>
        <w:tabs>
          <w:tab w:leader="none" w:pos="1352" w:val="left"/>
        </w:tabs>
        <w:numPr>
          <w:ilvl w:val="1"/>
          <w:numId w:val="12"/>
        </w:numPr>
        <w:rPr>
          <w:rFonts w:ascii="Arial" w:cs="Arial" w:eastAsia="Arial" w:hAnsi="Arial"/>
          <w:sz w:val="14"/>
          <w:szCs w:val="14"/>
          <w:color w:val="auto"/>
        </w:rPr>
      </w:pPr>
      <w:r>
        <w:rPr>
          <w:rFonts w:ascii="Arial" w:cs="Arial" w:eastAsia="Arial" w:hAnsi="Arial"/>
          <w:sz w:val="14"/>
          <w:szCs w:val="14"/>
          <w:color w:val="auto"/>
        </w:rPr>
        <w:t>The issue and sale of the Shares, the execution, delivery and performance of this Agreement by the Company, the consummation of the transactions contemplated hereby and the application of the proceeds from the sale of the Shares as described under “Use of Proceeds” in the most recent Preliminary Prospectus will not</w:t>
      </w:r>
    </w:p>
    <w:p>
      <w:pPr>
        <w:spacing w:after="0" w:line="1" w:lineRule="exact"/>
        <w:rPr>
          <w:rFonts w:ascii="Arial" w:cs="Arial" w:eastAsia="Arial" w:hAnsi="Arial"/>
          <w:sz w:val="14"/>
          <w:szCs w:val="14"/>
          <w:color w:val="auto"/>
        </w:rPr>
      </w:pPr>
    </w:p>
    <w:p>
      <w:pPr>
        <w:jc w:val="both"/>
        <w:ind w:firstLine="1"/>
        <w:spacing w:after="0" w:line="295" w:lineRule="auto"/>
        <w:tabs>
          <w:tab w:leader="none" w:pos="193"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articles of association,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w:t>
      </w:r>
      <w:r>
        <w:rPr>
          <w:rFonts w:ascii="Arial" w:cs="Arial" w:eastAsia="Arial" w:hAnsi="Arial"/>
          <w:sz w:val="14"/>
          <w:szCs w:val="14"/>
          <w:i w:val="1"/>
          <w:iCs w:val="1"/>
          <w:color w:val="auto"/>
        </w:rPr>
        <w:t>except</w:t>
      </w:r>
      <w:r>
        <w:rPr>
          <w:rFonts w:ascii="Arial" w:cs="Arial" w:eastAsia="Arial" w:hAnsi="Arial"/>
          <w:sz w:val="14"/>
          <w:szCs w:val="14"/>
          <w:color w:val="auto"/>
        </w:rPr>
        <w:t>, for purposes of clauses (i) and (iii) above, any such conflict, breach, violation, default, lien, charge or encumbrance that would not, individually or in the aggregate, reasonably be expected to have a Material Adverse Effect and could not, individually or in the aggregate, reasonably be expected to have a material adverse effect on the Underwriters’ ability to consummate the transactions contemplated hereby.</w:t>
      </w:r>
    </w:p>
    <w:p>
      <w:pPr>
        <w:spacing w:after="0" w:line="149" w:lineRule="exact"/>
        <w:rPr>
          <w:rFonts w:ascii="Arial" w:cs="Arial" w:eastAsia="Arial" w:hAnsi="Arial"/>
          <w:sz w:val="14"/>
          <w:szCs w:val="14"/>
          <w:color w:val="auto"/>
        </w:rPr>
      </w:pPr>
    </w:p>
    <w:p>
      <w:pPr>
        <w:jc w:val="both"/>
        <w:ind w:firstLine="583"/>
        <w:spacing w:after="0" w:line="305" w:lineRule="auto"/>
        <w:tabs>
          <w:tab w:leader="none" w:pos="1224" w:val="left"/>
        </w:tabs>
        <w:numPr>
          <w:ilvl w:val="1"/>
          <w:numId w:val="13"/>
        </w:numPr>
        <w:rPr>
          <w:rFonts w:ascii="Arial" w:cs="Arial" w:eastAsia="Arial" w:hAnsi="Arial"/>
          <w:sz w:val="14"/>
          <w:szCs w:val="14"/>
          <w:color w:val="auto"/>
        </w:rPr>
      </w:pPr>
      <w:r>
        <w:rPr>
          <w:rFonts w:ascii="Arial" w:cs="Arial" w:eastAsia="Arial" w:hAnsi="Arial"/>
          <w:sz w:val="14"/>
          <w:szCs w:val="14"/>
          <w:color w:val="auto"/>
        </w:rPr>
        <w:t>Neither the Company nor any of its subsidiaries (i) has any outstanding obligations to the Office of the Chief Scientist of the Ministry of Economy of the State of Israel (the “</w:t>
      </w:r>
      <w:r>
        <w:rPr>
          <w:rFonts w:ascii="Arial" w:cs="Arial" w:eastAsia="Arial" w:hAnsi="Arial"/>
          <w:sz w:val="14"/>
          <w:szCs w:val="14"/>
          <w:b w:val="1"/>
          <w:bCs w:val="1"/>
          <w:i w:val="1"/>
          <w:iCs w:val="1"/>
          <w:color w:val="auto"/>
        </w:rPr>
        <w:t>Chief Scientist</w:t>
      </w:r>
      <w:r>
        <w:rPr>
          <w:rFonts w:ascii="Arial" w:cs="Arial" w:eastAsia="Arial" w:hAnsi="Arial"/>
          <w:sz w:val="14"/>
          <w:szCs w:val="14"/>
          <w:color w:val="auto"/>
        </w:rPr>
        <w:t>”) except as set forth in each of the most recent Preliminary Prospectus and Prospectus nor (ii) is in violation with respect to any instrument of approval granted to it by the Investment Center of the Ministry of Economy of the State of Israel (the “</w:t>
      </w:r>
      <w:r>
        <w:rPr>
          <w:rFonts w:ascii="Arial" w:cs="Arial" w:eastAsia="Arial" w:hAnsi="Arial"/>
          <w:sz w:val="14"/>
          <w:szCs w:val="14"/>
          <w:b w:val="1"/>
          <w:bCs w:val="1"/>
          <w:i w:val="1"/>
          <w:iCs w:val="1"/>
          <w:color w:val="auto"/>
        </w:rPr>
        <w:t>Investment Center</w:t>
      </w:r>
      <w:r>
        <w:rPr>
          <w:rFonts w:ascii="Arial" w:cs="Arial" w:eastAsia="Arial" w:hAnsi="Arial"/>
          <w:sz w:val="14"/>
          <w:szCs w:val="14"/>
          <w:color w:val="auto"/>
        </w:rPr>
        <w:t>”) or by the Chief Scientist. The Company has not received from the Investment Center any notice denying, revoking or adversely modifying any “approved enterprise” or “benefited enterprise” or “preferred enterprise” status with respect to any of the Company’s facilities or operations (including, in all such cases, notice of proceedings or investigations related thereto).</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1" w:name="page12"/>
    <w:bookmarkEnd w:id="11"/>
    <w:p>
      <w:pPr>
        <w:jc w:val="both"/>
        <w:ind w:firstLine="583"/>
        <w:spacing w:after="0" w:line="300" w:lineRule="auto"/>
        <w:tabs>
          <w:tab w:leader="none" w:pos="1234"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 consent, approval, authorization or order of, or filing, registration or qualification with, any court or governmental agency or body having jurisdiction over the Company or any of its subsidiaries or any of their properties or assets is required for the issue and sale of the Shares, the execution, delivery and performance of this Agreement by the Company, the consummation of the transactions contemplated hereby, the application of the proceeds from the sale of the Shares as described under “Use of Proceeds” in the most recent Preliminary Prospectus, except for (i) the registration of the Shares under the Securities Act; (ii) such consents, approvals, authorizations, orders, filings, registrations or qualifications as may be required under the Securities Exchange Act of 1934, as amended (the “</w:t>
      </w:r>
      <w:r>
        <w:rPr>
          <w:rFonts w:ascii="Arial" w:cs="Arial" w:eastAsia="Arial" w:hAnsi="Arial"/>
          <w:sz w:val="14"/>
          <w:szCs w:val="14"/>
          <w:b w:val="1"/>
          <w:bCs w:val="1"/>
          <w:i w:val="1"/>
          <w:iCs w:val="1"/>
          <w:color w:val="auto"/>
        </w:rPr>
        <w:t>Exchange Act</w:t>
      </w:r>
      <w:r>
        <w:rPr>
          <w:rFonts w:ascii="Arial" w:cs="Arial" w:eastAsia="Arial" w:hAnsi="Arial"/>
          <w:sz w:val="14"/>
          <w:szCs w:val="14"/>
          <w:color w:val="auto"/>
        </w:rPr>
        <w:t>”), and applicable state or foreign securities laws and/or the bylaws and rules of the Financial Industry Regulatory Authority (the “</w:t>
      </w:r>
      <w:r>
        <w:rPr>
          <w:rFonts w:ascii="Arial" w:cs="Arial" w:eastAsia="Arial" w:hAnsi="Arial"/>
          <w:sz w:val="14"/>
          <w:szCs w:val="14"/>
          <w:b w:val="1"/>
          <w:bCs w:val="1"/>
          <w:i w:val="1"/>
          <w:iCs w:val="1"/>
          <w:color w:val="auto"/>
        </w:rPr>
        <w:t>FINRA</w:t>
      </w:r>
      <w:r>
        <w:rPr>
          <w:rFonts w:ascii="Arial" w:cs="Arial" w:eastAsia="Arial" w:hAnsi="Arial"/>
          <w:sz w:val="14"/>
          <w:szCs w:val="14"/>
          <w:color w:val="auto"/>
        </w:rPr>
        <w:t>”) in connection with the purchase and sale of the Shares by the Underwriters; and (iii) the filing of certain information with the Registrar of Companies in the State of Israel, following the Closing, regarding the issuance of the Shares.</w:t>
      </w:r>
    </w:p>
    <w:p>
      <w:pPr>
        <w:spacing w:after="0" w:line="141" w:lineRule="exact"/>
        <w:rPr>
          <w:rFonts w:ascii="Arial" w:cs="Arial" w:eastAsia="Arial" w:hAnsi="Arial"/>
          <w:sz w:val="14"/>
          <w:szCs w:val="14"/>
          <w:color w:val="auto"/>
        </w:rPr>
      </w:pPr>
    </w:p>
    <w:p>
      <w:pPr>
        <w:jc w:val="both"/>
        <w:ind w:firstLine="583"/>
        <w:spacing w:after="0" w:line="262" w:lineRule="auto"/>
        <w:tabs>
          <w:tab w:leader="none" w:pos="12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historical financial statements (including the related notes and supporting schedules) included in the most recent Preliminary Prospectus comply as to form in all material respects with the requirements of Regulation S-X under the Securities Act and present fairly in all material respects the financial condition, results of operations and cash flows of the entities purported to be shown thereby at the dates and for the periods indicated and have been prepared in conformity with accounting principles generally accepted in the United States applied on a consistent basis throughout the periods involved.</w:t>
      </w:r>
    </w:p>
    <w:p>
      <w:pPr>
        <w:spacing w:after="0" w:line="165" w:lineRule="exact"/>
        <w:rPr>
          <w:rFonts w:ascii="Arial" w:cs="Arial" w:eastAsia="Arial" w:hAnsi="Arial"/>
          <w:sz w:val="16"/>
          <w:szCs w:val="16"/>
          <w:color w:val="auto"/>
        </w:rPr>
      </w:pPr>
    </w:p>
    <w:p>
      <w:pPr>
        <w:jc w:val="both"/>
        <w:ind w:firstLine="583"/>
        <w:spacing w:after="0" w:line="267" w:lineRule="auto"/>
        <w:tabs>
          <w:tab w:leader="none" w:pos="1254" w:val="left"/>
        </w:tabs>
        <w:numPr>
          <w:ilvl w:val="0"/>
          <w:numId w:val="14"/>
        </w:numPr>
        <w:rPr>
          <w:rFonts w:ascii="Arial" w:cs="Arial" w:eastAsia="Arial" w:hAnsi="Arial"/>
          <w:sz w:val="16"/>
          <w:szCs w:val="16"/>
          <w:color w:val="auto"/>
        </w:rPr>
      </w:pPr>
      <w:r>
        <w:rPr>
          <w:rFonts w:ascii="Arial" w:cs="Arial" w:eastAsia="Arial" w:hAnsi="Arial"/>
          <w:sz w:val="16"/>
          <w:szCs w:val="16"/>
          <w:color w:val="auto"/>
        </w:rPr>
        <w:t>Kost Forer Gabbay &amp; Kasierer, a member of Ernst &amp; Young Global, who have certified certain financial statements of the Company and its consolidated subsidiaries, whose report appears in the most recent Preliminary Prospectus and who have delivered the initial letter referred to in Section 7(h) hereof, are independent public accountants as required by the Securities Act and the rules and regulations thereunder.</w:t>
      </w:r>
    </w:p>
    <w:p>
      <w:pPr>
        <w:spacing w:after="0" w:line="161" w:lineRule="exact"/>
        <w:rPr>
          <w:rFonts w:ascii="Arial" w:cs="Arial" w:eastAsia="Arial" w:hAnsi="Arial"/>
          <w:sz w:val="16"/>
          <w:szCs w:val="16"/>
          <w:color w:val="auto"/>
        </w:rPr>
      </w:pPr>
    </w:p>
    <w:p>
      <w:pPr>
        <w:jc w:val="both"/>
        <w:ind w:firstLine="583"/>
        <w:spacing w:after="0" w:line="257" w:lineRule="auto"/>
        <w:tabs>
          <w:tab w:leader="none" w:pos="128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internal accounting controls sufficient to provide reasonable assurances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w:t>
      </w:r>
    </w:p>
    <w:p>
      <w:pPr>
        <w:spacing w:after="0" w:line="171" w:lineRule="exact"/>
        <w:rPr>
          <w:rFonts w:ascii="Arial" w:cs="Arial" w:eastAsia="Arial" w:hAnsi="Arial"/>
          <w:sz w:val="16"/>
          <w:szCs w:val="16"/>
          <w:color w:val="auto"/>
        </w:rPr>
      </w:pPr>
    </w:p>
    <w:p>
      <w:pPr>
        <w:jc w:val="both"/>
        <w:ind w:firstLine="583"/>
        <w:spacing w:after="0" w:line="259" w:lineRule="auto"/>
        <w:tabs>
          <w:tab w:leader="none" w:pos="1253"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The Company and its subsidiaries maintain disclosure controls and procedures (as such term is defined in Rule 13a-15(e) under the Exchange Act), (ii) such disclosure controls and procedures are designed to ensure that the information required to be disclosed by the Company in reports that it files or submits under the Exchange Act is accumulated and communicated to management of the Company and its subsidiaries, including their respective principal executive officers and principal financial officers, as appropriate and (iii) such disclosure controls and procedures are effective in all material respects to perform the functions for which they were established.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2" w:name="page13"/>
    <w:bookmarkEnd w:id="12"/>
    <w:p>
      <w:pPr>
        <w:jc w:val="both"/>
        <w:ind w:firstLine="583"/>
        <w:spacing w:after="0" w:line="281" w:lineRule="auto"/>
        <w:tabs>
          <w:tab w:leader="none" w:pos="1232" w:val="left"/>
        </w:tabs>
        <w:numPr>
          <w:ilvl w:val="0"/>
          <w:numId w:val="15"/>
        </w:numPr>
        <w:rPr>
          <w:rFonts w:ascii="Arial" w:cs="Arial" w:eastAsia="Arial" w:hAnsi="Arial"/>
          <w:sz w:val="15"/>
          <w:szCs w:val="15"/>
          <w:color w:val="auto"/>
        </w:rPr>
      </w:pPr>
      <w:r>
        <w:rPr>
          <w:rFonts w:ascii="Arial" w:cs="Arial" w:eastAsia="Arial" w:hAnsi="Arial"/>
          <w:sz w:val="15"/>
          <w:szCs w:val="15"/>
          <w:color w:val="auto"/>
        </w:rPr>
        <w:t>Since the date of the most recent balance sheet of the Company and its consolidated subsidiaries reviewed or audited by Kost Forer Gabbay &amp; Kasierer, a member of Ernst &amp; Young Global, (i) the Company has not been advised of or become aware of (A) any material weakness or significant deficiency in in internal controls of the Company or its subsidiaries, and (B) any fraud, whether or not material, that involves management or other employees who have a significant role in the internal controls of the Company and each of its subsidiaries; and (ii) there have been no significant adverse changes in internal controls or in other factors that could significantly affect internal controls, including any corrective actions with regard to significant deficiencies and material weaknesses.</w:t>
      </w:r>
    </w:p>
    <w:p>
      <w:pPr>
        <w:spacing w:after="0" w:line="153" w:lineRule="exact"/>
        <w:rPr>
          <w:rFonts w:ascii="Arial" w:cs="Arial" w:eastAsia="Arial" w:hAnsi="Arial"/>
          <w:sz w:val="15"/>
          <w:szCs w:val="15"/>
          <w:color w:val="auto"/>
        </w:rPr>
      </w:pPr>
    </w:p>
    <w:p>
      <w:pPr>
        <w:ind w:firstLine="583"/>
        <w:spacing w:after="0" w:line="281" w:lineRule="auto"/>
        <w:tabs>
          <w:tab w:leader="none" w:pos="12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and any of the Company’s directors or officers, in their capacities as such, to comply with any applicable provision of the Sarbanes-Oxley Act of 2002 and the rules and regulations promulgated in connection therewith.</w:t>
      </w:r>
    </w:p>
    <w:p>
      <w:pPr>
        <w:spacing w:after="0" w:line="150" w:lineRule="exact"/>
        <w:rPr>
          <w:rFonts w:ascii="Arial" w:cs="Arial" w:eastAsia="Arial" w:hAnsi="Arial"/>
          <w:sz w:val="16"/>
          <w:szCs w:val="16"/>
          <w:color w:val="auto"/>
        </w:rPr>
      </w:pPr>
    </w:p>
    <w:p>
      <w:pPr>
        <w:jc w:val="both"/>
        <w:ind w:firstLine="583"/>
        <w:spacing w:after="0" w:line="296" w:lineRule="auto"/>
        <w:tabs>
          <w:tab w:leader="none" w:pos="1205" w:val="left"/>
        </w:tabs>
        <w:numPr>
          <w:ilvl w:val="0"/>
          <w:numId w:val="15"/>
        </w:numPr>
        <w:rPr>
          <w:rFonts w:ascii="Arial" w:cs="Arial" w:eastAsia="Arial" w:hAnsi="Arial"/>
          <w:sz w:val="14"/>
          <w:szCs w:val="14"/>
          <w:color w:val="auto"/>
        </w:rPr>
      </w:pPr>
      <w:r>
        <w:rPr>
          <w:rFonts w:ascii="Arial" w:cs="Arial" w:eastAsia="Arial" w:hAnsi="Arial"/>
          <w:sz w:val="14"/>
          <w:szCs w:val="14"/>
          <w:color w:val="auto"/>
        </w:rPr>
        <w:t>Since the date of the latest audited financial statements included in the most recent Preliminary Prospectus, neither the Company nor any of its subsidiaries has (i) sustained any loss or interference with its business from fire, explosion, flood or other calamity, whether or not covered by insurance, or from any labor dispute or court or governmental action, order or decree, (ii) issued or granted any securities, except as set forth in the most recent Preliminary Prospectus, (iii) incurred any material liability or obligation, direct or contingent, other than liabilities and obligations that were incurred in the ordinary course of business or otherwise set forth in the most recent Preliminary Prospectus, (iv) entered into any material transaction not in the ordinary course of business, except as set forth in the most recent Preliminary Prospectus or (v) declared or paid any dividend on its share capital (except for dividends paid solely in ordinary shares) , and since such date, there has not been any change in the share capital (other than the issuance of ordinary shares, if any, pursuant to share option plans or other equity compensation plans or arrangements described in the most recent Preliminary Prospectus) or long-term debt of the Company or any of its subsidiaries or any adverse change, or any development involving a prospective adverse change, in or affecting the condition (financial or otherwise), results of operations, shareholders’ equity, properties, management, business or prospects of the Company and its subsidiaries taken as a whole, in each case except as would not, in the aggregate, reasonably be expected to have a Material Adverse Effect.</w:t>
      </w:r>
    </w:p>
    <w:p>
      <w:pPr>
        <w:spacing w:after="0" w:line="146" w:lineRule="exact"/>
        <w:rPr>
          <w:sz w:val="20"/>
          <w:szCs w:val="20"/>
          <w:color w:val="auto"/>
        </w:rPr>
      </w:pPr>
    </w:p>
    <w:p>
      <w:pPr>
        <w:jc w:val="both"/>
        <w:ind w:firstLine="583"/>
        <w:spacing w:after="0" w:line="281" w:lineRule="auto"/>
        <w:tabs>
          <w:tab w:leader="none" w:pos="1283"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Company and each of its subsidiaries have good and marketable title in fee simple to all real property and good and marketable title to all personal property owned by them, in each case free and clear of all liens, encumbrances and defects, except such liens, encumbrances and defects as are described in the most recent Preliminary Prospectus or such as do not materially affect the value of such property and do not materially interfere with the use made and proposed to be made of such property by the Company and its subsidiaries. All assets held under lease by the Company and its subsidiaries are held by them under valid, subsisting and enforceable leases, with such exceptions as do not materially interfere with the use made and proposed to be made of such assets by the Company and its subsidiaries.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3" w:name="page14"/>
    <w:bookmarkEnd w:id="13"/>
    <w:p>
      <w:pPr>
        <w:jc w:val="both"/>
        <w:ind w:firstLine="583"/>
        <w:spacing w:after="0" w:line="277" w:lineRule="auto"/>
        <w:tabs>
          <w:tab w:leader="none" w:pos="1327"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Company and each of its subsidiaries have such permits, licenses, patents, franchises, certificates of need and other approvals or authorizations of governmental or regulatory authorities (“</w:t>
      </w:r>
      <w:r>
        <w:rPr>
          <w:rFonts w:ascii="Arial" w:cs="Arial" w:eastAsia="Arial" w:hAnsi="Arial"/>
          <w:sz w:val="15"/>
          <w:szCs w:val="15"/>
          <w:b w:val="1"/>
          <w:bCs w:val="1"/>
          <w:i w:val="1"/>
          <w:iCs w:val="1"/>
          <w:color w:val="auto"/>
        </w:rPr>
        <w:t>Permits</w:t>
      </w:r>
      <w:r>
        <w:rPr>
          <w:rFonts w:ascii="Arial" w:cs="Arial" w:eastAsia="Arial" w:hAnsi="Arial"/>
          <w:sz w:val="15"/>
          <w:szCs w:val="15"/>
          <w:color w:val="auto"/>
        </w:rPr>
        <w:t>”) as are necessary under applicable law to own their properties and conduct their businesses in the manner described in the most recent Preliminary Prospectus, except for any of the foregoing that would not, in the aggregate, reasonably be expected to have a Material Adverse Effect. The Company and each of its subsidiaries have fulfilled and performed all of its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Neither the Company nor any of its subsidiaries has received notice of any revocation or modification of any such Permits or has any reason to believe that any such Permits will not be renewed in the ordinary course.</w:t>
      </w:r>
    </w:p>
    <w:p>
      <w:pPr>
        <w:spacing w:after="0" w:line="156" w:lineRule="exact"/>
        <w:rPr>
          <w:rFonts w:ascii="Arial" w:cs="Arial" w:eastAsia="Arial" w:hAnsi="Arial"/>
          <w:sz w:val="15"/>
          <w:szCs w:val="15"/>
          <w:color w:val="auto"/>
        </w:rPr>
      </w:pPr>
    </w:p>
    <w:p>
      <w:pPr>
        <w:jc w:val="both"/>
        <w:ind w:firstLine="583"/>
        <w:spacing w:after="0" w:line="281" w:lineRule="auto"/>
        <w:tabs>
          <w:tab w:leader="none" w:pos="1271" w:val="left"/>
        </w:tabs>
        <w:numPr>
          <w:ilvl w:val="0"/>
          <w:numId w:val="17"/>
        </w:numPr>
        <w:rPr>
          <w:rFonts w:ascii="Arial" w:cs="Arial" w:eastAsia="Arial" w:hAnsi="Arial"/>
          <w:sz w:val="15"/>
          <w:szCs w:val="15"/>
          <w:color w:val="auto"/>
        </w:rPr>
      </w:pPr>
      <w:r>
        <w:rPr>
          <w:rFonts w:ascii="Arial" w:cs="Arial" w:eastAsia="Arial" w:hAnsi="Arial"/>
          <w:sz w:val="15"/>
          <w:szCs w:val="15"/>
          <w:color w:val="auto"/>
        </w:rPr>
        <w:t>Except as would not reasonably be expected to have a Material Adverse Effect, (i) the Company and each of its subsidiaries owns or possesses adequate rights to use all material patents, patent applications, trademarks, service marks, trade names, trademark registrations, service mark registrations, copyrights, licenses, know-how, software, systems and technology (including trade secrets and other unpatented and/or unpatentable proprietary or confidential information, systems or procedures) necessary for the conduct of their respective businesses and (ii) the Company and each of its subsidiaries has no reason to believe that the conduct of their respective businesses will conflict with, and has not received any notice of any claim of conflict with, any such rights of others.</w:t>
      </w:r>
    </w:p>
    <w:p>
      <w:pPr>
        <w:spacing w:after="0" w:line="153" w:lineRule="exact"/>
        <w:rPr>
          <w:rFonts w:ascii="Arial" w:cs="Arial" w:eastAsia="Arial" w:hAnsi="Arial"/>
          <w:sz w:val="15"/>
          <w:szCs w:val="15"/>
          <w:color w:val="auto"/>
        </w:rPr>
      </w:pPr>
    </w:p>
    <w:p>
      <w:pPr>
        <w:jc w:val="both"/>
        <w:ind w:firstLine="583"/>
        <w:spacing w:after="0" w:line="262" w:lineRule="auto"/>
        <w:tabs>
          <w:tab w:leader="none" w:pos="121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to which the Company or any of its subsidiaries is a party or of which any property or assets of the Company or any of its subsidiaries is the subject that could, in the aggregate, reasonably be expected to have a Material Adverse Effect or would, in the aggregate, reasonably be expected to have a material adverse effect on the performance of this Agreement or the consummation of the transactions contemplated hereby; and to the Company’s knowledge, no such proceedings are threatened or contemplated by governmental authorities or others.</w:t>
      </w:r>
    </w:p>
    <w:p>
      <w:pPr>
        <w:spacing w:after="0" w:line="165" w:lineRule="exact"/>
        <w:rPr>
          <w:rFonts w:ascii="Arial" w:cs="Arial" w:eastAsia="Arial" w:hAnsi="Arial"/>
          <w:sz w:val="16"/>
          <w:szCs w:val="16"/>
          <w:color w:val="auto"/>
        </w:rPr>
      </w:pPr>
    </w:p>
    <w:p>
      <w:pPr>
        <w:jc w:val="both"/>
        <w:ind w:firstLine="583"/>
        <w:spacing w:after="0" w:line="305" w:lineRule="auto"/>
        <w:tabs>
          <w:tab w:leader="none" w:pos="1315"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There are no contracts or other documents required to be described in the Registration Statement or the most recent Preliminary Prospectus or filed as exhibits to the Registration Statement, that are not described and filed as required. The statements made in the most recent Preliminary Prospectus, insofar as they purport to constitute summaries of the terms of the contracts and other documents described and filed, constitute accurate summaries of the terms of such contracts and documents in all material respects. Neither the Company nor any of its subsidiaries has knowledge that any other party to any such contract or other document has any intention not to render full performance as contemplated by the terms thereof except as would not, individually or in the aggregate, reasonably be expected to have a Material Adverse Effect.</w:t>
      </w:r>
    </w:p>
    <w:p>
      <w:pPr>
        <w:spacing w:after="0" w:line="139" w:lineRule="exact"/>
        <w:rPr>
          <w:rFonts w:ascii="Arial" w:cs="Arial" w:eastAsia="Arial" w:hAnsi="Arial"/>
          <w:sz w:val="14"/>
          <w:szCs w:val="14"/>
          <w:color w:val="auto"/>
        </w:rPr>
      </w:pPr>
    </w:p>
    <w:p>
      <w:pPr>
        <w:jc w:val="both"/>
        <w:ind w:firstLine="583"/>
        <w:spacing w:after="0" w:line="259" w:lineRule="auto"/>
        <w:tabs>
          <w:tab w:leader="none" w:pos="132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statements made in the most recent Preliminary Prospectus under the captions “Business—Regulatory Matters”, “Management”, “Underwriting”, “Taxation and Israeli Government Programs Applicable to our Company”, “U.S. and Israeli Tax Consequences for our Shareholders” and “Enforceability of Civil Liabilities”, insofar as they purport to constitute summaries of the terms of statutes, rules or regulations, legal or governmental proceedings or contracts and other documents described therein, constitute accurate summaries of the terms of such statutes, rules and regulations, legal and governmental proceedings and contracts and other documents in all material respects.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4" w:name="page15"/>
    <w:bookmarkEnd w:id="14"/>
    <w:p>
      <w:pPr>
        <w:jc w:val="both"/>
        <w:ind w:firstLine="583"/>
        <w:spacing w:after="0" w:line="256" w:lineRule="auto"/>
        <w:tabs>
          <w:tab w:leader="none" w:pos="130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and its subsidiaries carry, or are covered by, insurance from insurers of recognized financial responsibility in such amounts and covering such risks as is reasonably believed by the Company to be adequate for the conduct of their respective businesses and the value of their respective properties and as is customary for companies engaged in similar businesses in similar industries. All policies of insurance of the Company and its subsidiaries are in full force and effect; the Company and each of its subsidiaries are in compliance with the terms of such policies in all material respects; and neither the Company nor any of its subsidiaries has received notice from any insurer or agent of such insurer that capital improvements or other expenditures are required or necessary to be made in order to continue such insurance; there are no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71" w:lineRule="exact"/>
        <w:rPr>
          <w:rFonts w:ascii="Arial" w:cs="Arial" w:eastAsia="Arial" w:hAnsi="Arial"/>
          <w:sz w:val="16"/>
          <w:szCs w:val="16"/>
          <w:color w:val="auto"/>
        </w:rPr>
      </w:pPr>
    </w:p>
    <w:p>
      <w:pPr>
        <w:ind w:firstLine="583"/>
        <w:spacing w:after="0" w:line="281" w:lineRule="auto"/>
        <w:tabs>
          <w:tab w:leader="none" w:pos="1238"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relationship, direct or indirect, exists between or among the Company, on the one hand, and the directors, officers, shareholders, customers or suppliers of the Company, on the other hand, that is required to be described in the most recent Preliminary Prospectus which is not so described.</w:t>
      </w:r>
    </w:p>
    <w:p>
      <w:pPr>
        <w:spacing w:after="0" w:line="150" w:lineRule="exact"/>
        <w:rPr>
          <w:rFonts w:ascii="Arial" w:cs="Arial" w:eastAsia="Arial" w:hAnsi="Arial"/>
          <w:sz w:val="16"/>
          <w:szCs w:val="16"/>
          <w:color w:val="auto"/>
        </w:rPr>
      </w:pPr>
    </w:p>
    <w:p>
      <w:pPr>
        <w:jc w:val="both"/>
        <w:ind w:firstLine="583"/>
        <w:spacing w:after="0" w:line="267" w:lineRule="auto"/>
        <w:tabs>
          <w:tab w:leader="none" w:pos="12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labor disturbance by or dispute with the employees of the Company or any of its subsidiaries exists or, to the knowledge of the Company, is imminent that would reasonably be expected to have a Material Adverse Effect. The Company and its subsidiaries are in compliance in all material respects with the labor and employment laws and collective bargaining agreements and extension orders applicable to their employees in the State of Israel.</w:t>
      </w:r>
    </w:p>
    <w:p>
      <w:pPr>
        <w:spacing w:after="0" w:line="161" w:lineRule="exact"/>
        <w:rPr>
          <w:rFonts w:ascii="Arial" w:cs="Arial" w:eastAsia="Arial" w:hAnsi="Arial"/>
          <w:sz w:val="16"/>
          <w:szCs w:val="16"/>
          <w:color w:val="auto"/>
        </w:rPr>
      </w:pPr>
    </w:p>
    <w:p>
      <w:pPr>
        <w:jc w:val="both"/>
        <w:ind w:firstLine="583"/>
        <w:spacing w:after="0" w:line="277" w:lineRule="auto"/>
        <w:tabs>
          <w:tab w:leader="none" w:pos="1178" w:val="left"/>
        </w:tabs>
        <w:numPr>
          <w:ilvl w:val="0"/>
          <w:numId w:val="18"/>
        </w:numPr>
        <w:rPr>
          <w:rFonts w:ascii="Arial" w:cs="Arial" w:eastAsia="Arial" w:hAnsi="Arial"/>
          <w:sz w:val="15"/>
          <w:szCs w:val="15"/>
          <w:color w:val="auto"/>
        </w:rPr>
      </w:pPr>
      <w:r>
        <w:rPr>
          <w:rFonts w:ascii="Arial" w:cs="Arial" w:eastAsia="Arial" w:hAnsi="Arial"/>
          <w:sz w:val="15"/>
          <w:szCs w:val="15"/>
          <w:color w:val="auto"/>
        </w:rPr>
        <w:t>Neither the Company nor any of its subsidiaries (i) is in violation of its articles of association,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could not, individually or in the aggregate, reasonably be expected to have a Material Adverse Effect.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5" w:name="page16"/>
    <w:bookmarkEnd w:id="15"/>
    <w:p>
      <w:pPr>
        <w:jc w:val="both"/>
        <w:ind w:firstLine="583"/>
        <w:spacing w:after="0" w:line="294" w:lineRule="auto"/>
        <w:tabs>
          <w:tab w:leader="none" w:pos="1252"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and its subsidiaries (i) are, and at all times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Arial" w:cs="Arial" w:eastAsia="Arial" w:hAnsi="Arial"/>
          <w:sz w:val="14"/>
          <w:szCs w:val="14"/>
          <w:b w:val="1"/>
          <w:bCs w:val="1"/>
          <w:i w:val="1"/>
          <w:iCs w:val="1"/>
          <w:color w:val="auto"/>
        </w:rPr>
        <w:t>Environmental Laws</w:t>
      </w:r>
      <w:r>
        <w:rPr>
          <w:rFonts w:ascii="Arial" w:cs="Arial" w:eastAsia="Arial" w:hAnsi="Arial"/>
          <w:sz w:val="14"/>
          <w:szCs w:val="14"/>
          <w:color w:val="auto"/>
        </w:rPr>
        <w:t xml:space="preserve">”) applicable to such entity, which compliance includes, without limitation, obtaining, maintaining and complying with all permits and authorizations and approvals required by Environmental Laws to conduct their respective businesses, and (ii) have not received notice or otherwise have knowledge of any actual or alleged violation of Environmental Laws, or of any actual or potential liability for or other obligation concerning the presence, disposal or release of hazardous or toxic substances or wastes, pollutants or contaminants, </w:t>
      </w:r>
      <w:r>
        <w:rPr>
          <w:rFonts w:ascii="Arial" w:cs="Arial" w:eastAsia="Arial" w:hAnsi="Arial"/>
          <w:sz w:val="14"/>
          <w:szCs w:val="14"/>
          <w:i w:val="1"/>
          <w:iCs w:val="1"/>
          <w:color w:val="auto"/>
        </w:rPr>
        <w:t>except</w:t>
      </w:r>
      <w:r>
        <w:rPr>
          <w:rFonts w:ascii="Arial" w:cs="Arial" w:eastAsia="Arial" w:hAnsi="Arial"/>
          <w:sz w:val="14"/>
          <w:szCs w:val="14"/>
          <w:color w:val="auto"/>
        </w:rPr>
        <w:t>, for purposes of clauses (i) and (ii) above, where such non-compliance, violation, liability, or other obligation would not, in the aggregate, reasonably be expected to have a Material Adverse Effect. Except as described in the most recent Preliminary Prospectus, (x) there are no proceedings that are pending, or known to be contemplated, against the Company or any of its subsidiaries under Environmental Laws in which a governmental authority is also a party, other than such proceedings regarding which it is reasonably believed no monetary sanctions of $100,000 or more will be imposed,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effect on the capital expenditures, earnings or competitive position of the Company and its subsidiaries, and (z) none of the Company and its subsidiaries anticipates material capital expenditures relating to Environmental Laws.</w:t>
      </w:r>
    </w:p>
    <w:p>
      <w:pPr>
        <w:spacing w:after="0" w:line="145" w:lineRule="exact"/>
        <w:rPr>
          <w:rFonts w:ascii="Arial" w:cs="Arial" w:eastAsia="Arial" w:hAnsi="Arial"/>
          <w:sz w:val="14"/>
          <w:szCs w:val="14"/>
          <w:color w:val="auto"/>
        </w:rPr>
      </w:pPr>
    </w:p>
    <w:p>
      <w:pPr>
        <w:jc w:val="both"/>
        <w:ind w:firstLine="583"/>
        <w:spacing w:after="0" w:line="305" w:lineRule="auto"/>
        <w:tabs>
          <w:tab w:leader="none" w:pos="127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and each of its subsidiaries have: (i) timely filed all federal, state, local and foreign income and all other material tax returns required to be filed through the date hereof, subject to permitted extensions, and such returns are true, correct and complete in all material respects, and (ii) timely paid all taxes due, except as may be being contested in good faith and by appropriate proceedings and for which adequate reserves have been made under GAAP, or where the failure to timely pay such taxes would not reasonably be expected to result in a Material Adverse Effect. The Company does not have any knowledge of any tax deficiencies that have been, or would reasonably be expected to be asserted against the Company or any of its subsidiaries, that could, in the aggregate, reasonably be expected to have a Material Adverse Effect.</w:t>
      </w:r>
    </w:p>
    <w:p>
      <w:pPr>
        <w:spacing w:after="0" w:line="139" w:lineRule="exact"/>
        <w:rPr>
          <w:rFonts w:ascii="Arial" w:cs="Arial" w:eastAsia="Arial" w:hAnsi="Arial"/>
          <w:sz w:val="14"/>
          <w:szCs w:val="14"/>
          <w:color w:val="auto"/>
        </w:rPr>
      </w:pPr>
    </w:p>
    <w:p>
      <w:pPr>
        <w:jc w:val="both"/>
        <w:ind w:firstLine="583"/>
        <w:spacing w:after="0" w:line="267" w:lineRule="auto"/>
        <w:tabs>
          <w:tab w:leader="none" w:pos="124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is no pending, or threatened in writing, audit, examination, investigation, assessment, claim or other proceeding by any governmental authority with respect to the qualification of the Company or any of its subsidiaries as an Industrial Company or an Industrial Enterprise, as the case may be, pursuant to the Law for the Encouragement of Industry (Taxes), 5729-1969 or the Law for the Encouragement of Capital Investments, 5719-1959,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6" w:name="page17"/>
    <w:bookmarkEnd w:id="16"/>
    <w:p>
      <w:pPr>
        <w:jc w:val="both"/>
        <w:ind w:firstLine="583"/>
        <w:spacing w:after="0" w:line="273" w:lineRule="auto"/>
        <w:tabs>
          <w:tab w:leader="none" w:pos="119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 Each “employee benefit plan” (within the meaning of Section 3(3) of the Employee Retirement Security Act of 1974, as amended (“</w:t>
      </w:r>
      <w:r>
        <w:rPr>
          <w:rFonts w:ascii="Arial" w:cs="Arial" w:eastAsia="Arial" w:hAnsi="Arial"/>
          <w:sz w:val="15"/>
          <w:szCs w:val="15"/>
          <w:b w:val="1"/>
          <w:bCs w:val="1"/>
          <w:i w:val="1"/>
          <w:iCs w:val="1"/>
          <w:color w:val="auto"/>
        </w:rPr>
        <w:t>ERISA</w:t>
      </w:r>
      <w:r>
        <w:rPr>
          <w:rFonts w:ascii="Arial" w:cs="Arial" w:eastAsia="Arial" w:hAnsi="Arial"/>
          <w:sz w:val="15"/>
          <w:szCs w:val="15"/>
          <w:color w:val="auto"/>
        </w:rPr>
        <w:t>”)) for which the Company or any member of its “Controlled Group” (defined as any organization which is a member of a controlled group of corporations within the meaning of Section 414 of the Code) would have any liability (each a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“accumulated funding deficiency”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whether by action or by failure to act, which would cause the loss of such qualification.</w:t>
      </w:r>
    </w:p>
    <w:p>
      <w:pPr>
        <w:spacing w:after="0" w:line="165" w:lineRule="exact"/>
        <w:rPr>
          <w:rFonts w:ascii="Arial" w:cs="Arial" w:eastAsia="Arial" w:hAnsi="Arial"/>
          <w:sz w:val="15"/>
          <w:szCs w:val="15"/>
          <w:color w:val="auto"/>
        </w:rPr>
      </w:pPr>
    </w:p>
    <w:p>
      <w:pPr>
        <w:ind w:firstLine="583"/>
        <w:spacing w:after="0" w:line="281" w:lineRule="auto"/>
        <w:tabs>
          <w:tab w:leader="none" w:pos="120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statistical and market-related data included in the most recent Preliminary Prospectus are based on or derived from sources that the Company believes to be reliable in all material respects.</w:t>
      </w:r>
    </w:p>
    <w:p>
      <w:pPr>
        <w:spacing w:after="0" w:line="150" w:lineRule="exact"/>
        <w:rPr>
          <w:rFonts w:ascii="Arial" w:cs="Arial" w:eastAsia="Arial" w:hAnsi="Arial"/>
          <w:sz w:val="16"/>
          <w:szCs w:val="16"/>
          <w:color w:val="auto"/>
        </w:rPr>
      </w:pPr>
    </w:p>
    <w:p>
      <w:pPr>
        <w:jc w:val="both"/>
        <w:ind w:firstLine="583"/>
        <w:spacing w:after="0" w:line="259" w:lineRule="auto"/>
        <w:tabs>
          <w:tab w:leader="none" w:pos="1197"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and as of the applicable Delivery Date and, after giving effect to the offer and sale of the Shares and the application of the proceeds therefrom as described under “Use of Proceeds” in the most recent Preliminary Prospectus and the Prospectus, none of them will be, (i) an “investment company” or a company “controlled” by an “investment company” within the meaning of the Investment Company Act of 1940, as amended (the “</w:t>
      </w:r>
      <w:r>
        <w:rPr>
          <w:rFonts w:ascii="Arial" w:cs="Arial" w:eastAsia="Arial" w:hAnsi="Arial"/>
          <w:sz w:val="16"/>
          <w:szCs w:val="16"/>
          <w:b w:val="1"/>
          <w:bCs w:val="1"/>
          <w:i w:val="1"/>
          <w:iCs w:val="1"/>
          <w:color w:val="auto"/>
        </w:rPr>
        <w:t>Investment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Company Act</w:t>
      </w:r>
      <w:r>
        <w:rPr>
          <w:rFonts w:ascii="Arial" w:cs="Arial" w:eastAsia="Arial" w:hAnsi="Arial"/>
          <w:sz w:val="16"/>
          <w:szCs w:val="16"/>
          <w:color w:val="auto"/>
        </w:rPr>
        <w:t>”), and the rules and regulations of the Commission thereunder, or (ii) a “business development company” (as defined in Section 2(a)(48) of the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Act).</w:t>
      </w:r>
    </w:p>
    <w:p>
      <w:pPr>
        <w:spacing w:after="0" w:line="170" w:lineRule="exact"/>
        <w:rPr>
          <w:rFonts w:ascii="Arial" w:cs="Arial" w:eastAsia="Arial" w:hAnsi="Arial"/>
          <w:sz w:val="16"/>
          <w:szCs w:val="16"/>
          <w:color w:val="auto"/>
        </w:rPr>
      </w:pPr>
    </w:p>
    <w:p>
      <w:pPr>
        <w:jc w:val="both"/>
        <w:ind w:firstLine="583"/>
        <w:spacing w:after="0" w:line="262" w:lineRule="auto"/>
        <w:tabs>
          <w:tab w:leader="none" w:pos="121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as described in the most recent Preliminary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165" w:lineRule="exact"/>
        <w:rPr>
          <w:rFonts w:ascii="Arial" w:cs="Arial" w:eastAsia="Arial" w:hAnsi="Arial"/>
          <w:sz w:val="16"/>
          <w:szCs w:val="16"/>
          <w:color w:val="auto"/>
        </w:rPr>
      </w:pPr>
    </w:p>
    <w:p>
      <w:pPr>
        <w:jc w:val="both"/>
        <w:ind w:firstLine="583"/>
        <w:spacing w:after="0" w:line="267" w:lineRule="auto"/>
        <w:tabs>
          <w:tab w:leader="none" w:pos="1296"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any contract, agreement or understanding with any person (other than this Agreement) that would give rise to a valid claim against any of them or the Underwriters for a brokerage commission, finder’s fee or like payment in connection with the offering and sale of the Shares.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7" w:name="page18"/>
    <w:bookmarkEnd w:id="17"/>
    <w:p>
      <w:pPr>
        <w:ind w:firstLine="583"/>
        <w:spacing w:after="0" w:line="281" w:lineRule="auto"/>
        <w:tabs>
          <w:tab w:leader="none" w:pos="120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has not sold or issued any securities that would be integrated with the offering of the Shares contemplated by this Agreement pursuant to the Securities Act, the rules and regulations thereunder or the interpretations thereof by the Commission.</w:t>
      </w:r>
    </w:p>
    <w:p>
      <w:pPr>
        <w:spacing w:after="0" w:line="150" w:lineRule="exact"/>
        <w:rPr>
          <w:rFonts w:ascii="Arial" w:cs="Arial" w:eastAsia="Arial" w:hAnsi="Arial"/>
          <w:sz w:val="16"/>
          <w:szCs w:val="16"/>
          <w:color w:val="auto"/>
        </w:rPr>
      </w:pPr>
    </w:p>
    <w:p>
      <w:pPr>
        <w:ind w:firstLine="583"/>
        <w:spacing w:after="0" w:line="281" w:lineRule="auto"/>
        <w:tabs>
          <w:tab w:leader="none" w:pos="12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and its affiliates have not taken, directly or indirectly, any action designed to or that has constituted or that could reasonably be expected to cause or result in the stabilization or manipulation of the price of any security of the Company in connection with the offering of the Shares.</w:t>
      </w:r>
    </w:p>
    <w:p>
      <w:pPr>
        <w:spacing w:after="0" w:line="150" w:lineRule="exact"/>
        <w:rPr>
          <w:rFonts w:ascii="Arial" w:cs="Arial" w:eastAsia="Arial" w:hAnsi="Arial"/>
          <w:sz w:val="16"/>
          <w:szCs w:val="16"/>
          <w:color w:val="auto"/>
        </w:rPr>
      </w:pPr>
    </w:p>
    <w:p>
      <w:pPr>
        <w:jc w:val="both"/>
        <w:ind w:firstLine="583"/>
        <w:spacing w:after="0" w:line="285" w:lineRule="auto"/>
        <w:tabs>
          <w:tab w:leader="none" w:pos="131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Assuming the Underwriters have not offered the Shares or otherwise engaged in solicitation, advertising or any other action constituting an offer to the public under the Israeli Securities Law 5728-1968, as amended, (the “</w:t>
      </w:r>
      <w:r>
        <w:rPr>
          <w:rFonts w:ascii="Arial" w:cs="Arial" w:eastAsia="Arial" w:hAnsi="Arial"/>
          <w:sz w:val="15"/>
          <w:szCs w:val="15"/>
          <w:b w:val="1"/>
          <w:bCs w:val="1"/>
          <w:i w:val="1"/>
          <w:iCs w:val="1"/>
          <w:color w:val="auto"/>
        </w:rPr>
        <w:t>Israeli Securities Law</w:t>
      </w:r>
      <w:r>
        <w:rPr>
          <w:rFonts w:ascii="Arial" w:cs="Arial" w:eastAsia="Arial" w:hAnsi="Arial"/>
          <w:sz w:val="15"/>
          <w:szCs w:val="15"/>
          <w:color w:val="auto"/>
        </w:rPr>
        <w:t>”) in Israel, the Company has not engaged in any form of solicitation, advertising or any other action constituting an offer under the under the Israeli Securities Law, and the regulations promulgated thereunder, in connection with the transactions contemplated hereby which would require the Company to publish a prospectus in the State of Israel under the laws of the State of Israel.</w:t>
      </w:r>
    </w:p>
    <w:p>
      <w:pPr>
        <w:spacing w:after="0" w:line="149" w:lineRule="exact"/>
        <w:rPr>
          <w:rFonts w:ascii="Arial" w:cs="Arial" w:eastAsia="Arial" w:hAnsi="Arial"/>
          <w:sz w:val="15"/>
          <w:szCs w:val="15"/>
          <w:color w:val="auto"/>
        </w:rPr>
      </w:pPr>
    </w:p>
    <w:p>
      <w:pPr>
        <w:ind w:left="1220" w:hanging="637"/>
        <w:spacing w:after="0"/>
        <w:tabs>
          <w:tab w:leader="none" w:pos="1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Shares have been approved for listing, subject to official notice of issuance and evidence of satisfactory distribution on, The NASDAQ Global Market.</w:t>
      </w:r>
    </w:p>
    <w:p>
      <w:pPr>
        <w:spacing w:after="0" w:line="226" w:lineRule="exact"/>
        <w:rPr>
          <w:rFonts w:ascii="Arial" w:cs="Arial" w:eastAsia="Arial" w:hAnsi="Arial"/>
          <w:sz w:val="14"/>
          <w:szCs w:val="14"/>
          <w:color w:val="auto"/>
        </w:rPr>
      </w:pPr>
    </w:p>
    <w:p>
      <w:pPr>
        <w:jc w:val="both"/>
        <w:ind w:firstLine="583"/>
        <w:spacing w:after="0" w:line="292" w:lineRule="auto"/>
        <w:tabs>
          <w:tab w:leader="none" w:pos="1288"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Company has not distributed and, prior to the later to occur of any Delivery Date and completion of the distribution of the Shares, will not distribute any offering material in connection with the offering and sale of the Shares other than any Preliminary Prospectus, the Prospectus, any Issuer Free Writing Prospectus to which the Representatives have consented in accordance with Section 1(j) or 5(a)(vi) and any Issuer Free Writing Prospectus set forth on Schedule V hereto.</w:t>
      </w:r>
    </w:p>
    <w:p>
      <w:pPr>
        <w:spacing w:after="0" w:line="145" w:lineRule="exact"/>
        <w:rPr>
          <w:rFonts w:ascii="Arial" w:cs="Arial" w:eastAsia="Arial" w:hAnsi="Arial"/>
          <w:sz w:val="15"/>
          <w:szCs w:val="15"/>
          <w:color w:val="auto"/>
        </w:rPr>
      </w:pPr>
    </w:p>
    <w:p>
      <w:pPr>
        <w:jc w:val="both"/>
        <w:ind w:firstLine="583"/>
        <w:spacing w:after="0" w:line="292" w:lineRule="auto"/>
        <w:tabs>
          <w:tab w:leader="none" w:pos="1277" w:val="left"/>
        </w:tabs>
        <w:numPr>
          <w:ilvl w:val="0"/>
          <w:numId w:val="21"/>
        </w:numPr>
        <w:rPr>
          <w:rFonts w:ascii="Arial" w:cs="Arial" w:eastAsia="Arial" w:hAnsi="Arial"/>
          <w:sz w:val="15"/>
          <w:szCs w:val="15"/>
          <w:color w:val="auto"/>
        </w:rPr>
      </w:pPr>
      <w:r>
        <w:rPr>
          <w:rFonts w:ascii="Arial" w:cs="Arial" w:eastAsia="Arial" w:hAnsi="Arial"/>
          <w:sz w:val="15"/>
          <w:szCs w:val="15"/>
          <w:color w:val="auto"/>
        </w:rPr>
        <w:t>Neither the Company nor any subsidiary is in violation of or has received notice of any violation with respect to any Israeli, federal or state law relating to discrimination in the hiring, promotion or pay of employees, nor any applicable Israeli, federal or state wage and hour laws, nor any state law precluding the denial of credit due to the neighborhood in which a property is situated, the violation of any of which could reasonably be expected to have a Material Adverse Effect.</w:t>
      </w:r>
    </w:p>
    <w:p>
      <w:pPr>
        <w:spacing w:after="0" w:line="145" w:lineRule="exact"/>
        <w:rPr>
          <w:rFonts w:ascii="Arial" w:cs="Arial" w:eastAsia="Arial" w:hAnsi="Arial"/>
          <w:sz w:val="15"/>
          <w:szCs w:val="15"/>
          <w:color w:val="auto"/>
        </w:rPr>
      </w:pPr>
    </w:p>
    <w:p>
      <w:pPr>
        <w:jc w:val="both"/>
        <w:ind w:firstLine="583"/>
        <w:spacing w:after="0" w:line="297" w:lineRule="auto"/>
        <w:tabs>
          <w:tab w:leader="none" w:pos="12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Neither the Company nor any of its subsidiaries, nor, to the knowledge of the Company, any director, officer, agent, employee or other person acting on behalf of the Company or any of its subsidiaries, has in the course of its actions for, or on behalf of, the Company or any of its subsidiaries: (i) used any corporate funds for any unlawful contribution, gift, entertainment or other unlawful expense relating to political activity; (ii) made any direct or indirect unlawful payment to any foreign or domestic government official, “foreign official” (as defined in the U.S. Foreign Corrupt Practices Act of 1977, as amended, and the rules and regulations thereunder (collectively, the “</w:t>
      </w:r>
      <w:r>
        <w:rPr>
          <w:rFonts w:ascii="Arial" w:cs="Arial" w:eastAsia="Arial" w:hAnsi="Arial"/>
          <w:sz w:val="14"/>
          <w:szCs w:val="14"/>
          <w:b w:val="1"/>
          <w:bCs w:val="1"/>
          <w:i w:val="1"/>
          <w:iCs w:val="1"/>
          <w:color w:val="auto"/>
        </w:rPr>
        <w:t>FCPA</w:t>
      </w:r>
      <w:r>
        <w:rPr>
          <w:rFonts w:ascii="Arial" w:cs="Arial" w:eastAsia="Arial" w:hAnsi="Arial"/>
          <w:sz w:val="14"/>
          <w:szCs w:val="14"/>
          <w:color w:val="auto"/>
        </w:rPr>
        <w:t>”)) or employee from corporate funds; (iii) violated or is in violation of any provision of the FCPA, Section 291 and 291A of the Israeli Penal Law 5733-1973, the U.K. Bribery Act 2010, as amended, or any other applicable anti-bribery statute or regulation; or (iv) made any bribe, rebate, payoff, influence payment, kickback or other unlawful payment to any domestic government official, foreign official or employee; and the Company and its subsidiaries and the Company's controlled affiliates have conducted their respective businesses in compliance with the FCPA, Sections 291 and 291A of the Israeli Penal Law 5733-1973, U.K. Bribery Act 2010, and all other applicable anti-bribery statutes and regulations, and have instituted and maintain policies and procedures designed to promote continued compliance therewith.</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8" w:name="page19"/>
    <w:bookmarkEnd w:id="18"/>
    <w:p>
      <w:pPr>
        <w:jc w:val="both"/>
        <w:ind w:firstLine="583"/>
        <w:spacing w:after="0" w:line="281" w:lineRule="auto"/>
        <w:tabs>
          <w:tab w:leader="none" w:pos="1284"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Arial" w:cs="Arial" w:eastAsia="Arial" w:hAnsi="Arial"/>
          <w:sz w:val="15"/>
          <w:szCs w:val="15"/>
          <w:b w:val="1"/>
          <w:bCs w:val="1"/>
          <w:i w:val="1"/>
          <w:iCs w:val="1"/>
          <w:color w:val="auto"/>
        </w:rPr>
        <w:t>Money</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Laundering Laws</w:t>
      </w:r>
      <w:r>
        <w:rPr>
          <w:rFonts w:ascii="Arial" w:cs="Arial" w:eastAsia="Arial" w:hAnsi="Arial"/>
          <w:sz w:val="15"/>
          <w:szCs w:val="15"/>
          <w:color w:val="auto"/>
        </w:rPr>
        <w:t>”) and no action, suit or proceeding by or before any court or governmental agency, authority or body or any arbitrator involving the Company or any of 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subsidiaries with respect to the Money Laundering Laws is pending or, to the knowledge of the Company, threatened.</w:t>
      </w:r>
    </w:p>
    <w:p>
      <w:pPr>
        <w:spacing w:after="0" w:line="153" w:lineRule="exact"/>
        <w:rPr>
          <w:sz w:val="20"/>
          <w:szCs w:val="20"/>
          <w:color w:val="auto"/>
        </w:rPr>
      </w:pPr>
    </w:p>
    <w:p>
      <w:pPr>
        <w:jc w:val="both"/>
        <w:ind w:firstLine="583"/>
        <w:spacing w:after="0" w:line="274" w:lineRule="auto"/>
        <w:tabs>
          <w:tab w:leader="none" w:pos="1266" w:val="left"/>
        </w:tabs>
        <w:numPr>
          <w:ilvl w:val="0"/>
          <w:numId w:val="23"/>
        </w:numPr>
        <w:rPr>
          <w:rFonts w:ascii="Arial" w:cs="Arial" w:eastAsia="Arial" w:hAnsi="Arial"/>
          <w:sz w:val="15"/>
          <w:szCs w:val="15"/>
          <w:color w:val="auto"/>
        </w:rPr>
      </w:pPr>
      <w:r>
        <w:rPr>
          <w:rFonts w:ascii="Arial" w:cs="Arial" w:eastAsia="Arial" w:hAnsi="Arial"/>
          <w:sz w:val="15"/>
          <w:szCs w:val="15"/>
          <w:color w:val="auto"/>
        </w:rPr>
        <w:t>Neither the Company nor any of its subsidiaries nor, to the knowledge of the Company, any director, officer, agent, employee or controlled affiliate of the Company or any of its subsidiaries is (i) currently subject to any sanctions administered by the Office of Foreign Assets Control of the U.S. Treasury Department (“</w:t>
      </w:r>
      <w:r>
        <w:rPr>
          <w:rFonts w:ascii="Arial" w:cs="Arial" w:eastAsia="Arial" w:hAnsi="Arial"/>
          <w:sz w:val="15"/>
          <w:szCs w:val="15"/>
          <w:b w:val="1"/>
          <w:bCs w:val="1"/>
          <w:i w:val="1"/>
          <w:iCs w:val="1"/>
          <w:color w:val="auto"/>
        </w:rPr>
        <w:t>OFAC</w:t>
      </w:r>
      <w:r>
        <w:rPr>
          <w:rFonts w:ascii="Arial" w:cs="Arial" w:eastAsia="Arial" w:hAnsi="Arial"/>
          <w:sz w:val="15"/>
          <w:szCs w:val="15"/>
          <w:color w:val="auto"/>
        </w:rPr>
        <w:t>”), the U.S. Department of State, the United Nations Security Council (“</w:t>
      </w:r>
      <w:r>
        <w:rPr>
          <w:rFonts w:ascii="Arial" w:cs="Arial" w:eastAsia="Arial" w:hAnsi="Arial"/>
          <w:sz w:val="15"/>
          <w:szCs w:val="15"/>
          <w:b w:val="1"/>
          <w:bCs w:val="1"/>
          <w:i w:val="1"/>
          <w:iCs w:val="1"/>
          <w:color w:val="auto"/>
        </w:rPr>
        <w:t>UNSC</w:t>
      </w:r>
      <w:r>
        <w:rPr>
          <w:rFonts w:ascii="Arial" w:cs="Arial" w:eastAsia="Arial" w:hAnsi="Arial"/>
          <w:sz w:val="15"/>
          <w:szCs w:val="15"/>
          <w:color w:val="auto"/>
        </w:rPr>
        <w:t>”), the European Union (“</w:t>
      </w:r>
      <w:r>
        <w:rPr>
          <w:rFonts w:ascii="Arial" w:cs="Arial" w:eastAsia="Arial" w:hAnsi="Arial"/>
          <w:sz w:val="15"/>
          <w:szCs w:val="15"/>
          <w:b w:val="1"/>
          <w:bCs w:val="1"/>
          <w:i w:val="1"/>
          <w:iCs w:val="1"/>
          <w:color w:val="auto"/>
        </w:rPr>
        <w:t>EU</w:t>
      </w:r>
      <w:r>
        <w:rPr>
          <w:rFonts w:ascii="Arial" w:cs="Arial" w:eastAsia="Arial" w:hAnsi="Arial"/>
          <w:sz w:val="15"/>
          <w:szCs w:val="15"/>
          <w:color w:val="auto"/>
        </w:rPr>
        <w:t>”), Her Majesty’s Treasury (“</w:t>
      </w:r>
      <w:r>
        <w:rPr>
          <w:rFonts w:ascii="Arial" w:cs="Arial" w:eastAsia="Arial" w:hAnsi="Arial"/>
          <w:sz w:val="15"/>
          <w:szCs w:val="15"/>
          <w:b w:val="1"/>
          <w:bCs w:val="1"/>
          <w:i w:val="1"/>
          <w:iCs w:val="1"/>
          <w:color w:val="auto"/>
        </w:rPr>
        <w:t>HMT</w:t>
      </w:r>
      <w:r>
        <w:rPr>
          <w:rFonts w:ascii="Arial" w:cs="Arial" w:eastAsia="Arial" w:hAnsi="Arial"/>
          <w:sz w:val="15"/>
          <w:szCs w:val="15"/>
          <w:color w:val="auto"/>
        </w:rPr>
        <w:t>”), or other relevant sanctions authority (collectively, “</w:t>
      </w:r>
      <w:r>
        <w:rPr>
          <w:rFonts w:ascii="Arial" w:cs="Arial" w:eastAsia="Arial" w:hAnsi="Arial"/>
          <w:sz w:val="15"/>
          <w:szCs w:val="15"/>
          <w:b w:val="1"/>
          <w:bCs w:val="1"/>
          <w:i w:val="1"/>
          <w:iCs w:val="1"/>
          <w:color w:val="auto"/>
        </w:rPr>
        <w:t>Sanctions</w:t>
      </w:r>
      <w:r>
        <w:rPr>
          <w:rFonts w:ascii="Arial" w:cs="Arial" w:eastAsia="Arial" w:hAnsi="Arial"/>
          <w:sz w:val="15"/>
          <w:szCs w:val="15"/>
          <w:color w:val="auto"/>
        </w:rPr>
        <w:t>”); or (ii) located, organized or ordinarily resident in a country that is the subject of comprehensive country-wide Sanctions (including, without limitation, Cuba, Iran, North Korea, Sudan, and Syria); and the Company will not directly or indirectly use the proceeds of the offering, or lend, contribute or otherwise make available such proceeds to any subsidiary, joint venture partner or other person or entity, for the purpose of financing the activities of any person that is the target of Sanctions, or in any country or territory that currently is the subject or target of comprehensive country-wide Sanctions or in any other manner that will result in a violation by any person (including any person participating in the transaction whether as an underwriter, advisor, investor or otherwise) of Sanctions. The Company and its subsidiaries have not knowingly engaged in for the past five years, are not now knowingly engaged in, and will not engage in, any dealings or transactions with any individual or entity that at the time of the dealing or transaction is or was the subject or target of Sanctions or in any country or territory that at the time of the dealing or transaction is or was the subject or target of comprehensive Sanctions, in violation of applicable Sanctions.</w:t>
      </w:r>
    </w:p>
    <w:p>
      <w:pPr>
        <w:spacing w:after="0" w:line="159" w:lineRule="exact"/>
        <w:rPr>
          <w:rFonts w:ascii="Arial" w:cs="Arial" w:eastAsia="Arial" w:hAnsi="Arial"/>
          <w:sz w:val="15"/>
          <w:szCs w:val="15"/>
          <w:color w:val="auto"/>
        </w:rPr>
      </w:pPr>
    </w:p>
    <w:p>
      <w:pPr>
        <w:ind w:firstLine="583"/>
        <w:spacing w:after="0" w:line="281" w:lineRule="auto"/>
        <w:tabs>
          <w:tab w:leader="none" w:pos="12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Except as described in the most recent Preliminary Prospectus, no approvals are currently required in the State of Israel in order for the Company to pay dividends or other distributions declared by the Company to the holders of Underlying Securities, including the Depositary.</w:t>
      </w:r>
    </w:p>
    <w:p>
      <w:pPr>
        <w:spacing w:after="0" w:line="150" w:lineRule="exact"/>
        <w:rPr>
          <w:rFonts w:ascii="Arial" w:cs="Arial" w:eastAsia="Arial" w:hAnsi="Arial"/>
          <w:sz w:val="16"/>
          <w:szCs w:val="16"/>
          <w:color w:val="auto"/>
        </w:rPr>
      </w:pPr>
    </w:p>
    <w:p>
      <w:pPr>
        <w:jc w:val="both"/>
        <w:ind w:firstLine="583"/>
        <w:spacing w:after="0" w:line="262" w:lineRule="auto"/>
        <w:tabs>
          <w:tab w:leader="none" w:pos="1237"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Subject to the qualifications and assumptions set forth in the Pricing Disclosure Package, the Registration Statement and the Prospectus, the Company does not believe it was, for its most recently completed taxable year, a “passive foreign investment company” (as defined in Section 1297 of the Code, and the regulations promulgated thereunder). Based on the Company’s current projected income, assets and activities, the Company does not expect to be classified as a “passive foreign investment company” for the taxable year starting on January 1, 2015 or for any foreseeable subsequent taxable year.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9" w:name="page20"/>
    <w:bookmarkEnd w:id="19"/>
    <w:p>
      <w:pPr>
        <w:jc w:val="both"/>
        <w:ind w:firstLine="583"/>
        <w:spacing w:after="0" w:line="267" w:lineRule="auto"/>
        <w:tabs>
          <w:tab w:leader="none" w:pos="1251"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Assuming that the Underwriters are not otherwise subject to taxation in the State of Israel, none of the issuance, delivery and sale of the Shares by the Company or the execution and delivery of this Agreement will be subject to any tax (including interest and penalties) imposed on the Underwriters by the State of Israel or any political subdivision thereof whether imposed directly or through withholding.</w:t>
      </w:r>
    </w:p>
    <w:p>
      <w:pPr>
        <w:spacing w:after="0" w:line="161" w:lineRule="exact"/>
        <w:rPr>
          <w:rFonts w:ascii="Arial" w:cs="Arial" w:eastAsia="Arial" w:hAnsi="Arial"/>
          <w:sz w:val="16"/>
          <w:szCs w:val="16"/>
          <w:color w:val="auto"/>
        </w:rPr>
      </w:pPr>
    </w:p>
    <w:p>
      <w:pPr>
        <w:ind w:firstLine="583"/>
        <w:spacing w:after="0" w:line="316" w:lineRule="auto"/>
        <w:tabs>
          <w:tab w:leader="none" w:pos="1189" w:val="left"/>
        </w:tabs>
        <w:numPr>
          <w:ilvl w:val="0"/>
          <w:numId w:val="24"/>
        </w:numPr>
        <w:rPr>
          <w:rFonts w:ascii="Arial" w:cs="Arial" w:eastAsia="Arial" w:hAnsi="Arial"/>
          <w:sz w:val="15"/>
          <w:szCs w:val="15"/>
          <w:color w:val="auto"/>
        </w:rPr>
      </w:pPr>
      <w:r>
        <w:rPr>
          <w:rFonts w:ascii="Arial" w:cs="Arial" w:eastAsia="Arial" w:hAnsi="Arial"/>
          <w:sz w:val="15"/>
          <w:szCs w:val="15"/>
          <w:color w:val="auto"/>
        </w:rPr>
        <w:t>Neither the Company, any of its subsidiaries nor any of its properties or assets has any immunity from the jurisdiction of any court or from any legal process (whether through service or notice, attachment to prior judgment, attachment in aid of execution or otherwise) under the laws of the State of Israel.</w:t>
      </w:r>
    </w:p>
    <w:p>
      <w:pPr>
        <w:spacing w:after="0" w:line="127" w:lineRule="exact"/>
        <w:rPr>
          <w:rFonts w:ascii="Arial" w:cs="Arial" w:eastAsia="Arial" w:hAnsi="Arial"/>
          <w:sz w:val="15"/>
          <w:szCs w:val="15"/>
          <w:color w:val="auto"/>
        </w:rPr>
      </w:pPr>
    </w:p>
    <w:p>
      <w:pPr>
        <w:jc w:val="both"/>
        <w:ind w:firstLine="583"/>
        <w:spacing w:after="0" w:line="322" w:lineRule="auto"/>
        <w:tabs>
          <w:tab w:leader="none" w:pos="1383"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Except as disclosed in the Pricing Disclosure Package and the Prospectus, for a period of twelve months prior to and including the date hereof, the Company has not offered or sold any of its securities in Israel except under the employee benefit plans, qualified share option plans or other equity compensation plans or arrangements existing on the date hereof, including the exercise of options granted under such plans, and disclosed in the Pricing Disclosure Package and the Prospectus.</w:t>
      </w:r>
    </w:p>
    <w:p>
      <w:pPr>
        <w:spacing w:after="0" w:line="127" w:lineRule="exact"/>
        <w:rPr>
          <w:rFonts w:ascii="Arial" w:cs="Arial" w:eastAsia="Arial" w:hAnsi="Arial"/>
          <w:sz w:val="14"/>
          <w:szCs w:val="14"/>
          <w:color w:val="auto"/>
        </w:rPr>
      </w:pPr>
    </w:p>
    <w:p>
      <w:pPr>
        <w:ind w:left="1180" w:hanging="597"/>
        <w:spacing w:after="0"/>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qualifies as a “foreign private issuer” within the meaning of Rule 405 under the Act.</w:t>
      </w:r>
    </w:p>
    <w:p>
      <w:pPr>
        <w:spacing w:after="0" w:line="203" w:lineRule="exact"/>
        <w:rPr>
          <w:rFonts w:ascii="Arial" w:cs="Arial" w:eastAsia="Arial" w:hAnsi="Arial"/>
          <w:sz w:val="16"/>
          <w:szCs w:val="16"/>
          <w:color w:val="auto"/>
        </w:rPr>
      </w:pPr>
    </w:p>
    <w:p>
      <w:pPr>
        <w:ind w:left="1180" w:hanging="597"/>
        <w:spacing w:after="0"/>
        <w:tabs>
          <w:tab w:leader="none" w:pos="11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Company has duly designated Kornit Digital North America, Inc. as its authorized agent to receive service of process as set forth in Section 19.</w:t>
      </w:r>
    </w:p>
    <w:p>
      <w:pPr>
        <w:spacing w:after="0" w:line="21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Any certificate signed by any officer of the Company and delivered to the Representatives or counsel for the Underwriters pursuant to this Agreement in connection with the offering of the Shares shall be deemed a representation and warranty by the Company, as to matters covered thereby, to each Underwriter.</w:t>
      </w:r>
    </w:p>
    <w:p>
      <w:pPr>
        <w:spacing w:after="0" w:line="151" w:lineRule="exact"/>
        <w:rPr>
          <w:sz w:val="20"/>
          <w:szCs w:val="20"/>
          <w:color w:val="auto"/>
        </w:rPr>
      </w:pPr>
    </w:p>
    <w:p>
      <w:pPr>
        <w:jc w:val="both"/>
        <w:ind w:firstLine="1164"/>
        <w:spacing w:after="0" w:line="285" w:lineRule="auto"/>
        <w:tabs>
          <w:tab w:leader="none" w:pos="1700" w:val="left"/>
        </w:tabs>
        <w:numPr>
          <w:ilvl w:val="0"/>
          <w:numId w:val="25"/>
        </w:numPr>
        <w:rPr>
          <w:rFonts w:ascii="Arial" w:cs="Arial" w:eastAsia="Arial" w:hAnsi="Arial"/>
          <w:sz w:val="15"/>
          <w:szCs w:val="15"/>
          <w:color w:val="auto"/>
        </w:rPr>
      </w:pPr>
      <w:r>
        <w:rPr>
          <w:rFonts w:ascii="Arial" w:cs="Arial" w:eastAsia="Arial" w:hAnsi="Arial"/>
          <w:sz w:val="15"/>
          <w:szCs w:val="15"/>
          <w:i w:val="1"/>
          <w:iCs w:val="1"/>
          <w:color w:val="auto"/>
        </w:rPr>
        <w:t xml:space="preserve">Purchase of the Shares by the Underwriters. </w:t>
      </w:r>
      <w:r>
        <w:rPr>
          <w:rFonts w:ascii="Arial" w:cs="Arial" w:eastAsia="Arial" w:hAnsi="Arial"/>
          <w:sz w:val="15"/>
          <w:szCs w:val="15"/>
          <w:color w:val="auto"/>
        </w:rPr>
        <w:t>On the basis of the representations, warranties and covenants contained in, and subject to the terms and</w:t>
      </w:r>
      <w:r>
        <w:rPr>
          <w:rFonts w:ascii="Arial" w:cs="Arial" w:eastAsia="Arial" w:hAnsi="Arial"/>
          <w:sz w:val="15"/>
          <w:szCs w:val="15"/>
          <w:i w:val="1"/>
          <w:iCs w:val="1"/>
          <w:color w:val="auto"/>
        </w:rPr>
        <w:t xml:space="preserve"> </w:t>
      </w:r>
      <w:r>
        <w:rPr>
          <w:rFonts w:ascii="Arial" w:cs="Arial" w:eastAsia="Arial" w:hAnsi="Arial"/>
          <w:sz w:val="15"/>
          <w:szCs w:val="15"/>
          <w:color w:val="auto"/>
        </w:rPr>
        <w:t>conditions of, this Agreement, the Company agrees to sell [●] Firm Shares to the several Underwriters, and each of the Underwriters, severally and not jointly, agrees to purchase the number of Firm Shares set forth opposite that Underwriter’s name in Schedule I hereto. The respective purchase obligations of the Underwriters with respect to the Firm Shares shall be rounded among the Underwriters to avoid fractional shares, as the Representatives may determine.</w:t>
      </w:r>
    </w:p>
    <w:p>
      <w:pPr>
        <w:spacing w:after="0" w:line="150" w:lineRule="exact"/>
        <w:rPr>
          <w:sz w:val="20"/>
          <w:szCs w:val="20"/>
          <w:color w:val="auto"/>
        </w:rPr>
      </w:pPr>
    </w:p>
    <w:p>
      <w:pPr>
        <w:jc w:val="both"/>
        <w:ind w:firstLine="1163"/>
        <w:spacing w:after="0" w:line="259" w:lineRule="auto"/>
        <w:rPr>
          <w:sz w:val="20"/>
          <w:szCs w:val="20"/>
          <w:color w:val="auto"/>
        </w:rPr>
      </w:pPr>
      <w:r>
        <w:rPr>
          <w:rFonts w:ascii="Arial" w:cs="Arial" w:eastAsia="Arial" w:hAnsi="Arial"/>
          <w:sz w:val="16"/>
          <w:szCs w:val="16"/>
          <w:color w:val="auto"/>
        </w:rPr>
        <w:t>In addition, the Company grants to the Underwriters an option to purchase up to [●] additional Option Shares. Any such election to purchase Option Shares shall be made in proportion to the maximum number of Option Shares to be sold by the Company. Each Underwriter agrees, severally and not jointly, to purchase the number of Option Shares (subject to such adjustments to eliminate fractional shares as the Representatives may determine) that bears the same proportion to the total number of Option Shares to be sold on such Delivery Date as the number of Firm Shares set forth in Schedule I hereto opposite the name of such Underwriter bears to the total number of Firm Shares.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0" w:name="page21"/>
    <w:bookmarkEnd w:id="20"/>
    <w:p>
      <w:pPr>
        <w:ind w:left="1160"/>
        <w:spacing w:after="0"/>
        <w:rPr>
          <w:sz w:val="20"/>
          <w:szCs w:val="20"/>
          <w:color w:val="auto"/>
        </w:rPr>
      </w:pPr>
      <w:r>
        <w:rPr>
          <w:rFonts w:ascii="Arial" w:cs="Arial" w:eastAsia="Arial" w:hAnsi="Arial"/>
          <w:sz w:val="16"/>
          <w:szCs w:val="16"/>
          <w:color w:val="auto"/>
        </w:rPr>
        <w:t>The purchase price payable by the Underwriters for both the Firm Shares and any Option Shares is $[●] per share.</w:t>
      </w:r>
    </w:p>
    <w:p>
      <w:pPr>
        <w:spacing w:after="0" w:line="204" w:lineRule="exact"/>
        <w:rPr>
          <w:sz w:val="20"/>
          <w:szCs w:val="20"/>
          <w:color w:val="auto"/>
        </w:rPr>
      </w:pPr>
    </w:p>
    <w:p>
      <w:pPr>
        <w:ind w:firstLine="1163"/>
        <w:spacing w:after="0" w:line="281" w:lineRule="auto"/>
        <w:rPr>
          <w:sz w:val="20"/>
          <w:szCs w:val="20"/>
          <w:color w:val="auto"/>
        </w:rPr>
      </w:pPr>
      <w:r>
        <w:rPr>
          <w:rFonts w:ascii="Arial" w:cs="Arial" w:eastAsia="Arial" w:hAnsi="Arial"/>
          <w:sz w:val="16"/>
          <w:szCs w:val="16"/>
          <w:color w:val="auto"/>
        </w:rPr>
        <w:t>The Company is not obligated to deliver any of the Firm Shares or Option Shares to be delivered on the applicable Delivery Date, except upon payment for all such Shares to be purchased on such Delivery Date as provided herein.</w:t>
      </w:r>
    </w:p>
    <w:p>
      <w:pPr>
        <w:spacing w:after="0" w:line="151" w:lineRule="exact"/>
        <w:rPr>
          <w:sz w:val="20"/>
          <w:szCs w:val="20"/>
          <w:color w:val="auto"/>
        </w:rPr>
      </w:pPr>
    </w:p>
    <w:p>
      <w:pPr>
        <w:ind w:firstLine="1164"/>
        <w:spacing w:after="0" w:line="281" w:lineRule="auto"/>
        <w:tabs>
          <w:tab w:leader="none" w:pos="1833"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Offering of Shares by the Underwriters</w:t>
      </w:r>
      <w:r>
        <w:rPr>
          <w:rFonts w:ascii="Arial" w:cs="Arial" w:eastAsia="Arial" w:hAnsi="Arial"/>
          <w:sz w:val="16"/>
          <w:szCs w:val="16"/>
          <w:color w:val="auto"/>
        </w:rPr>
        <w:t>. Upon authorization by the Representatives of the release of the Firm Shares, the several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propose to offer the Firm Shares for sale upon the terms and conditions to be set forth in the Prospectus.</w:t>
      </w:r>
    </w:p>
    <w:p>
      <w:pPr>
        <w:spacing w:after="0" w:line="150" w:lineRule="exact"/>
        <w:rPr>
          <w:rFonts w:ascii="Arial" w:cs="Arial" w:eastAsia="Arial" w:hAnsi="Arial"/>
          <w:sz w:val="16"/>
          <w:szCs w:val="16"/>
          <w:color w:val="auto"/>
        </w:rPr>
      </w:pPr>
    </w:p>
    <w:p>
      <w:pPr>
        <w:jc w:val="both"/>
        <w:ind w:firstLine="1164"/>
        <w:spacing w:after="0" w:line="277" w:lineRule="auto"/>
        <w:tabs>
          <w:tab w:leader="none" w:pos="1687" w:val="left"/>
        </w:tabs>
        <w:numPr>
          <w:ilvl w:val="0"/>
          <w:numId w:val="26"/>
        </w:numPr>
        <w:rPr>
          <w:rFonts w:ascii="Arial" w:cs="Arial" w:eastAsia="Arial" w:hAnsi="Arial"/>
          <w:sz w:val="15"/>
          <w:szCs w:val="15"/>
          <w:color w:val="auto"/>
        </w:rPr>
      </w:pPr>
      <w:r>
        <w:rPr>
          <w:rFonts w:ascii="Arial" w:cs="Arial" w:eastAsia="Arial" w:hAnsi="Arial"/>
          <w:sz w:val="15"/>
          <w:szCs w:val="15"/>
          <w:i w:val="1"/>
          <w:iCs w:val="1"/>
          <w:color w:val="auto"/>
        </w:rPr>
        <w:t xml:space="preserve">Delivery of and Payment for the Shares. </w:t>
      </w:r>
      <w:r>
        <w:rPr>
          <w:rFonts w:ascii="Arial" w:cs="Arial" w:eastAsia="Arial" w:hAnsi="Arial"/>
          <w:sz w:val="15"/>
          <w:szCs w:val="15"/>
          <w:color w:val="auto"/>
        </w:rPr>
        <w:t>Delivery of and payment for the Firm Shares shall be made at 10:00 A.M., New York City time, on the third</w:t>
      </w:r>
      <w:r>
        <w:rPr>
          <w:rFonts w:ascii="Arial" w:cs="Arial" w:eastAsia="Arial" w:hAnsi="Arial"/>
          <w:sz w:val="15"/>
          <w:szCs w:val="15"/>
          <w:i w:val="1"/>
          <w:iCs w:val="1"/>
          <w:color w:val="auto"/>
        </w:rPr>
        <w:t xml:space="preserve"> </w:t>
      </w:r>
      <w:r>
        <w:rPr>
          <w:rFonts w:ascii="Arial" w:cs="Arial" w:eastAsia="Arial" w:hAnsi="Arial"/>
          <w:sz w:val="15"/>
          <w:szCs w:val="15"/>
          <w:color w:val="auto"/>
        </w:rPr>
        <w:t>full business day following the date of this Agreement or at such other date or place as shall be determined by agreement between the Representatives and the Company. This date and time are sometimes referred to as the “</w:t>
      </w:r>
      <w:r>
        <w:rPr>
          <w:rFonts w:ascii="Arial" w:cs="Arial" w:eastAsia="Arial" w:hAnsi="Arial"/>
          <w:sz w:val="15"/>
          <w:szCs w:val="15"/>
          <w:b w:val="1"/>
          <w:bCs w:val="1"/>
          <w:i w:val="1"/>
          <w:iCs w:val="1"/>
          <w:color w:val="auto"/>
        </w:rPr>
        <w:t>Initial Delivery Date</w:t>
      </w:r>
      <w:r>
        <w:rPr>
          <w:rFonts w:ascii="Arial" w:cs="Arial" w:eastAsia="Arial" w:hAnsi="Arial"/>
          <w:sz w:val="15"/>
          <w:szCs w:val="15"/>
          <w:color w:val="auto"/>
        </w:rPr>
        <w:t>”. Delivery of the Firm Shares shall be made to the Representatives for the account of each Underwriter against payment by the several Underwriters through the Representatives and of the respective aggregate purchase prices of the Firm Shares being sold by the Company to or upon the order of the Company of the purchase price by wire transfer in immediately available funds to the accounts specified by the Company. Time shall be of the essence, and delivery at the time and place specified pursuant to this Agreement is a further condition of the obligation of each Underwriter hereunder. The Company shall deliver the Firm Shares through the facilities of the Depository Trust Company (“</w:t>
      </w:r>
      <w:r>
        <w:rPr>
          <w:rFonts w:ascii="Arial" w:cs="Arial" w:eastAsia="Arial" w:hAnsi="Arial"/>
          <w:sz w:val="15"/>
          <w:szCs w:val="15"/>
          <w:b w:val="1"/>
          <w:bCs w:val="1"/>
          <w:i w:val="1"/>
          <w:iCs w:val="1"/>
          <w:color w:val="auto"/>
        </w:rPr>
        <w:t>DTC</w:t>
      </w:r>
      <w:r>
        <w:rPr>
          <w:rFonts w:ascii="Arial" w:cs="Arial" w:eastAsia="Arial" w:hAnsi="Arial"/>
          <w:sz w:val="15"/>
          <w:szCs w:val="15"/>
          <w:color w:val="auto"/>
        </w:rPr>
        <w:t>”) unless the Representatives shall otherwise instruct.</w:t>
      </w:r>
    </w:p>
    <w:p>
      <w:pPr>
        <w:spacing w:after="0" w:line="157" w:lineRule="exact"/>
        <w:rPr>
          <w:sz w:val="20"/>
          <w:szCs w:val="20"/>
          <w:color w:val="auto"/>
        </w:rPr>
      </w:pPr>
    </w:p>
    <w:p>
      <w:pPr>
        <w:jc w:val="both"/>
        <w:ind w:firstLine="1163"/>
        <w:spacing w:after="0" w:line="256" w:lineRule="auto"/>
        <w:rPr>
          <w:sz w:val="20"/>
          <w:szCs w:val="20"/>
          <w:color w:val="auto"/>
        </w:rPr>
      </w:pPr>
      <w:r>
        <w:rPr>
          <w:rFonts w:ascii="Arial" w:cs="Arial" w:eastAsia="Arial" w:hAnsi="Arial"/>
          <w:sz w:val="16"/>
          <w:szCs w:val="16"/>
          <w:color w:val="auto"/>
        </w:rPr>
        <w:t xml:space="preserve">The option granted in Section 2 will expire 30 days after the date of this Agreement and may be exercised in whole or from time to time in part by written notice being given to the Company by the Representatives within such 30-day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date falls on a day that is not a business day, the option granted in Section 2 will expire on the next succeeding business day. Such notice shall set forth the aggregate number of Option Shares as to which the option is being exercised, the names in which the Option Shares are to be registered, the denominations in which the Option Shares are to be issued and the date and time, as determined by the Representatives, when the Option Shares are to be delivered;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date and time shall not be earlier than the Initial Delivery Date nor earlier than the second business day after the date on which the option shall have been exercised nor later than the fifth business day after the date on which the option shall have been exercised. Each date and time the Option Shares are delivered is sometimes referred to as an “</w:t>
      </w:r>
      <w:r>
        <w:rPr>
          <w:rFonts w:ascii="Arial" w:cs="Arial" w:eastAsia="Arial" w:hAnsi="Arial"/>
          <w:sz w:val="16"/>
          <w:szCs w:val="16"/>
          <w:b w:val="1"/>
          <w:bCs w:val="1"/>
          <w:i w:val="1"/>
          <w:iCs w:val="1"/>
          <w:color w:val="auto"/>
        </w:rPr>
        <w:t>Option Shares Delivery Date</w:t>
      </w:r>
      <w:r>
        <w:rPr>
          <w:rFonts w:ascii="Arial" w:cs="Arial" w:eastAsia="Arial" w:hAnsi="Arial"/>
          <w:sz w:val="16"/>
          <w:szCs w:val="16"/>
          <w:color w:val="auto"/>
        </w:rPr>
        <w:t>”, and the Initial Delivery Date and any Option Shares Delivery Date are sometimes each referred to as a “</w:t>
      </w:r>
      <w:r>
        <w:rPr>
          <w:rFonts w:ascii="Arial" w:cs="Arial" w:eastAsia="Arial" w:hAnsi="Arial"/>
          <w:sz w:val="16"/>
          <w:szCs w:val="16"/>
          <w:b w:val="1"/>
          <w:bCs w:val="1"/>
          <w:i w:val="1"/>
          <w:iCs w:val="1"/>
          <w:color w:val="auto"/>
        </w:rPr>
        <w:t>Delivery Date</w:t>
      </w:r>
      <w:r>
        <w:rPr>
          <w:rFonts w:ascii="Arial" w:cs="Arial" w:eastAsia="Arial" w:hAnsi="Arial"/>
          <w:sz w:val="16"/>
          <w:szCs w:val="16"/>
          <w:color w:val="auto"/>
        </w:rPr>
        <w:t>”.</w:t>
      </w:r>
    </w:p>
    <w:p>
      <w:pPr>
        <w:spacing w:after="0" w:line="174" w:lineRule="exact"/>
        <w:rPr>
          <w:sz w:val="20"/>
          <w:szCs w:val="20"/>
          <w:color w:val="auto"/>
        </w:rPr>
      </w:pPr>
    </w:p>
    <w:p>
      <w:pPr>
        <w:jc w:val="both"/>
        <w:ind w:firstLine="1163"/>
        <w:spacing w:after="0" w:line="276" w:lineRule="auto"/>
        <w:rPr>
          <w:sz w:val="20"/>
          <w:szCs w:val="20"/>
          <w:color w:val="auto"/>
        </w:rPr>
      </w:pPr>
      <w:r>
        <w:rPr>
          <w:rFonts w:ascii="Arial" w:cs="Arial" w:eastAsia="Arial" w:hAnsi="Arial"/>
          <w:sz w:val="15"/>
          <w:szCs w:val="15"/>
          <w:color w:val="auto"/>
        </w:rPr>
        <w:t>Delivery of the Option Shares by the Company and payment for the Option Shares by the several Underwriters through the Representatives shall be made at 10:00 A.M., New York City time, on the date specified in the corresponding notice described in the preceding paragraph or at such other date or place as shall be determined by agreement between the Representatives and the Company. On each Option Shares Delivery Date, the Company shall deliver or cause to be delivered the Option Shares being sold by the Company on such Option Share Delivery Date to the Representatives for the account of each Underwriter against payment by the several Underwriters through the Representatives and of the respective aggregate purchase prices of the Option Shares being sold by the Company to or upon the order of the Company of the purchase price by wire transfer in immediately available funds to the accounts specified by the Company. Time shall be of the essence, and delivery at the time and place specified pursuant to this Agreement is a further condition of the obligation of each Underwriter hereunder. The Company shall deliver the Option Shares through the facilities of DTC unless the Representatives shall otherwise instruct.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1" w:name="page22"/>
    <w:bookmarkEnd w:id="21"/>
    <w:p>
      <w:pPr>
        <w:ind w:left="540" w:hanging="516"/>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Further Agreements of the Company and the Underwriters</w:t>
      </w:r>
      <w:r>
        <w:rPr>
          <w:rFonts w:ascii="Arial" w:cs="Arial" w:eastAsia="Arial" w:hAnsi="Arial"/>
          <w:sz w:val="16"/>
          <w:szCs w:val="16"/>
          <w:color w:val="auto"/>
        </w:rPr>
        <w:t>. (a) The Company agrees:</w:t>
      </w:r>
    </w:p>
    <w:p>
      <w:pPr>
        <w:spacing w:after="0" w:line="204" w:lineRule="exact"/>
        <w:rPr>
          <w:sz w:val="20"/>
          <w:szCs w:val="20"/>
          <w:color w:val="auto"/>
        </w:rPr>
      </w:pPr>
    </w:p>
    <w:p>
      <w:pPr>
        <w:jc w:val="both"/>
        <w:ind w:left="-560" w:firstLine="584"/>
        <w:spacing w:after="0" w:line="274" w:lineRule="auto"/>
        <w:tabs>
          <w:tab w:leader="none" w:pos="633" w:val="left"/>
        </w:tabs>
        <w:numPr>
          <w:ilvl w:val="0"/>
          <w:numId w:val="28"/>
        </w:numPr>
        <w:rPr>
          <w:rFonts w:ascii="Arial" w:cs="Arial" w:eastAsia="Arial" w:hAnsi="Arial"/>
          <w:sz w:val="15"/>
          <w:szCs w:val="15"/>
          <w:color w:val="auto"/>
        </w:rPr>
      </w:pPr>
      <w:r>
        <w:rPr>
          <w:rFonts w:ascii="Arial" w:cs="Arial" w:eastAsia="Arial" w:hAnsi="Arial"/>
          <w:sz w:val="15"/>
          <w:szCs w:val="15"/>
          <w:color w:val="auto"/>
        </w:rPr>
        <w:t>To prepare the Prospectus in a form approved by the Representatives and to file such Prospectus pursuant to Rule 424(b) under the Securities Act not later than the Commission’s close of business on the second business day following the execution and delivery of this Agreement; to make no further amendment or any supplement to the Registration Statement or the Prospectus prior to the last Delivery Date except as provided herein; to advise the Representatives, promptly after it receives notice thereof, of the time when any amendment or supplement to the Registration Statement or the Prospectus has been filed and to furnish the Representatives with copies thereof; to advise the Representatives, promptly after it receives notice thereof, of the issuance by the Commission of any stop order or of any order preventing or suspending the use of the Prospectus or any Issuer Free Writing Prospectus, of the suspension of the qualification of the Shares for offering or sale in any jurisdiction, of the initiation or threatening of any proceeding or examination for any such purpose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Prospectus or any Issuer Free Writing Prospectus or suspending any such qualification, to use promptly its best efforts to obtain its withdrawal.</w:t>
      </w:r>
    </w:p>
    <w:p>
      <w:pPr>
        <w:spacing w:after="0" w:line="162" w:lineRule="exact"/>
        <w:rPr>
          <w:rFonts w:ascii="Arial" w:cs="Arial" w:eastAsia="Arial" w:hAnsi="Arial"/>
          <w:sz w:val="15"/>
          <w:szCs w:val="15"/>
          <w:color w:val="auto"/>
        </w:rPr>
      </w:pPr>
    </w:p>
    <w:p>
      <w:pPr>
        <w:ind w:left="-560" w:firstLine="584"/>
        <w:spacing w:after="0" w:line="316" w:lineRule="auto"/>
        <w:tabs>
          <w:tab w:leader="none" w:pos="599" w:val="left"/>
        </w:tabs>
        <w:numPr>
          <w:ilvl w:val="0"/>
          <w:numId w:val="28"/>
        </w:numPr>
        <w:rPr>
          <w:rFonts w:ascii="Arial" w:cs="Arial" w:eastAsia="Arial" w:hAnsi="Arial"/>
          <w:sz w:val="15"/>
          <w:szCs w:val="15"/>
          <w:color w:val="auto"/>
        </w:rPr>
      </w:pPr>
      <w:r>
        <w:rPr>
          <w:rFonts w:ascii="Arial" w:cs="Arial" w:eastAsia="Arial" w:hAnsi="Arial"/>
          <w:sz w:val="15"/>
          <w:szCs w:val="15"/>
          <w:color w:val="auto"/>
        </w:rPr>
        <w:t>To furnish promptly upon request to each of the Representatives and to counsel for the Underwriters a signed copy of the Registration Statement as originally filed with the Commission, and each amendment thereto filed with the Commission, including all consents and exhibits filed therewith.</w:t>
      </w:r>
    </w:p>
    <w:p>
      <w:pPr>
        <w:spacing w:after="0" w:line="127" w:lineRule="exact"/>
        <w:rPr>
          <w:rFonts w:ascii="Arial" w:cs="Arial" w:eastAsia="Arial" w:hAnsi="Arial"/>
          <w:sz w:val="15"/>
          <w:szCs w:val="15"/>
          <w:color w:val="auto"/>
        </w:rPr>
      </w:pPr>
    </w:p>
    <w:p>
      <w:pPr>
        <w:jc w:val="both"/>
        <w:ind w:left="-560" w:firstLine="584"/>
        <w:spacing w:after="0" w:line="274" w:lineRule="auto"/>
        <w:tabs>
          <w:tab w:leader="none" w:pos="587" w:val="left"/>
        </w:tabs>
        <w:numPr>
          <w:ilvl w:val="0"/>
          <w:numId w:val="28"/>
        </w:numPr>
        <w:rPr>
          <w:rFonts w:ascii="Arial" w:cs="Arial" w:eastAsia="Arial" w:hAnsi="Arial"/>
          <w:sz w:val="15"/>
          <w:szCs w:val="15"/>
          <w:color w:val="auto"/>
        </w:rPr>
      </w:pPr>
      <w:r>
        <w:rPr>
          <w:rFonts w:ascii="Arial" w:cs="Arial" w:eastAsia="Arial" w:hAnsi="Arial"/>
          <w:sz w:val="15"/>
          <w:szCs w:val="15"/>
          <w:color w:val="auto"/>
        </w:rPr>
        <w:t>To deliver promptly to the Representatives such number of the following documents as the Representatives shall reasonably request: (A) conformed copies of the Registration Statement as originally filed with the Commission and each amendment thereto (in each case excluding exhibits other than this Agreement and the computation of per share earnings), (B) each Preliminary Prospectus, the Prospectus and any amended or supplemented Prospectus, and (C) each Issuer Free Writing Prospectus; and, if the delivery of a prospectus is required at any time after the date hereof in connection with the offering or sale of the Shares or any other securities relating thereto and if at such time any events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in order to comply with the Securities Act, to notify the Representatives and, upon their request, to file such document and to prepare and furnish without charge to each Underwriter and to any dealer in securities as many copies as the Representatives may from time to time reasonably request of an amended or supplemented Prospectus that will correct such statement or omission or effect such compliance.</w:t>
      </w:r>
    </w:p>
    <w:p>
      <w:pPr>
        <w:spacing w:after="0" w:line="356"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22" w:name="page23"/>
    <w:bookmarkEnd w:id="22"/>
    <w:p>
      <w:pPr>
        <w:ind w:firstLine="584"/>
        <w:spacing w:after="0" w:line="281" w:lineRule="auto"/>
        <w:tabs>
          <w:tab w:leader="none" w:pos="117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file promptly with the Commission any amendment or supplement to the Registration Statement or the Prospectus that may, in the judgment of the Company or the Representatives, be required by the Securities Act or requested by the Commission.</w:t>
      </w:r>
    </w:p>
    <w:p>
      <w:pPr>
        <w:spacing w:after="0" w:line="150" w:lineRule="exact"/>
        <w:rPr>
          <w:rFonts w:ascii="Arial" w:cs="Arial" w:eastAsia="Arial" w:hAnsi="Arial"/>
          <w:sz w:val="16"/>
          <w:szCs w:val="16"/>
          <w:color w:val="auto"/>
        </w:rPr>
      </w:pPr>
    </w:p>
    <w:p>
      <w:pPr>
        <w:ind w:firstLine="584"/>
        <w:spacing w:after="0" w:line="316" w:lineRule="auto"/>
        <w:tabs>
          <w:tab w:leader="none" w:pos="11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Prior to filing with the Commission any amendment or supplement to the Registration Statement or the Prospectus, to furnish a copy thereof to the Representatives and counsel for the Underwriters and not to file any such amendment or supplement to which the Representatives shall reasonably object.</w:t>
      </w:r>
    </w:p>
    <w:p>
      <w:pPr>
        <w:spacing w:after="0" w:line="127" w:lineRule="exact"/>
        <w:rPr>
          <w:rFonts w:ascii="Arial" w:cs="Arial" w:eastAsia="Arial" w:hAnsi="Arial"/>
          <w:sz w:val="15"/>
          <w:szCs w:val="15"/>
          <w:color w:val="auto"/>
        </w:rPr>
      </w:pPr>
    </w:p>
    <w:p>
      <w:pPr>
        <w:ind w:left="1280" w:hanging="696"/>
        <w:spacing w:after="0"/>
        <w:tabs>
          <w:tab w:leader="none" w:pos="12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Not to make any offer relating to the Shares that would constitute an Issuer Free Writing Prospectus without the prior written consent of the</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Representatives.</w:t>
      </w:r>
    </w:p>
    <w:p>
      <w:pPr>
        <w:spacing w:after="0" w:line="191" w:lineRule="exact"/>
        <w:rPr>
          <w:rFonts w:ascii="Arial" w:cs="Arial" w:eastAsia="Arial" w:hAnsi="Arial"/>
          <w:sz w:val="15"/>
          <w:szCs w:val="15"/>
          <w:color w:val="auto"/>
        </w:rPr>
      </w:pPr>
    </w:p>
    <w:p>
      <w:pPr>
        <w:jc w:val="both"/>
        <w:ind w:firstLine="584"/>
        <w:spacing w:after="0" w:line="300" w:lineRule="auto"/>
        <w:tabs>
          <w:tab w:leader="none" w:pos="1169" w:val="left"/>
        </w:tabs>
        <w:numPr>
          <w:ilvl w:val="0"/>
          <w:numId w:val="29"/>
        </w:numPr>
        <w:rPr>
          <w:rFonts w:ascii="Arial" w:cs="Arial" w:eastAsia="Arial" w:hAnsi="Arial"/>
          <w:sz w:val="14"/>
          <w:szCs w:val="14"/>
          <w:color w:val="auto"/>
        </w:rPr>
      </w:pPr>
      <w:r>
        <w:rPr>
          <w:rFonts w:ascii="Arial" w:cs="Arial" w:eastAsia="Arial" w:hAnsi="Arial"/>
          <w:sz w:val="14"/>
          <w:szCs w:val="14"/>
          <w:color w:val="auto"/>
        </w:rPr>
        <w:t>To comply with all applicable requirements of Rule 433 under the Securities Act with respect to any Issuer Free Writing Prospectus. If at any time after the date hereof any events shall have occurred as a result of which any Issuer Free Writing Prospectus, as then amended or supplemented,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Representatives and, upon their request, to file such document and to prepare and furnish without charge to each Underwriter as many copies as the Representatives may from time to time reasonably request of an amended or supplemented Issuer Free Writing Prospectus that will correct such conflict, statement or omission or effect such compliance.</w:t>
      </w:r>
    </w:p>
    <w:p>
      <w:pPr>
        <w:spacing w:after="0" w:line="141" w:lineRule="exact"/>
        <w:rPr>
          <w:rFonts w:ascii="Arial" w:cs="Arial" w:eastAsia="Arial" w:hAnsi="Arial"/>
          <w:sz w:val="14"/>
          <w:szCs w:val="14"/>
          <w:color w:val="auto"/>
        </w:rPr>
      </w:pPr>
    </w:p>
    <w:p>
      <w:pPr>
        <w:jc w:val="both"/>
        <w:ind w:firstLine="584"/>
        <w:spacing w:after="0" w:line="259" w:lineRule="auto"/>
        <w:tabs>
          <w:tab w:leader="none" w:pos="12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soon as practicable after the Effective Date (it being understood that the Company shall have until at least 410 days or, if the fourth quarter following the fiscal quarter that includes the Effective Date is the last fiscal quarter of the Company’s fiscal year, 455 days after the end of the Company’s current fiscal quarter), to make generally available to the Company’s security holders and to deliver to the Representatives an earnings statement of the Company and its subsidiaries (which need not be audited) complying with Section 11(a) of the Securities Act and the rules and regulations thereunder (including, at the option of the Company, Rule 158).</w:t>
      </w:r>
    </w:p>
    <w:p>
      <w:pPr>
        <w:spacing w:after="0" w:line="170" w:lineRule="exact"/>
        <w:rPr>
          <w:rFonts w:ascii="Arial" w:cs="Arial" w:eastAsia="Arial" w:hAnsi="Arial"/>
          <w:sz w:val="16"/>
          <w:szCs w:val="16"/>
          <w:color w:val="auto"/>
        </w:rPr>
      </w:pPr>
    </w:p>
    <w:p>
      <w:pPr>
        <w:jc w:val="both"/>
        <w:ind w:firstLine="584"/>
        <w:spacing w:after="0" w:line="305" w:lineRule="auto"/>
        <w:tabs>
          <w:tab w:leader="none" w:pos="1207"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Promptly from time to time to take such action as the Representatives may reasonably request to qualify the Shares for offering and sale under the securities or Blue Sky laws of Canada and such other jurisdictions as the Representatives may request and to comply with such laws so as to permit the continuance of sales and dealings therein in such jurisdictions for as long as may be necessary to complete the distribution of the Shares;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connection therewith the Company shall not be required to (i) qualify as a foreign corporation in any jurisdiction in which it would not otherwise be required to so qualify, (ii) file a general consent to service of process in any such jurisdiction, or (iii) subject itself to taxation in any jurisdiction in which it would not otherwise be subject.</w:t>
      </w:r>
    </w:p>
    <w:p>
      <w:pPr>
        <w:spacing w:after="0" w:line="334"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13970</wp:posOffset>
            </wp:positionV>
            <wp:extent cx="718375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720"/>
          </w:cols>
          <w:pgMar w:left="880" w:top="805" w:right="299" w:bottom="1440" w:gutter="0" w:footer="0" w:header="0"/>
        </w:sectPr>
      </w:pPr>
    </w:p>
    <w:bookmarkStart w:id="23" w:name="page24"/>
    <w:bookmarkEnd w:id="23"/>
    <w:p>
      <w:pPr>
        <w:jc w:val="both"/>
        <w:ind w:left="-3" w:firstLine="584"/>
        <w:spacing w:after="0" w:line="290" w:lineRule="auto"/>
        <w:tabs>
          <w:tab w:leader="none" w:pos="1213" w:val="left"/>
        </w:tabs>
        <w:numPr>
          <w:ilvl w:val="1"/>
          <w:numId w:val="30"/>
        </w:numPr>
        <w:rPr>
          <w:rFonts w:ascii="Arial" w:cs="Arial" w:eastAsia="Arial" w:hAnsi="Arial"/>
          <w:sz w:val="14"/>
          <w:szCs w:val="14"/>
          <w:color w:val="auto"/>
        </w:rPr>
      </w:pPr>
      <w:r>
        <w:rPr>
          <w:rFonts w:ascii="Arial" w:cs="Arial" w:eastAsia="Arial" w:hAnsi="Arial"/>
          <w:sz w:val="14"/>
          <w:szCs w:val="14"/>
          <w:color w:val="auto"/>
        </w:rPr>
        <w:t>For a period commencing on the date hereof and ending on the 180th day after the date of the Prospectus (the “</w:t>
      </w:r>
      <w:r>
        <w:rPr>
          <w:rFonts w:ascii="Arial" w:cs="Arial" w:eastAsia="Arial" w:hAnsi="Arial"/>
          <w:sz w:val="14"/>
          <w:szCs w:val="14"/>
          <w:b w:val="1"/>
          <w:bCs w:val="1"/>
          <w:i w:val="1"/>
          <w:iCs w:val="1"/>
          <w:color w:val="auto"/>
        </w:rPr>
        <w:t>Lock-Up Period</w:t>
      </w:r>
      <w:r>
        <w:rPr>
          <w:rFonts w:ascii="Arial" w:cs="Arial" w:eastAsia="Arial" w:hAnsi="Arial"/>
          <w:sz w:val="14"/>
          <w:szCs w:val="14"/>
          <w:color w:val="auto"/>
        </w:rPr>
        <w:t>”), not to, directly or indirectly, (A) offer for sale, sell, pledge, or otherwise dispose of (or enter into any transaction or device that is designed to, or could be expected to, result in the disposition by any person at any time in the future of) any Ordinary Shares or securities convertible into or exercisable or exchangeable for Ordinary Shares (other than (i) the Shares, (ii) Ordinary Shares or other securities issued pursuant to employee benefit plans, qualified share option plans or other employee compensation plans existing on the date hereof (“</w:t>
      </w:r>
      <w:r>
        <w:rPr>
          <w:rFonts w:ascii="Arial" w:cs="Arial" w:eastAsia="Arial" w:hAnsi="Arial"/>
          <w:sz w:val="14"/>
          <w:szCs w:val="14"/>
          <w:b w:val="1"/>
          <w:bCs w:val="1"/>
          <w:i w:val="1"/>
          <w:iCs w:val="1"/>
          <w:color w:val="auto"/>
        </w:rPr>
        <w:t>Existing Plans</w:t>
      </w:r>
      <w:r>
        <w:rPr>
          <w:rFonts w:ascii="Arial" w:cs="Arial" w:eastAsia="Arial" w:hAnsi="Arial"/>
          <w:sz w:val="14"/>
          <w:szCs w:val="14"/>
          <w:color w:val="auto"/>
        </w:rPr>
        <w:t>”) or upon exercise of currently outstanding options, warrants or rights in net or cashless transactions and (iii) Ordinary Shares or other securities issued in connection with acquisitions, strategic partnerships or lending, leasing or other commercial transactions (including joint ventures, marketing or distribution arrangements, collaboration agreements or intellectual property license agreements) in an amount not to exceed 5% of the Company’s outstanding Ordinary Shares as of the Initial Delivery Date; provided that, in each case, the recipient of such Ordinary Shares or other securities executes and delivers a lock-up agreement in the form of Exhibit A hereto), or sell or grant options, rights or warrants with respect to any Ordinary Shares or securities convertible into or exchangeable for Ordinary Shares (other than the grant of options or rights pursuant to Existing Plans; provided that, in each case, the recipient of such options or rights executes and delivers a lock-up agreement in the form of Exhibit A hereto), (B) enter into any swap or other derivatives transaction that transfers to another, in whole or in part, any of the economic benefits or risks of ownership of such Ordinary Shares, whether any such transaction described in clause</w:t>
      </w:r>
    </w:p>
    <w:p>
      <w:pPr>
        <w:spacing w:after="0" w:line="3" w:lineRule="exact"/>
        <w:rPr>
          <w:rFonts w:ascii="Arial" w:cs="Arial" w:eastAsia="Arial" w:hAnsi="Arial"/>
          <w:sz w:val="14"/>
          <w:szCs w:val="14"/>
          <w:color w:val="auto"/>
        </w:rPr>
      </w:pPr>
    </w:p>
    <w:p>
      <w:pPr>
        <w:jc w:val="both"/>
        <w:ind w:left="-3" w:firstLine="3"/>
        <w:spacing w:after="0" w:line="255" w:lineRule="auto"/>
        <w:tabs>
          <w:tab w:leader="none" w:pos="262" w:val="left"/>
        </w:tabs>
        <w:numPr>
          <w:ilvl w:val="0"/>
          <w:numId w:val="31"/>
        </w:numPr>
        <w:rPr>
          <w:rFonts w:ascii="Arial" w:cs="Arial" w:eastAsia="Arial" w:hAnsi="Arial"/>
          <w:sz w:val="16"/>
          <w:szCs w:val="16"/>
          <w:color w:val="auto"/>
        </w:rPr>
      </w:pPr>
      <w:r>
        <w:rPr>
          <w:rFonts w:ascii="Arial" w:cs="Arial" w:eastAsia="Arial" w:hAnsi="Arial"/>
          <w:sz w:val="16"/>
          <w:szCs w:val="16"/>
          <w:color w:val="auto"/>
        </w:rPr>
        <w:t>or (B) above is to be settled by delivery of Ordinary Shares or other securities, in cash or otherwise, (C) file or cause to be filed a registration statement, including any amendments thereto, with respect to the registration of any Ordinary Shares or securities convertible, exercisable or exchangeable into Ordinary Shares or any other securities of the Company (other than any registration statement on Form S-8), or (D) publicly disclose the intention to do any of the foregoing, in each case without the prior written consent of Barclays Capital Inc. and Citigroup Global Markets Inc., on behalf of the Underwriters, and to cause each officer, director and shareholder of the Company set forth on Schedule II hereto to furnish to the Representatives, prior to the Initial Delivery Date, a letter or letters, substantially in the form of Exhibit A hereto (the “</w:t>
      </w:r>
      <w:r>
        <w:rPr>
          <w:rFonts w:ascii="Arial" w:cs="Arial" w:eastAsia="Arial" w:hAnsi="Arial"/>
          <w:sz w:val="16"/>
          <w:szCs w:val="16"/>
          <w:b w:val="1"/>
          <w:bCs w:val="1"/>
          <w:i w:val="1"/>
          <w:iCs w:val="1"/>
          <w:color w:val="auto"/>
        </w:rPr>
        <w:t>Lock-Up Agreements</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jc w:val="both"/>
        <w:ind w:left="-3" w:firstLine="584"/>
        <w:spacing w:after="0" w:line="258" w:lineRule="auto"/>
        <w:tabs>
          <w:tab w:leader="none" w:pos="1198" w:val="left"/>
        </w:tabs>
        <w:numPr>
          <w:ilvl w:val="1"/>
          <w:numId w:val="31"/>
        </w:numPr>
        <w:rPr>
          <w:rFonts w:ascii="Arial" w:cs="Arial" w:eastAsia="Arial" w:hAnsi="Arial"/>
          <w:sz w:val="16"/>
          <w:szCs w:val="16"/>
          <w:color w:val="auto"/>
        </w:rPr>
      </w:pPr>
      <w:r>
        <w:rPr>
          <w:rFonts w:ascii="Arial" w:cs="Arial" w:eastAsia="Arial" w:hAnsi="Arial"/>
          <w:sz w:val="16"/>
          <w:szCs w:val="16"/>
          <w:color w:val="auto"/>
        </w:rPr>
        <w:t>If Barclays Capital Inc. and Citigroup Global Markets Inc., in their sole discretion, agree to release or waive the restrictions set forth in a Lock-Up Agreement for an officer or director of the Company and provides the Company with notice of the impending release or waiver at least three business days before the effective date of the release or waiver, the Company agrees to announce the impending release or waiver by issuing a press release substantially in the form of Exhibit B hereto, and containing such other information as Barclays Capital Inc. and Citigroup Global Markets Inc. may require with respect to the circumstances of the release or waiver and/or the identity of the officer(s) and/or director(s) with respect to which the release or waiver applies, through a major news service at least two business days before the effective date of the release or waiver.</w:t>
      </w:r>
    </w:p>
    <w:p>
      <w:pPr>
        <w:spacing w:after="0" w:line="364" w:lineRule="exact"/>
        <w:rPr>
          <w:sz w:val="20"/>
          <w:szCs w:val="20"/>
          <w:color w:val="auto"/>
        </w:rPr>
      </w:pPr>
    </w:p>
    <w:p>
      <w:pPr>
        <w:ind w:left="4997"/>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13970</wp:posOffset>
            </wp:positionV>
            <wp:extent cx="718375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717"/>
          </w:cols>
          <w:pgMar w:left="883" w:top="805" w:right="299" w:bottom="1440" w:gutter="0" w:footer="0" w:header="0"/>
        </w:sectPr>
      </w:pPr>
    </w:p>
    <w:bookmarkStart w:id="24" w:name="page25"/>
    <w:bookmarkEnd w:id="24"/>
    <w:p>
      <w:pPr>
        <w:ind w:left="-3" w:firstLine="584"/>
        <w:spacing w:after="0" w:line="281" w:lineRule="auto"/>
        <w:tabs>
          <w:tab w:leader="none" w:pos="1185" w:val="left"/>
        </w:tabs>
        <w:numPr>
          <w:ilvl w:val="1"/>
          <w:numId w:val="32"/>
        </w:numPr>
        <w:rPr>
          <w:rFonts w:ascii="Arial" w:cs="Arial" w:eastAsia="Arial" w:hAnsi="Arial"/>
          <w:sz w:val="16"/>
          <w:szCs w:val="16"/>
          <w:color w:val="auto"/>
        </w:rPr>
      </w:pPr>
      <w:r>
        <w:rPr>
          <w:rFonts w:ascii="Arial" w:cs="Arial" w:eastAsia="Arial" w:hAnsi="Arial"/>
          <w:sz w:val="16"/>
          <w:szCs w:val="16"/>
          <w:color w:val="auto"/>
        </w:rPr>
        <w:t>To apply the net proceeds from the sale of the Shares being sold by the Company substantially in accordance with the description as set forth in the Prospectus under the caption “Use of Proceeds.”</w:t>
      </w:r>
    </w:p>
    <w:p>
      <w:pPr>
        <w:spacing w:after="0" w:line="150" w:lineRule="exact"/>
        <w:rPr>
          <w:rFonts w:ascii="Arial" w:cs="Arial" w:eastAsia="Arial" w:hAnsi="Arial"/>
          <w:sz w:val="16"/>
          <w:szCs w:val="16"/>
          <w:color w:val="auto"/>
        </w:rPr>
      </w:pPr>
    </w:p>
    <w:p>
      <w:pPr>
        <w:ind w:left="1177" w:hanging="596"/>
        <w:spacing w:after="0"/>
        <w:tabs>
          <w:tab w:leader="none" w:pos="1177" w:val="left"/>
        </w:tabs>
        <w:numPr>
          <w:ilvl w:val="1"/>
          <w:numId w:val="32"/>
        </w:numPr>
        <w:rPr>
          <w:rFonts w:ascii="Arial" w:cs="Arial" w:eastAsia="Arial" w:hAnsi="Arial"/>
          <w:sz w:val="16"/>
          <w:szCs w:val="16"/>
          <w:color w:val="auto"/>
        </w:rPr>
      </w:pPr>
      <w:r>
        <w:rPr>
          <w:rFonts w:ascii="Arial" w:cs="Arial" w:eastAsia="Arial" w:hAnsi="Arial"/>
          <w:sz w:val="16"/>
          <w:szCs w:val="16"/>
          <w:color w:val="auto"/>
        </w:rPr>
        <w:t>To file with the Commission such information on Form 6-K or Form 20-F as may be required by Rule 463 under the Securities Act.</w:t>
      </w:r>
    </w:p>
    <w:p>
      <w:pPr>
        <w:spacing w:after="0" w:line="203" w:lineRule="exact"/>
        <w:rPr>
          <w:rFonts w:ascii="Arial" w:cs="Arial" w:eastAsia="Arial" w:hAnsi="Arial"/>
          <w:sz w:val="16"/>
          <w:szCs w:val="16"/>
          <w:color w:val="auto"/>
        </w:rPr>
      </w:pPr>
    </w:p>
    <w:p>
      <w:pPr>
        <w:jc w:val="both"/>
        <w:ind w:left="-3" w:firstLine="584"/>
        <w:spacing w:after="0" w:line="267" w:lineRule="auto"/>
        <w:tabs>
          <w:tab w:leader="none" w:pos="1212"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the Company elects to rely upon Rule 462(b) under the Securities Act, the Company shall file a Rule 462(b) Registration Statement with the Commission in compliance with Rule 462(b) under the Securities Act by 10:00 P.M., Washington, D.C. time, on the date of this Agreement, and the Company shall at the time of filing pay the Commission the filing fee for the Rule 462(b) Registration Statement.</w:t>
      </w:r>
    </w:p>
    <w:p>
      <w:pPr>
        <w:spacing w:after="0" w:line="161" w:lineRule="exact"/>
        <w:rPr>
          <w:rFonts w:ascii="Arial" w:cs="Arial" w:eastAsia="Arial" w:hAnsi="Arial"/>
          <w:sz w:val="16"/>
          <w:szCs w:val="16"/>
          <w:color w:val="auto"/>
        </w:rPr>
      </w:pPr>
    </w:p>
    <w:p>
      <w:pPr>
        <w:ind w:left="1137" w:hanging="556"/>
        <w:spacing w:after="0"/>
        <w:tabs>
          <w:tab w:leader="none" w:pos="1137" w:val="left"/>
        </w:tabs>
        <w:numPr>
          <w:ilvl w:val="1"/>
          <w:numId w:val="32"/>
        </w:numPr>
        <w:rPr>
          <w:rFonts w:ascii="Arial" w:cs="Arial" w:eastAsia="Arial" w:hAnsi="Arial"/>
          <w:sz w:val="14"/>
          <w:szCs w:val="14"/>
          <w:color w:val="auto"/>
        </w:rPr>
      </w:pPr>
      <w:r>
        <w:rPr>
          <w:rFonts w:ascii="Arial" w:cs="Arial" w:eastAsia="Arial" w:hAnsi="Arial"/>
          <w:sz w:val="14"/>
          <w:szCs w:val="14"/>
          <w:color w:val="auto"/>
        </w:rPr>
        <w:t>The Company will promptly notify the Representatives if the Company ceases to be an Emerging Growth Company at any time prior to the later of</w:t>
      </w:r>
    </w:p>
    <w:p>
      <w:pPr>
        <w:spacing w:after="0" w:line="44" w:lineRule="exact"/>
        <w:rPr>
          <w:rFonts w:ascii="Arial" w:cs="Arial" w:eastAsia="Arial" w:hAnsi="Arial"/>
          <w:sz w:val="14"/>
          <w:szCs w:val="14"/>
          <w:color w:val="auto"/>
        </w:rPr>
      </w:pPr>
    </w:p>
    <w:p>
      <w:pPr>
        <w:ind w:left="-3" w:firstLine="3"/>
        <w:spacing w:after="0" w:line="299" w:lineRule="auto"/>
        <w:tabs>
          <w:tab w:leader="none" w:pos="262"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time when a prospectus relating to the offering or sale of the Shares or any other securities relating thereto is not required by the Securities Act to be delivered (whether physically or through compliance with Rule 172 under the Securities Act or any similar rule) and (B) completion of the Lock-Up Period.</w:t>
      </w:r>
    </w:p>
    <w:p>
      <w:pPr>
        <w:spacing w:after="0" w:line="139" w:lineRule="exact"/>
        <w:rPr>
          <w:rFonts w:ascii="Arial" w:cs="Arial" w:eastAsia="Arial" w:hAnsi="Arial"/>
          <w:sz w:val="15"/>
          <w:szCs w:val="15"/>
          <w:color w:val="auto"/>
        </w:rPr>
      </w:pPr>
    </w:p>
    <w:p>
      <w:pPr>
        <w:jc w:val="both"/>
        <w:ind w:left="-3" w:firstLine="584"/>
        <w:spacing w:after="0" w:line="278" w:lineRule="auto"/>
        <w:tabs>
          <w:tab w:leader="none" w:pos="1175" w:val="left"/>
        </w:tabs>
        <w:numPr>
          <w:ilvl w:val="1"/>
          <w:numId w:val="33"/>
        </w:numPr>
        <w:rPr>
          <w:rFonts w:ascii="Arial" w:cs="Arial" w:eastAsia="Arial" w:hAnsi="Arial"/>
          <w:sz w:val="15"/>
          <w:szCs w:val="15"/>
          <w:color w:val="auto"/>
        </w:rPr>
      </w:pPr>
      <w:r>
        <w:rPr>
          <w:rFonts w:ascii="Arial" w:cs="Arial" w:eastAsia="Arial" w:hAnsi="Arial"/>
          <w:sz w:val="15"/>
          <w:szCs w:val="15"/>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 The Company will promptly notify the Representatives of (A) any distribution by the Company of Written Testing-the-Waters Communications and (B) any request by the Commission for information concerning the Written Testing-the-Waters Communications.</w:t>
      </w:r>
    </w:p>
    <w:p>
      <w:pPr>
        <w:spacing w:after="0" w:line="157" w:lineRule="exact"/>
        <w:rPr>
          <w:rFonts w:ascii="Arial" w:cs="Arial" w:eastAsia="Arial" w:hAnsi="Arial"/>
          <w:sz w:val="15"/>
          <w:szCs w:val="15"/>
          <w:color w:val="auto"/>
        </w:rPr>
      </w:pPr>
    </w:p>
    <w:p>
      <w:pPr>
        <w:ind w:left="-3" w:firstLine="584"/>
        <w:spacing w:after="0" w:line="316" w:lineRule="auto"/>
        <w:tabs>
          <w:tab w:leader="none" w:pos="1229" w:val="left"/>
        </w:tabs>
        <w:numPr>
          <w:ilvl w:val="1"/>
          <w:numId w:val="33"/>
        </w:numPr>
        <w:rPr>
          <w:rFonts w:ascii="Arial" w:cs="Arial" w:eastAsia="Arial" w:hAnsi="Arial"/>
          <w:sz w:val="15"/>
          <w:szCs w:val="15"/>
          <w:color w:val="auto"/>
        </w:rPr>
      </w:pPr>
      <w:r>
        <w:rPr>
          <w:rFonts w:ascii="Arial" w:cs="Arial" w:eastAsia="Arial" w:hAnsi="Arial"/>
          <w:sz w:val="15"/>
          <w:szCs w:val="15"/>
          <w:color w:val="auto"/>
        </w:rPr>
        <w:t>The Company and its affiliates will not take, directly or indirectly, any action designed to or that has constituted or that reasonably would be expected to cause or result in the stabilization or manipulation of the price of any security of the Company in connection with the offering of the Shares.</w:t>
      </w:r>
    </w:p>
    <w:p>
      <w:pPr>
        <w:spacing w:after="0" w:line="127" w:lineRule="exact"/>
        <w:rPr>
          <w:rFonts w:ascii="Arial" w:cs="Arial" w:eastAsia="Arial" w:hAnsi="Arial"/>
          <w:sz w:val="15"/>
          <w:szCs w:val="15"/>
          <w:color w:val="auto"/>
        </w:rPr>
      </w:pPr>
    </w:p>
    <w:p>
      <w:pPr>
        <w:ind w:left="-3" w:firstLine="584"/>
        <w:spacing w:after="0" w:line="281" w:lineRule="auto"/>
        <w:tabs>
          <w:tab w:leader="none" w:pos="1189"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Company will do and perform all things required or necessary to be done and performed under this Agreement by it prior to each Delivery Date, and to satisfy all conditions precedent to the Underwriters’ obligations hereunder to purchase the Shares.</w:t>
      </w:r>
    </w:p>
    <w:p>
      <w:pPr>
        <w:spacing w:after="0" w:line="344" w:lineRule="exact"/>
        <w:rPr>
          <w:sz w:val="20"/>
          <w:szCs w:val="20"/>
          <w:color w:val="auto"/>
        </w:rPr>
      </w:pPr>
    </w:p>
    <w:p>
      <w:pPr>
        <w:ind w:left="4997"/>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13970</wp:posOffset>
            </wp:positionV>
            <wp:extent cx="718375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717"/>
          </w:cols>
          <w:pgMar w:left="883" w:top="805" w:right="299" w:bottom="1440" w:gutter="0" w:footer="0" w:header="0"/>
        </w:sectPr>
      </w:pPr>
    </w:p>
    <w:bookmarkStart w:id="25" w:name="page26"/>
    <w:bookmarkEnd w:id="25"/>
    <w:p>
      <w:pPr>
        <w:jc w:val="both"/>
        <w:ind w:left="300" w:firstLine="574"/>
        <w:spacing w:after="0" w:line="258" w:lineRule="auto"/>
        <w:tabs>
          <w:tab w:leader="none" w:pos="1488"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Underwriter severally agrees that such Underwriter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Arial" w:cs="Arial" w:eastAsia="Arial" w:hAnsi="Arial"/>
          <w:sz w:val="16"/>
          <w:szCs w:val="16"/>
          <w:b w:val="1"/>
          <w:bCs w:val="1"/>
          <w:i w:val="1"/>
          <w:iCs w:val="1"/>
          <w:color w:val="auto"/>
        </w:rPr>
        <w:t>Permitted Issuer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 such consent shall be required with respect to any such issuer information contained in any document filed by the Company with the Commission prior to the use of such free writing prospectus, and (ii) “issuer information”, as used in this Section 5(b), shall not be deemed to include information prepared by or on behalf of such Underwriter on the basis of or derived from issuer information.</w:t>
      </w:r>
    </w:p>
    <w:p>
      <w:pPr>
        <w:spacing w:after="0" w:line="169" w:lineRule="exact"/>
        <w:rPr>
          <w:rFonts w:ascii="Arial" w:cs="Arial" w:eastAsia="Arial" w:hAnsi="Arial"/>
          <w:sz w:val="16"/>
          <w:szCs w:val="16"/>
          <w:color w:val="auto"/>
        </w:rPr>
      </w:pPr>
    </w:p>
    <w:p>
      <w:pPr>
        <w:jc w:val="both"/>
        <w:ind w:firstLine="1164"/>
        <w:spacing w:after="0" w:line="292" w:lineRule="auto"/>
        <w:tabs>
          <w:tab w:leader="none" w:pos="1700" w:val="left"/>
        </w:tabs>
        <w:numPr>
          <w:ilvl w:val="1"/>
          <w:numId w:val="34"/>
        </w:numPr>
        <w:rPr>
          <w:rFonts w:ascii="Arial" w:cs="Arial" w:eastAsia="Arial" w:hAnsi="Arial"/>
          <w:sz w:val="14"/>
          <w:szCs w:val="14"/>
          <w:color w:val="auto"/>
        </w:rPr>
      </w:pPr>
      <w:r>
        <w:rPr>
          <w:rFonts w:ascii="Arial" w:cs="Arial" w:eastAsia="Arial" w:hAnsi="Arial"/>
          <w:sz w:val="14"/>
          <w:szCs w:val="14"/>
          <w:i w:val="1"/>
          <w:iCs w:val="1"/>
          <w:color w:val="auto"/>
        </w:rPr>
        <w:t xml:space="preserve">Expenses. </w:t>
      </w:r>
      <w:r>
        <w:rPr>
          <w:rFonts w:ascii="Arial" w:cs="Arial" w:eastAsia="Arial" w:hAnsi="Arial"/>
          <w:sz w:val="14"/>
          <w:szCs w:val="14"/>
          <w:color w:val="auto"/>
        </w:rPr>
        <w:t>The Company agrees, whether or not the transactions contemplated by this Agreement are consummated or this Agreement is terminated,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to pay all expenses, costs, fees and taxes incident to and in connection with (a) the authorization, issuance, sale and delivery of the Shares and any stamp duties or other taxes payable in that connection, and the preparation and printing of certificates for the Shares; (b) the preparation, printing and filing under the Securities Act of the Registration Statement (including any exhibits thereto), any Preliminary Prospectus, the Prospectus, any Issuer Free Writing Prospectus, any Written Testing-the-Waters Communication, and any amendment or supplement thereto; (c) the distribution of the Registration Statement (including any exhibits thereto), any Preliminary Prospectus, the Prospectus, any Issuer Free Writing Prospectus, any Written Testing-the-Waters Communication, and any amendment or supplement thereto, all as provided in this Agreement; (d) the production and distribution of this Agreement, any supplemental agreement among Underwriters, and any other related documents in connection with the offering, purchase, sale and delivery of the Shares; (e) any required review by the FINRA of the terms of sale of the Shares (including related fees and expenses of counsel to the Underwriters in an amount that, together with the fees and expenses of counsel to the Underwriters pursuant to clauses (g) and (h) of this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shall not exceed $30,000); (f) the listing of the Shares on The NASDAQ Global Market and/or any other exchange; (g) the qualification of the Shares under the securities laws of the several jurisdictions as provided in Section 5(a)(ix) and the preparation, printing and distribution of a Blue Sky Memorandum (including related fees and expenses of counsel to the Underwriters, which, together with the fees and expenses of counsel to the Underwriters pursuant to clauses (e) and (h) of this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shall not exceed $30,000); (h) the preparation, printing and distribution of one or more versions of the Preliminary Prospectus and the Prospectus for distribution in Canada, including in the form of a Canadian “wrapper” (including related fees and expenses of Canadian counsel to the Underwriters, which, together with the fees and expenses of counsel to the Underwriters pursuant to clauses (e) and (g) of this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shall not exceed $30,000); (i) the investor presentations on any “road show” or any Testing-the-Waters Communication, undertaken in connection with the marketing of the Shares, including, without limitation, expenses associated with any electronic road show, travel and lodging expenses of the representatives and officers of the Company and 50% of the cost of any aircraft chartered in connection with the road show; and (j) all other costs and expenses incident to the performance of the obligations of the Company under this Agreement;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except as provided in this Section 6 and in Section 11, the Underwriters shall pay their own costs and expenses, including the costs and expenses of their counsel, any transfer taxes on the Shares which they may sell and the expenses of advertising any offering of the Shares made by the Underwriters, and the travel and lodging expenses of their representatives including 50% of the cost of any aircraft chartered in connection with the roadshow.</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6" w:name="page27"/>
    <w:bookmarkEnd w:id="26"/>
    <w:p>
      <w:pPr>
        <w:jc w:val="both"/>
        <w:ind w:firstLine="1164"/>
        <w:spacing w:after="0" w:line="267" w:lineRule="auto"/>
        <w:tabs>
          <w:tab w:leader="none" w:pos="1736"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Conditions of Underwriters’ Obligations</w:t>
      </w:r>
      <w:r>
        <w:rPr>
          <w:rFonts w:ascii="Arial" w:cs="Arial" w:eastAsia="Arial" w:hAnsi="Arial"/>
          <w:sz w:val="16"/>
          <w:szCs w:val="16"/>
          <w:color w:val="auto"/>
        </w:rPr>
        <w:t>. The respective obligations of the Underwriters hereunder are subject to the accuracy, when made and on</w:t>
      </w:r>
      <w:r>
        <w:rPr>
          <w:rFonts w:ascii="Arial" w:cs="Arial" w:eastAsia="Arial" w:hAnsi="Arial"/>
          <w:sz w:val="16"/>
          <w:szCs w:val="16"/>
          <w:i w:val="1"/>
          <w:iCs w:val="1"/>
          <w:color w:val="auto"/>
        </w:rPr>
        <w:t xml:space="preserve"> </w:t>
      </w:r>
      <w:r>
        <w:rPr>
          <w:rFonts w:ascii="Arial" w:cs="Arial" w:eastAsia="Arial" w:hAnsi="Arial"/>
          <w:sz w:val="16"/>
          <w:szCs w:val="16"/>
          <w:color w:val="auto"/>
        </w:rPr>
        <w:t>each Delivery Date, of the representations and warranties of the Company contained herein, to the performance by the Company of its obligations hereunder, and to each of the following additional terms and conditions:</w:t>
      </w:r>
    </w:p>
    <w:p>
      <w:pPr>
        <w:spacing w:after="0" w:line="161" w:lineRule="exact"/>
        <w:rPr>
          <w:rFonts w:ascii="Arial" w:cs="Arial" w:eastAsia="Arial" w:hAnsi="Arial"/>
          <w:sz w:val="16"/>
          <w:szCs w:val="16"/>
          <w:color w:val="auto"/>
        </w:rPr>
      </w:pPr>
    </w:p>
    <w:p>
      <w:pPr>
        <w:jc w:val="both"/>
        <w:ind w:left="1160" w:firstLine="586"/>
        <w:spacing w:after="0" w:line="257" w:lineRule="auto"/>
        <w:tabs>
          <w:tab w:leader="none" w:pos="2014"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Prospectus shall have been timely filed with the Commission in accordance with Section 5(a)(i).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shall have been initiated or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Washington, D.C. time, on the date of this Agreement.</w:t>
      </w:r>
    </w:p>
    <w:p>
      <w:pPr>
        <w:spacing w:after="0" w:line="171" w:lineRule="exact"/>
        <w:rPr>
          <w:rFonts w:ascii="Arial" w:cs="Arial" w:eastAsia="Arial" w:hAnsi="Arial"/>
          <w:sz w:val="16"/>
          <w:szCs w:val="16"/>
          <w:color w:val="auto"/>
        </w:rPr>
      </w:pPr>
    </w:p>
    <w:p>
      <w:pPr>
        <w:jc w:val="both"/>
        <w:ind w:left="1160" w:firstLine="586"/>
        <w:spacing w:after="0" w:line="292" w:lineRule="auto"/>
        <w:tabs>
          <w:tab w:leader="none" w:pos="2041" w:val="left"/>
        </w:tabs>
        <w:numPr>
          <w:ilvl w:val="1"/>
          <w:numId w:val="35"/>
        </w:numPr>
        <w:rPr>
          <w:rFonts w:ascii="Arial" w:cs="Arial" w:eastAsia="Arial" w:hAnsi="Arial"/>
          <w:sz w:val="15"/>
          <w:szCs w:val="15"/>
          <w:color w:val="auto"/>
        </w:rPr>
      </w:pPr>
      <w:r>
        <w:rPr>
          <w:rFonts w:ascii="Arial" w:cs="Arial" w:eastAsia="Arial" w:hAnsi="Arial"/>
          <w:sz w:val="15"/>
          <w:szCs w:val="15"/>
          <w:color w:val="auto"/>
        </w:rPr>
        <w:t>No Underwriter shall have discovered and disclosed to the Company on or prior to such Delivery Date that the Registration Statement, the Prospectus or the Pricing Disclosure Package, or any amendment or supplement thereto, contains an untrue statement of a fact which is material or omits to state a fact which is material and is required to be stated therein or is necessary to make the statements therein not misleading.</w:t>
      </w:r>
    </w:p>
    <w:p>
      <w:pPr>
        <w:spacing w:after="0" w:line="145" w:lineRule="exact"/>
        <w:rPr>
          <w:rFonts w:ascii="Arial" w:cs="Arial" w:eastAsia="Arial" w:hAnsi="Arial"/>
          <w:sz w:val="15"/>
          <w:szCs w:val="15"/>
          <w:color w:val="auto"/>
        </w:rPr>
      </w:pPr>
    </w:p>
    <w:p>
      <w:pPr>
        <w:jc w:val="both"/>
        <w:ind w:left="1160" w:firstLine="586"/>
        <w:spacing w:after="0" w:line="285" w:lineRule="auto"/>
        <w:tabs>
          <w:tab w:leader="none" w:pos="2071" w:val="left"/>
        </w:tabs>
        <w:numPr>
          <w:ilvl w:val="1"/>
          <w:numId w:val="35"/>
        </w:numPr>
        <w:rPr>
          <w:rFonts w:ascii="Arial" w:cs="Arial" w:eastAsia="Arial" w:hAnsi="Arial"/>
          <w:sz w:val="15"/>
          <w:szCs w:val="15"/>
          <w:color w:val="auto"/>
        </w:rPr>
      </w:pPr>
      <w:r>
        <w:rPr>
          <w:rFonts w:ascii="Arial" w:cs="Arial" w:eastAsia="Arial" w:hAnsi="Arial"/>
          <w:sz w:val="15"/>
          <w:szCs w:val="15"/>
          <w:color w:val="auto"/>
        </w:rPr>
        <w:t>All corporate proceedings and other legal matters incident to the authorization, form and validity of this Agreement, the Shares, the Registration Statement, the Prospectus and any Issuer Free Writing Prospectus, and all other legal matters relating to this Agreement and the transactions contemplated hereby shall be reasonably satisfactory in all material respects to counsel for the Underwriters, and the Company shall have furnished to such counsel all documents and information that they may reasonably request to enable them to pass upon such matters.</w:t>
      </w:r>
    </w:p>
    <w:p>
      <w:pPr>
        <w:spacing w:after="0" w:line="149" w:lineRule="exact"/>
        <w:rPr>
          <w:rFonts w:ascii="Arial" w:cs="Arial" w:eastAsia="Arial" w:hAnsi="Arial"/>
          <w:sz w:val="15"/>
          <w:szCs w:val="15"/>
          <w:color w:val="auto"/>
        </w:rPr>
      </w:pPr>
    </w:p>
    <w:p>
      <w:pPr>
        <w:ind w:left="1160" w:firstLine="586"/>
        <w:spacing w:after="0" w:line="316" w:lineRule="auto"/>
        <w:tabs>
          <w:tab w:leader="none" w:pos="2063" w:val="left"/>
        </w:tabs>
        <w:numPr>
          <w:ilvl w:val="1"/>
          <w:numId w:val="35"/>
        </w:numPr>
        <w:rPr>
          <w:rFonts w:ascii="Arial" w:cs="Arial" w:eastAsia="Arial" w:hAnsi="Arial"/>
          <w:sz w:val="15"/>
          <w:szCs w:val="15"/>
          <w:color w:val="auto"/>
        </w:rPr>
      </w:pPr>
      <w:r>
        <w:rPr>
          <w:rFonts w:ascii="Arial" w:cs="Arial" w:eastAsia="Arial" w:hAnsi="Arial"/>
          <w:sz w:val="15"/>
          <w:szCs w:val="15"/>
          <w:color w:val="auto"/>
        </w:rPr>
        <w:t>White &amp; Case LLP shall have furnished to the Representatives its written opinion and negative assurance letter, as U.S. counsel to the Company, addressed to the Underwriters and dated such Delivery Date, in form and substance reasonably satisfactory to the Representatives.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7" w:name="page28"/>
    <w:bookmarkEnd w:id="27"/>
    <w:p>
      <w:pPr>
        <w:ind w:left="20" w:firstLine="586"/>
        <w:spacing w:after="0" w:line="281" w:lineRule="auto"/>
        <w:tabs>
          <w:tab w:leader="none" w:pos="861" w:val="left"/>
        </w:tabs>
        <w:numPr>
          <w:ilvl w:val="0"/>
          <w:numId w:val="36"/>
        </w:numPr>
        <w:rPr>
          <w:rFonts w:ascii="Arial" w:cs="Arial" w:eastAsia="Arial" w:hAnsi="Arial"/>
          <w:sz w:val="16"/>
          <w:szCs w:val="16"/>
          <w:color w:val="auto"/>
        </w:rPr>
      </w:pPr>
      <w:r>
        <w:rPr>
          <w:rFonts w:ascii="Arial" w:cs="Arial" w:eastAsia="Arial" w:hAnsi="Arial"/>
          <w:sz w:val="16"/>
          <w:szCs w:val="16"/>
          <w:color w:val="auto"/>
        </w:rPr>
        <w:t>Meitar Liquornik Geva Leshem Tal shall have furnished to the Representatives its written opinion, as Israeli counsel to the Company, addressed to the Underwriters and dated such Delivery Date, in form and substance reasonably satisfactory to the Representatives.</w:t>
      </w:r>
    </w:p>
    <w:p>
      <w:pPr>
        <w:spacing w:after="0" w:line="150" w:lineRule="exact"/>
        <w:rPr>
          <w:rFonts w:ascii="Arial" w:cs="Arial" w:eastAsia="Arial" w:hAnsi="Arial"/>
          <w:sz w:val="16"/>
          <w:szCs w:val="16"/>
          <w:color w:val="auto"/>
        </w:rPr>
      </w:pPr>
    </w:p>
    <w:p>
      <w:pPr>
        <w:ind w:left="20" w:firstLine="586"/>
        <w:spacing w:after="0" w:line="281" w:lineRule="auto"/>
        <w:tabs>
          <w:tab w:leader="none" w:pos="891" w:val="left"/>
        </w:tabs>
        <w:numPr>
          <w:ilvl w:val="0"/>
          <w:numId w:val="36"/>
        </w:numPr>
        <w:rPr>
          <w:rFonts w:ascii="Arial" w:cs="Arial" w:eastAsia="Arial" w:hAnsi="Arial"/>
          <w:sz w:val="16"/>
          <w:szCs w:val="16"/>
          <w:color w:val="auto"/>
        </w:rPr>
      </w:pPr>
      <w:r>
        <w:rPr>
          <w:rFonts w:ascii="Arial" w:cs="Arial" w:eastAsia="Arial" w:hAnsi="Arial"/>
          <w:sz w:val="16"/>
          <w:szCs w:val="16"/>
          <w:color w:val="auto"/>
        </w:rPr>
        <w:t>G.E. Ehrlich (1995) Ltd. shall have furnished to the Representatives its written opinion, as intellectual property counsel to the Company, addressed to the Underwriters and dated such Delivery Date, in form and substance reasonably satisfactory to the Representatives.</w:t>
      </w:r>
    </w:p>
    <w:p>
      <w:pPr>
        <w:spacing w:after="0" w:line="150" w:lineRule="exact"/>
        <w:rPr>
          <w:rFonts w:ascii="Arial" w:cs="Arial" w:eastAsia="Arial" w:hAnsi="Arial"/>
          <w:sz w:val="16"/>
          <w:szCs w:val="16"/>
          <w:color w:val="auto"/>
        </w:rPr>
      </w:pPr>
    </w:p>
    <w:p>
      <w:pPr>
        <w:jc w:val="both"/>
        <w:ind w:left="20" w:firstLine="586"/>
        <w:spacing w:after="0" w:line="285" w:lineRule="auto"/>
        <w:tabs>
          <w:tab w:leader="none" w:pos="882"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Representatives shall have received from Skadden, Arps, Slate, Meagher &amp; Flom LLP, as U.S. counsel to the Underwriters, such opinion or opinions and negative assurance letter, dated such Delivery Date, with respect to the issuance and sale of the Shares,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149" w:lineRule="exact"/>
        <w:rPr>
          <w:rFonts w:ascii="Arial" w:cs="Arial" w:eastAsia="Arial" w:hAnsi="Arial"/>
          <w:sz w:val="15"/>
          <w:szCs w:val="15"/>
          <w:color w:val="auto"/>
        </w:rPr>
      </w:pPr>
    </w:p>
    <w:p>
      <w:pPr>
        <w:jc w:val="both"/>
        <w:ind w:left="20" w:firstLine="586"/>
        <w:spacing w:after="0" w:line="285" w:lineRule="auto"/>
        <w:tabs>
          <w:tab w:leader="none" w:pos="892"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Representatives shall have received from Gross, Kleinhendler, Hodak, Halevy, Greenberg &amp; Co., as Israeli counsel to the Underwriters, such opinion or opinions, dated such Delivery Date, with respect to the issuance and sale of the Shares,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149" w:lineRule="exact"/>
        <w:rPr>
          <w:rFonts w:ascii="Arial" w:cs="Arial" w:eastAsia="Arial" w:hAnsi="Arial"/>
          <w:sz w:val="15"/>
          <w:szCs w:val="15"/>
          <w:color w:val="auto"/>
        </w:rPr>
      </w:pPr>
    </w:p>
    <w:p>
      <w:pPr>
        <w:jc w:val="both"/>
        <w:ind w:left="20" w:firstLine="586"/>
        <w:spacing w:after="0" w:line="277" w:lineRule="auto"/>
        <w:tabs>
          <w:tab w:leader="none" w:pos="835" w:val="left"/>
        </w:tabs>
        <w:numPr>
          <w:ilvl w:val="0"/>
          <w:numId w:val="36"/>
        </w:numPr>
        <w:rPr>
          <w:rFonts w:ascii="Arial" w:cs="Arial" w:eastAsia="Arial" w:hAnsi="Arial"/>
          <w:sz w:val="15"/>
          <w:szCs w:val="15"/>
          <w:color w:val="auto"/>
        </w:rPr>
      </w:pPr>
      <w:r>
        <w:rPr>
          <w:rFonts w:ascii="Arial" w:cs="Arial" w:eastAsia="Arial" w:hAnsi="Arial"/>
          <w:sz w:val="15"/>
          <w:szCs w:val="15"/>
          <w:color w:val="auto"/>
        </w:rPr>
        <w:t>At the time of execution of this Agreement, the Representatives shall have received from Kost Forer Gabbay &amp; Kasierer, a member of Ernst &amp; Young Global, a letter, in form and substance satisfactory to the Representatives, addressed to the Underwriters and dated the date 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most recent Preliminary Prospectus, as of a date not more than three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351"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28" w:name="page29"/>
    <w:bookmarkEnd w:id="28"/>
    <w:p>
      <w:pPr>
        <w:jc w:val="both"/>
        <w:ind w:left="20" w:firstLine="586"/>
        <w:spacing w:after="0" w:line="276" w:lineRule="auto"/>
        <w:tabs>
          <w:tab w:leader="none" w:pos="861" w:val="left"/>
        </w:tabs>
        <w:numPr>
          <w:ilvl w:val="0"/>
          <w:numId w:val="37"/>
        </w:numPr>
        <w:rPr>
          <w:rFonts w:ascii="Arial" w:cs="Arial" w:eastAsia="Arial" w:hAnsi="Arial"/>
          <w:sz w:val="15"/>
          <w:szCs w:val="15"/>
          <w:color w:val="auto"/>
        </w:rPr>
      </w:pPr>
      <w:r>
        <w:rPr>
          <w:rFonts w:ascii="Arial" w:cs="Arial" w:eastAsia="Arial" w:hAnsi="Arial"/>
          <w:sz w:val="15"/>
          <w:szCs w:val="15"/>
          <w:color w:val="auto"/>
        </w:rPr>
        <w:t>With respect to the letter of Kost Forer Gabbay &amp; Kasierer, a member of Ernst &amp; Young Global referred to in the preceding paragraph and delivered to the Representatives concurrently with the execution of this Agreement (the “</w:t>
      </w:r>
      <w:r>
        <w:rPr>
          <w:rFonts w:ascii="Arial" w:cs="Arial" w:eastAsia="Arial" w:hAnsi="Arial"/>
          <w:sz w:val="15"/>
          <w:szCs w:val="15"/>
          <w:b w:val="1"/>
          <w:bCs w:val="1"/>
          <w:i w:val="1"/>
          <w:iCs w:val="1"/>
          <w:color w:val="auto"/>
        </w:rPr>
        <w:t>initial letter</w:t>
      </w:r>
      <w:r>
        <w:rPr>
          <w:rFonts w:ascii="Arial" w:cs="Arial" w:eastAsia="Arial" w:hAnsi="Arial"/>
          <w:sz w:val="15"/>
          <w:szCs w:val="15"/>
          <w:color w:val="auto"/>
        </w:rPr>
        <w:t>”), the Company shall have furnished to the Representatives a letter (the “</w:t>
      </w:r>
      <w:r>
        <w:rPr>
          <w:rFonts w:ascii="Arial" w:cs="Arial" w:eastAsia="Arial" w:hAnsi="Arial"/>
          <w:sz w:val="15"/>
          <w:szCs w:val="15"/>
          <w:b w:val="1"/>
          <w:bCs w:val="1"/>
          <w:i w:val="1"/>
          <w:iCs w:val="1"/>
          <w:color w:val="auto"/>
        </w:rPr>
        <w:t>bring-down letter</w:t>
      </w:r>
      <w:r>
        <w:rPr>
          <w:rFonts w:ascii="Arial" w:cs="Arial" w:eastAsia="Arial" w:hAnsi="Arial"/>
          <w:sz w:val="15"/>
          <w:szCs w:val="15"/>
          <w:color w:val="auto"/>
        </w:rPr>
        <w:t>”) of such accountants, addressed to the Underwriters and dated such Delivery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three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w:t>
      </w:r>
    </w:p>
    <w:p>
      <w:pPr>
        <w:spacing w:after="0" w:line="157" w:lineRule="exact"/>
        <w:rPr>
          <w:rFonts w:ascii="Arial" w:cs="Arial" w:eastAsia="Arial" w:hAnsi="Arial"/>
          <w:sz w:val="15"/>
          <w:szCs w:val="15"/>
          <w:color w:val="auto"/>
        </w:rPr>
      </w:pPr>
    </w:p>
    <w:p>
      <w:pPr>
        <w:ind w:left="20" w:firstLine="586"/>
        <w:spacing w:after="0" w:line="281" w:lineRule="auto"/>
        <w:tabs>
          <w:tab w:leader="none" w:pos="8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shall have furnished to the Representatives a certificate, dated such Delivery Date, of its Chief Executive Officer and its Chief Financial Officer as to such matters as the Representatives may reasonably request, including, without limitation, a statement:</w:t>
      </w:r>
    </w:p>
    <w:p>
      <w:pPr>
        <w:spacing w:after="0" w:line="151" w:lineRule="exact"/>
        <w:rPr>
          <w:sz w:val="20"/>
          <w:szCs w:val="20"/>
          <w:color w:val="auto"/>
        </w:rPr>
      </w:pPr>
    </w:p>
    <w:p>
      <w:pPr>
        <w:jc w:val="both"/>
        <w:ind w:left="20" w:firstLine="586"/>
        <w:spacing w:after="0" w:line="267" w:lineRule="auto"/>
        <w:tabs>
          <w:tab w:leader="none" w:pos="116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That the representations, warranties and agreements of the Company in Section 1 are true and correct on and as of such Delivery Date, and the Company has complied with all its agreements contained herein and satisfied all the conditions on its part to be performed or satisfied hereunder at or prior to such Delivery Date;</w:t>
      </w:r>
    </w:p>
    <w:p>
      <w:pPr>
        <w:spacing w:after="0" w:line="161" w:lineRule="exact"/>
        <w:rPr>
          <w:rFonts w:ascii="Arial" w:cs="Arial" w:eastAsia="Arial" w:hAnsi="Arial"/>
          <w:sz w:val="16"/>
          <w:szCs w:val="16"/>
          <w:color w:val="auto"/>
        </w:rPr>
      </w:pPr>
    </w:p>
    <w:p>
      <w:pPr>
        <w:ind w:left="20" w:firstLine="586"/>
        <w:spacing w:after="0" w:line="281" w:lineRule="auto"/>
        <w:tabs>
          <w:tab w:leader="none" w:pos="11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That no stop order suspending the effectiveness of the Registration Statement has been issued; and no proceedings or examination for that purpose have been instituted or, to the knowledge of such officers, threatened;</w:t>
      </w:r>
    </w:p>
    <w:p>
      <w:pPr>
        <w:spacing w:after="0" w:line="150" w:lineRule="exact"/>
        <w:rPr>
          <w:rFonts w:ascii="Arial" w:cs="Arial" w:eastAsia="Arial" w:hAnsi="Arial"/>
          <w:sz w:val="16"/>
          <w:szCs w:val="16"/>
          <w:color w:val="auto"/>
        </w:rPr>
      </w:pPr>
    </w:p>
    <w:p>
      <w:pPr>
        <w:jc w:val="both"/>
        <w:ind w:left="20" w:firstLine="586"/>
        <w:spacing w:after="0" w:line="278" w:lineRule="auto"/>
        <w:tabs>
          <w:tab w:leader="none" w:pos="1195"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That they have examined the Registration Statement, the Prospectus and the Pricing Disclosure Package, and, in their opinion, (A) (1) the Registration Statement, as of the Effective Date, (2) the Prospectus, as of its date and on the applicable Delivery Date, and (3) the Pricing Disclosure Package, as of the Applicable Time, did not and do not contain any untrue statement of a material fact and did not and do not omit to state a material fact required to be stated therein or necessary to make the statements therein (except in the case of the Registration Statement, in the light of the circumstances under which they were made) not misleading, and (B) since the Effective Date, no event has occurred that should have been set forth in a supplement or amendment to the Registration Statement, the Prospectus or any Issuer Free Writing Prospectus that has not been so set forth; and</w:t>
      </w:r>
    </w:p>
    <w:p>
      <w:pPr>
        <w:spacing w:after="0" w:line="157" w:lineRule="exact"/>
        <w:rPr>
          <w:rFonts w:ascii="Arial" w:cs="Arial" w:eastAsia="Arial" w:hAnsi="Arial"/>
          <w:sz w:val="15"/>
          <w:szCs w:val="15"/>
          <w:color w:val="auto"/>
        </w:rPr>
      </w:pPr>
    </w:p>
    <w:p>
      <w:pPr>
        <w:ind w:left="1160" w:hanging="554"/>
        <w:spacing w:after="0"/>
        <w:tabs>
          <w:tab w:leader="none" w:pos="11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To the effect of Section 7(l)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representation with respect to the judgment of the Representatives need be made).</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29" w:name="page30"/>
    <w:bookmarkEnd w:id="29"/>
    <w:p>
      <w:pPr>
        <w:jc w:val="both"/>
        <w:ind w:left="20" w:firstLine="586"/>
        <w:spacing w:after="0" w:line="298" w:lineRule="auto"/>
        <w:tabs>
          <w:tab w:leader="none" w:pos="1165" w:val="left"/>
        </w:tabs>
        <w:numPr>
          <w:ilvl w:val="0"/>
          <w:numId w:val="39"/>
        </w:numPr>
        <w:rPr>
          <w:rFonts w:ascii="Arial" w:cs="Arial" w:eastAsia="Arial" w:hAnsi="Arial"/>
          <w:sz w:val="14"/>
          <w:szCs w:val="14"/>
          <w:color w:val="auto"/>
        </w:rPr>
      </w:pPr>
      <w:r>
        <w:rPr>
          <w:rFonts w:ascii="Arial" w:cs="Arial" w:eastAsia="Arial" w:hAnsi="Arial"/>
          <w:sz w:val="14"/>
          <w:szCs w:val="14"/>
          <w:color w:val="auto"/>
        </w:rPr>
        <w:t>(i) Neither the Company nor any of its subsidiaries shall have sustained, since the date of the latest audited financial statements included in the most recent Preliminary Prospectus, any loss or interference with its business from fire, explosion, flood or other calamity, whether or not covered by insurance, or from any labor dispute or court or governmental action, order or decree, or (ii) since such date, and except as set out in the Pricing Disclosure Package, there shall not have been any change in the share capital or long-term debt of the Company or any of its subsidiaries or any change, or any development involving a prospective change, in or affecting the condition (financial or otherwise), results of operations, shareholders’ equity, properties, management, business or prospects of the Company and its subsidiaries taken as a whole, the effect of which, in any such case described in clause (i) or (ii), is, individually or in the aggregate, in the judgment of the Representatives, so material and adverse as to make it impracticable or inadvisable to proceed with the public offering or the delivery of the Shares being delivered on such Delivery Date on the terms and in the manner contemplated in the Prospectus.</w:t>
      </w:r>
    </w:p>
    <w:p>
      <w:pPr>
        <w:spacing w:after="0" w:line="144" w:lineRule="exact"/>
        <w:rPr>
          <w:rFonts w:ascii="Arial" w:cs="Arial" w:eastAsia="Arial" w:hAnsi="Arial"/>
          <w:sz w:val="14"/>
          <w:szCs w:val="14"/>
          <w:color w:val="auto"/>
        </w:rPr>
      </w:pPr>
    </w:p>
    <w:p>
      <w:pPr>
        <w:jc w:val="both"/>
        <w:ind w:left="20" w:firstLine="586"/>
        <w:spacing w:after="0" w:line="273" w:lineRule="auto"/>
        <w:tabs>
          <w:tab w:leader="none" w:pos="1482" w:val="left"/>
        </w:tabs>
        <w:numPr>
          <w:ilvl w:val="0"/>
          <w:numId w:val="39"/>
        </w:numPr>
        <w:rPr>
          <w:rFonts w:ascii="Arial" w:cs="Arial" w:eastAsia="Arial" w:hAnsi="Arial"/>
          <w:sz w:val="15"/>
          <w:szCs w:val="15"/>
          <w:color w:val="auto"/>
        </w:rPr>
      </w:pPr>
      <w:r>
        <w:rPr>
          <w:rFonts w:ascii="Arial" w:cs="Arial" w:eastAsia="Arial" w:hAnsi="Arial"/>
          <w:sz w:val="15"/>
          <w:szCs w:val="15"/>
          <w:color w:val="auto"/>
        </w:rPr>
        <w:t>Subsequent to the execution and delivery of this Agreement there shall not have occurred any of the following: (i) (A) trading in securities generally on any securities exchange that has registered with the Commission under Section 6 of the Exchange Act (including the New York Stock Exchange, The NASDAQ Global Select Market, The NASDAQ Global Market or The NASDAQ Capital Market), or (B)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(iii) the United States or the State of Israel shall have become engaged in hostilities, there shall have been an escalation in hostilities involving the United States or the State of Israel or there shall have been a declaration of a national emergency by the United States or war by the United States or the State of Israel,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as to make it, in the judgment of the Representatives, impracticable or inadvisable to proceed with the public offering or delivery of the Shares being delivered on such Delivery Date on the terms and in the manner contemplated in the Prospectus.</w:t>
      </w:r>
    </w:p>
    <w:p>
      <w:pPr>
        <w:spacing w:after="0" w:line="162" w:lineRule="exact"/>
        <w:rPr>
          <w:rFonts w:ascii="Arial" w:cs="Arial" w:eastAsia="Arial" w:hAnsi="Arial"/>
          <w:sz w:val="15"/>
          <w:szCs w:val="15"/>
          <w:color w:val="auto"/>
        </w:rPr>
      </w:pPr>
    </w:p>
    <w:p>
      <w:pPr>
        <w:ind w:left="20" w:firstLine="586"/>
        <w:spacing w:after="0" w:line="281" w:lineRule="auto"/>
        <w:tabs>
          <w:tab w:leader="none" w:pos="1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NASDAQ Global Market shall have approved the Shares for listing, subject only to official notice of issuance and evidence of satisfactory distribution.</w:t>
      </w:r>
    </w:p>
    <w:p>
      <w:pPr>
        <w:spacing w:after="0" w:line="150" w:lineRule="exact"/>
        <w:rPr>
          <w:rFonts w:ascii="Arial" w:cs="Arial" w:eastAsia="Arial" w:hAnsi="Arial"/>
          <w:sz w:val="16"/>
          <w:szCs w:val="16"/>
          <w:color w:val="auto"/>
        </w:rPr>
      </w:pPr>
    </w:p>
    <w:p>
      <w:pPr>
        <w:ind w:left="20" w:firstLine="586"/>
        <w:spacing w:after="0" w:line="281" w:lineRule="auto"/>
        <w:tabs>
          <w:tab w:leader="none" w:pos="122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Lock-Up Agreements between the Representatives and the officers, directors and shareholders of the Company set forth on Schedule II, delivered to the Representatives on or before the date of this Agreement, shall be in full force and effect on such Delivery Date.</w:t>
      </w:r>
    </w:p>
    <w:p>
      <w:pPr>
        <w:spacing w:after="0" w:line="344"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30" w:name="page31"/>
    <w:bookmarkEnd w:id="30"/>
    <w:p>
      <w:pPr>
        <w:ind w:left="1160" w:firstLine="586"/>
        <w:spacing w:after="0" w:line="281" w:lineRule="auto"/>
        <w:tabs>
          <w:tab w:leader="none" w:pos="2404"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or prior to each Delivery Date, the Company shall have furnished to the Underwriters such further certificates and documents as the Representatives may reasonably request.</w:t>
      </w:r>
    </w:p>
    <w:p>
      <w:pPr>
        <w:spacing w:after="0" w:line="151" w:lineRule="exact"/>
        <w:rPr>
          <w:sz w:val="20"/>
          <w:szCs w:val="20"/>
          <w:color w:val="auto"/>
        </w:rPr>
      </w:pPr>
    </w:p>
    <w:p>
      <w:pPr>
        <w:ind w:firstLine="1163"/>
        <w:spacing w:after="0" w:line="281" w:lineRule="auto"/>
        <w:rPr>
          <w:sz w:val="20"/>
          <w:szCs w:val="20"/>
          <w:color w:val="auto"/>
        </w:rPr>
      </w:pPr>
      <w:r>
        <w:rPr>
          <w:rFonts w:ascii="Arial" w:cs="Arial" w:eastAsia="Arial" w:hAnsi="Arial"/>
          <w:sz w:val="16"/>
          <w:szCs w:val="16"/>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151" w:lineRule="exact"/>
        <w:rPr>
          <w:sz w:val="20"/>
          <w:szCs w:val="20"/>
          <w:color w:val="auto"/>
        </w:rPr>
      </w:pPr>
    </w:p>
    <w:p>
      <w:pPr>
        <w:ind w:left="1680" w:hanging="516"/>
        <w:spacing w:after="0"/>
        <w:tabs>
          <w:tab w:leader="none" w:pos="16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Indemnification and Contribution.</w:t>
      </w:r>
    </w:p>
    <w:p>
      <w:pPr>
        <w:spacing w:after="0" w:line="203" w:lineRule="exact"/>
        <w:rPr>
          <w:rFonts w:ascii="Arial" w:cs="Arial" w:eastAsia="Arial" w:hAnsi="Arial"/>
          <w:sz w:val="16"/>
          <w:szCs w:val="16"/>
          <w:color w:val="auto"/>
        </w:rPr>
      </w:pPr>
    </w:p>
    <w:p>
      <w:pPr>
        <w:jc w:val="both"/>
        <w:ind w:left="1160" w:firstLine="586"/>
        <w:spacing w:after="0" w:line="271" w:lineRule="auto"/>
        <w:tabs>
          <w:tab w:leader="none" w:pos="2343" w:val="left"/>
        </w:tabs>
        <w:numPr>
          <w:ilvl w:val="1"/>
          <w:numId w:val="41"/>
        </w:numPr>
        <w:rPr>
          <w:rFonts w:ascii="Arial" w:cs="Arial" w:eastAsia="Arial" w:hAnsi="Arial"/>
          <w:sz w:val="15"/>
          <w:szCs w:val="15"/>
          <w:color w:val="auto"/>
        </w:rPr>
      </w:pPr>
      <w:r>
        <w:rPr>
          <w:rFonts w:ascii="Arial" w:cs="Arial" w:eastAsia="Arial" w:hAnsi="Arial"/>
          <w:sz w:val="15"/>
          <w:szCs w:val="15"/>
          <w:color w:val="auto"/>
        </w:rPr>
        <w:t>The Company hereby agrees to indemnify and hold harmless each Underwriter, its affiliates, directors, officers, employees and agents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Shares), to which that Underwriter, affiliate, director, officer, employee, agent or controlling person may become subject, under the Securities Act or otherwise, insofar as such loss, claim, damage, liability or action arises out of, or is based upon, (i) any untrue statement or alleged untrue statement of a material fact contained in (A) any Preliminary Prospectus, the Registration Statement, the Prospectus or in any amendment or supplement thereto, (B) any Issuer Free Writing Prospectus or in any amendment or supplement thereto, (C) any Permitted Issuer Information used or referred to in any “free writing prospectus” (as defined in Rule 405 under the Securities Act) used or referred to by any Underwriter, (D) any materials or information provided to investors by, or with the approval of, the Company in connection with the marketing of the offering of the Shares, including any “road show” (as defined in Rule 433 under the Securities Act) not constituting an Issuer Free Writing Prospectus and any Written Testing-the-Waters Communication (“</w:t>
      </w:r>
      <w:r>
        <w:rPr>
          <w:rFonts w:ascii="Arial" w:cs="Arial" w:eastAsia="Arial" w:hAnsi="Arial"/>
          <w:sz w:val="15"/>
          <w:szCs w:val="15"/>
          <w:b w:val="1"/>
          <w:bCs w:val="1"/>
          <w:i w:val="1"/>
          <w:iCs w:val="1"/>
          <w:color w:val="auto"/>
        </w:rPr>
        <w:t>Marketing Materials</w:t>
      </w:r>
      <w:r>
        <w:rPr>
          <w:rFonts w:ascii="Arial" w:cs="Arial" w:eastAsia="Arial" w:hAnsi="Arial"/>
          <w:sz w:val="15"/>
          <w:szCs w:val="15"/>
          <w:color w:val="auto"/>
        </w:rPr>
        <w:t>”), or (E) any Blue Sky application or other document prepared or executed by the Company (or based upon any written information furnished by the Company specifically for use therein) specifically for the purpose of qualifying any or all of the Shares under the securities laws of any state or other jurisdiction (any such application, document or information being hereinafter called a “</w:t>
      </w:r>
      <w:r>
        <w:rPr>
          <w:rFonts w:ascii="Arial" w:cs="Arial" w:eastAsia="Arial" w:hAnsi="Arial"/>
          <w:sz w:val="15"/>
          <w:szCs w:val="15"/>
          <w:b w:val="1"/>
          <w:bCs w:val="1"/>
          <w:i w:val="1"/>
          <w:iCs w:val="1"/>
          <w:color w:val="auto"/>
        </w:rPr>
        <w:t>Blue Sky Application</w:t>
      </w:r>
      <w:r>
        <w:rPr>
          <w:rFonts w:ascii="Arial" w:cs="Arial" w:eastAsia="Arial" w:hAnsi="Arial"/>
          <w:sz w:val="15"/>
          <w:szCs w:val="15"/>
          <w:color w:val="auto"/>
        </w:rPr>
        <w:t xml:space="preserve">”) or (ii) the omission or alleged omission to state in any Preliminary Prospectus, the Registration Statement, the Prospectus, any Issuer Free Writing Prospectus or in any amendment or supplement thereto or in any Permitted Issuer Information, any Marketing Materials or any Blue Sky Application, any material fact required to be stated therein or necessary to make the statements therein not misleading, and shall reimburse each Underwriter and each such affiliate, director, officer, agent, employee or controlling person promptly upon demand for any legal or other expenses reasonably incurred by that Underwriter, affiliate, director, officer, agent, employee or controlling person in connection with investigating or defending or preparing to defend against any such loss, claim, damage, liability or action as such expenses are incurred;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Company shall not be liable in any such case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in any such amendment or supplement thereto or in any Permitted Issuer Information, any Marketing Materials or any Blue Sky Application, in reliance upon and in conformity with written information concerning such Underwriter furnished to the Company through the Representatives by or on behalf of any Underwriter specifically for inclusion therein, which information consists solely of the information specified in Section 8(e). The foregoing indemnity agreement is in addition to any liability which the Company may otherwise have to any Underwriter or to any affiliate, director, officer, agent, employee or controlling person of that Underwriter.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1" w:name="page32"/>
    <w:bookmarkEnd w:id="31"/>
    <w:p>
      <w:pPr>
        <w:jc w:val="both"/>
        <w:ind w:left="20" w:firstLine="586"/>
        <w:spacing w:after="0" w:line="291" w:lineRule="auto"/>
        <w:tabs>
          <w:tab w:leader="none" w:pos="1206" w:val="left"/>
        </w:tabs>
        <w:numPr>
          <w:ilvl w:val="1"/>
          <w:numId w:val="42"/>
        </w:numPr>
        <w:rPr>
          <w:rFonts w:ascii="Arial" w:cs="Arial" w:eastAsia="Arial" w:hAnsi="Arial"/>
          <w:sz w:val="14"/>
          <w:szCs w:val="14"/>
          <w:color w:val="auto"/>
        </w:rPr>
      </w:pPr>
      <w:r>
        <w:rPr>
          <w:rFonts w:ascii="Arial" w:cs="Arial" w:eastAsia="Arial" w:hAnsi="Arial"/>
          <w:sz w:val="14"/>
          <w:szCs w:val="14"/>
          <w:color w:val="auto"/>
        </w:rPr>
        <w:t>Each Underwriter, severally and not jointly, shall indemnify and hold harmless the Company, its directors, officers, employees and agents, and each person, if any, who controls the Company within the meaning of Section 15 of the Securities Act or Section 20 of the Exchange Act, from and against any loss, claim, damage or liability, joint or several, or any action in respect thereof, to which the Company or any such director, officer, employee, agent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Marketing Materials or Blue Sky Application, or</w:t>
      </w:r>
    </w:p>
    <w:p>
      <w:pPr>
        <w:spacing w:after="0" w:line="3" w:lineRule="exact"/>
        <w:rPr>
          <w:rFonts w:ascii="Arial" w:cs="Arial" w:eastAsia="Arial" w:hAnsi="Arial"/>
          <w:sz w:val="14"/>
          <w:szCs w:val="14"/>
          <w:color w:val="auto"/>
        </w:rPr>
      </w:pPr>
    </w:p>
    <w:p>
      <w:pPr>
        <w:jc w:val="both"/>
        <w:ind w:left="20" w:firstLine="4"/>
        <w:spacing w:after="0" w:line="254" w:lineRule="auto"/>
        <w:tabs>
          <w:tab w:leader="none" w:pos="26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omission or alleged omission to state in any Preliminary Prospectus, the Registration Statement, the Prospectus, any Issuer Free Writing Prospectus or in any amendment or supplement thereto or in any Marketing Materials or Blue Sky Application,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such Underwriter furnished to the Company through the Representatives by or on behalf of that Underwriter specifically for inclusion therein, which information is limited to the information set forth in Section 8(e). The foregoing indemnity agreement is in addition to any liability that any Underwriter may otherwise have to the Company or any such director, officer, employee or controlling person.</w:t>
      </w:r>
    </w:p>
    <w:p>
      <w:pPr>
        <w:spacing w:after="0" w:line="369"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32" w:name="page33"/>
    <w:bookmarkEnd w:id="32"/>
    <w:p>
      <w:pPr>
        <w:jc w:val="both"/>
        <w:ind w:left="20" w:firstLine="586"/>
        <w:spacing w:after="0" w:line="291" w:lineRule="auto"/>
        <w:tabs>
          <w:tab w:leader="none" w:pos="1355"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Promptly after receipt by an indemnified party under this Section 8 of notice of any claim or the commencement of any action, the indemnified party shall, if a claim in respect thereof is to be made against the indemnifying party under this Section 8, notify the indemnifying party in writing of the claim or the commencement of that action;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the failure to notify the indemnifying party shall not relieve it from any liability which it may have under this Section 8 except to the extent it has been materially prejudiced (through the forfeiture of substantive rights and defenses) by such failure and,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further</w:t>
      </w:r>
      <w:r>
        <w:rPr>
          <w:rFonts w:ascii="Arial" w:cs="Arial" w:eastAsia="Arial" w:hAnsi="Arial"/>
          <w:sz w:val="14"/>
          <w:szCs w:val="14"/>
          <w:color w:val="auto"/>
        </w:rPr>
        <w:t xml:space="preserve">, that the failure to notify the indemnifying party shall not relieve it from any liability which it may have to an indemnified party otherwise than under this Section 8.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8 for any legal or other expenses subsequently incurred by the indemnified party in connection with the defense thereof other than reasonable costs of investigation;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indemnified party shall have the right to employ counsel to represent jointly the indemnified party and those other indemnified parties and their respective directors, officers, employees and controlling persons who may be subject to liability arising out of any claim in respect of which indemnity may be sought under this Section 8 if (i) the indemnified party and the indemnifying party shall have so mutually agreed; (ii) the indemnifying party has failed within a reasonable time to retain counsel reasonably satisfactory to the indemnified party; (iii) the indemnified party and its directors, officers, employees and controlling persons shall have reasonably concluded that there may be legal defenses available to them that are different from or in addition to those available to the indemnifying party; or (iv) the named parties in any such proceeding (including any impleaded parties) include both the indemnified parties or their respective directors, officers, employees or controlling persons, on the one hand, and the indemnifying party, on the other hand, and representation of both sets of parties by the same counsel would be inappropriate due to actual or potential differing interests between them, and in any such event the fees and expenses of such separate counsel shall be paid by the indemnifying party. No indemnifying party shall (x)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Section 8(a) hereof,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have notice of the terms of such settlement at least 30 days prior to such settlement being entered into and (iii) such indemnifying party shall not have reimbursed the indemnified party in accordance with such request or disputed in good faith the indemnified party’s entitlement to such reimbursement prior to the date of such settlement.</w:t>
      </w:r>
    </w:p>
    <w:p>
      <w:pPr>
        <w:spacing w:after="0" w:line="200" w:lineRule="exact"/>
        <w:rPr>
          <w:sz w:val="20"/>
          <w:szCs w:val="20"/>
          <w:color w:val="auto"/>
        </w:rPr>
      </w:pPr>
    </w:p>
    <w:p>
      <w:pPr>
        <w:spacing w:after="0" w:line="338"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33" w:name="page34"/>
    <w:bookmarkEnd w:id="33"/>
    <w:p>
      <w:pPr>
        <w:jc w:val="both"/>
        <w:ind w:left="20" w:firstLine="586"/>
        <w:spacing w:after="0" w:line="271" w:lineRule="auto"/>
        <w:tabs>
          <w:tab w:leader="none" w:pos="1227" w:val="left"/>
        </w:tabs>
        <w:numPr>
          <w:ilvl w:val="0"/>
          <w:numId w:val="45"/>
        </w:numPr>
        <w:rPr>
          <w:rFonts w:ascii="Arial" w:cs="Arial" w:eastAsia="Arial" w:hAnsi="Arial"/>
          <w:sz w:val="15"/>
          <w:szCs w:val="15"/>
          <w:color w:val="auto"/>
        </w:rPr>
      </w:pPr>
      <w:r>
        <w:rPr>
          <w:rFonts w:ascii="Arial" w:cs="Arial" w:eastAsia="Arial" w:hAnsi="Arial"/>
          <w:sz w:val="15"/>
          <w:szCs w:val="15"/>
          <w:color w:val="auto"/>
        </w:rPr>
        <w:t>If the indemnification provided for in this Section 8 shall for any reason be unavailable to or insufficient to hold harmless an indemnified party under Section 8(a) or 8(b)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Underwriters,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that resulted in such loss, claim, damage or liability, or action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Shares purchased under this Agreement (before deducting expenses) received by the Company, as set forth in the table on the cover page of the Prospectus, on the one hand, and the total underwriting discounts and commissions received by the Underwriters with respect to the Shares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Section 8(d)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8(d) shall be deemed to include, for purposes of this Section 8(d), any legal or other expenses reasonably incurred by such indemnified party in connection with investigating or defending any such action or claim. Notwithstanding the provisions of this Section 8(d),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8(d) are several in proportion to their respective underwriting obligations and not joint.</w:t>
      </w:r>
    </w:p>
    <w:p>
      <w:pPr>
        <w:spacing w:after="0" w:line="364"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34" w:name="page35"/>
    <w:bookmarkEnd w:id="34"/>
    <w:p>
      <w:pPr>
        <w:jc w:val="both"/>
        <w:ind w:left="20" w:firstLine="586"/>
        <w:spacing w:after="0" w:line="258" w:lineRule="auto"/>
        <w:tabs>
          <w:tab w:leader="none" w:pos="1276"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Underwriters severally confirm and the Company acknowledges and agrees that the statements regarding delivery of shares by the Underwriters set forth on the cover page of, and the concession and reallowance figures and the paragraph relating to stabilization, short positions and penalty bids by the Underwriters appearing under the caption “Underwriting” in, the most recent Preliminary Prospectus and the Prospectus are correct and constitute the only information concerning such Underwriters furnished in writing to the Company by or on behalf of the Underwriters specifically for inclusion in any Preliminary Prospectus, the Registration Statement, the Prospectus, any Issuer Free Writing Prospectus or in any amendment or supplement thereto or in any Marketing Materials.</w:t>
      </w:r>
    </w:p>
    <w:p>
      <w:pPr>
        <w:spacing w:after="0" w:line="169" w:lineRule="exact"/>
        <w:rPr>
          <w:rFonts w:ascii="Arial" w:cs="Arial" w:eastAsia="Arial" w:hAnsi="Arial"/>
          <w:sz w:val="16"/>
          <w:szCs w:val="16"/>
          <w:color w:val="auto"/>
        </w:rPr>
      </w:pPr>
    </w:p>
    <w:p>
      <w:pPr>
        <w:ind w:left="540" w:hanging="516"/>
        <w:spacing w:after="0"/>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Defaulting Underwriters</w:t>
      </w:r>
      <w:r>
        <w:rPr>
          <w:rFonts w:ascii="Arial" w:cs="Arial" w:eastAsia="Arial" w:hAnsi="Arial"/>
          <w:sz w:val="16"/>
          <w:szCs w:val="16"/>
          <w:color w:val="auto"/>
        </w:rPr>
        <w:t>.</w:t>
      </w:r>
    </w:p>
    <w:p>
      <w:pPr>
        <w:spacing w:after="0" w:line="203" w:lineRule="exact"/>
        <w:rPr>
          <w:rFonts w:ascii="Arial" w:cs="Arial" w:eastAsia="Arial" w:hAnsi="Arial"/>
          <w:sz w:val="16"/>
          <w:szCs w:val="16"/>
          <w:color w:val="auto"/>
        </w:rPr>
      </w:pPr>
    </w:p>
    <w:p>
      <w:pPr>
        <w:jc w:val="both"/>
        <w:ind w:left="20" w:firstLine="586"/>
        <w:spacing w:after="0" w:line="273" w:lineRule="auto"/>
        <w:tabs>
          <w:tab w:leader="none" w:pos="1339" w:val="left"/>
        </w:tabs>
        <w:numPr>
          <w:ilvl w:val="1"/>
          <w:numId w:val="47"/>
        </w:numPr>
        <w:rPr>
          <w:rFonts w:ascii="Arial" w:cs="Arial" w:eastAsia="Arial" w:hAnsi="Arial"/>
          <w:sz w:val="15"/>
          <w:szCs w:val="15"/>
          <w:color w:val="auto"/>
        </w:rPr>
      </w:pPr>
      <w:r>
        <w:rPr>
          <w:rFonts w:ascii="Arial" w:cs="Arial" w:eastAsia="Arial" w:hAnsi="Arial"/>
          <w:sz w:val="15"/>
          <w:szCs w:val="15"/>
          <w:color w:val="auto"/>
        </w:rPr>
        <w:t>If, on any Delivery Date, any Underwriter defaults in its obligations to purchase the Shares that it has agreed to purchase under this Agreement, the remaining non-defaulting Underwriters may in their discretion arrange for the purchase of such Shares by the non-defaulting Underwriters or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reasonably satisfactory to the non-defaulting Underwriters to purchase such Shares on such terms. In the event that within the respective prescribed periods, the non-defaulting Underwriters notify the Company that they have so arranged for the purchase of such Shares, or the Company notifies the non-defaulting Underwriters that it has so arranged for the purchase of such Shares, either the non-defaulting Underwriters or the Company may postpone such Delivery Date for up to seven full business days in order to effect any changes that in the opinion of counsel for the Company or counsel for the Underwriters may be necessary in the Registration Statement, the Prospectus or in any other document or arrangement, and the Company agrees to promptly prepare any amendment or supplement to the Registration Statement, the Prospectus or in any such other document or arrangement that effects any such changes. As used in this Agreement, the term “Underwriter” includes, for all purposes of this Agreement unless the context requires otherwise, any party not listed in Schedule I hereto that, pursuant to this Section 9, purchases Shares that a defaulting Underwriter agreed but failed to purchase.</w:t>
      </w:r>
    </w:p>
    <w:p>
      <w:pPr>
        <w:spacing w:after="0" w:line="356"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35" w:name="page36"/>
    <w:bookmarkEnd w:id="35"/>
    <w:p>
      <w:pPr>
        <w:jc w:val="both"/>
        <w:ind w:left="1160" w:firstLine="586"/>
        <w:spacing w:after="0" w:line="257" w:lineRule="auto"/>
        <w:tabs>
          <w:tab w:leader="none" w:pos="2276"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If, after giving effect to any arrangements for the purchase of the Shares of a defaulting Underwriter or Underwriters by the non-defaulting Underwriters and the Company as provided in paragraph (a) above, the total number of Shares that remains unpurchased does not exceed one-eleventh of the total number of all the Shares, then the Company shall have the right to require each non-defaulting Underwriter to purchase the total number of Shares that such Underwriter agreed to purchase hereunder plus such Underwriter's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(based on the total number of Shares that such Underwriter agreed to purchase hereunder) of the Shares of such defaulting Underwriter or Underwriters for which such arrangements have not been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non-defaulting Underwriters shall not be obligated to purchase more than 110% of the total number of Shares that it agreed to purchase on such Delivery Date pursuant to the terms of Section 2.</w:t>
      </w:r>
    </w:p>
    <w:p>
      <w:pPr>
        <w:spacing w:after="0" w:line="171" w:lineRule="exact"/>
        <w:rPr>
          <w:rFonts w:ascii="Arial" w:cs="Arial" w:eastAsia="Arial" w:hAnsi="Arial"/>
          <w:sz w:val="16"/>
          <w:szCs w:val="16"/>
          <w:color w:val="auto"/>
        </w:rPr>
      </w:pPr>
    </w:p>
    <w:p>
      <w:pPr>
        <w:jc w:val="both"/>
        <w:ind w:left="1160" w:firstLine="586"/>
        <w:spacing w:after="0" w:line="258" w:lineRule="auto"/>
        <w:tabs>
          <w:tab w:leader="none" w:pos="2267" w:val="left"/>
        </w:tabs>
        <w:numPr>
          <w:ilvl w:val="1"/>
          <w:numId w:val="48"/>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the non-defaulting Underwriters and the Company as provided in paragraph (a) above, the total number of Shares that remains unpurchased exceeds one-eleventh of the total number of all the Shares, or if the Company shall not exercise the right described in paragraph (b) above, then this Agreement shall terminate without liability on the part of the non-defaulting Underwriters. Any termination of this Agreement pursuant to this Section 9 shall be without liability on the part of the Company, except that the Company will continue to be liable for the payment of expenses as set forth in Sections 6 and 11 and except that the provisions of Section 8 shall not terminate and shall remain in effect.</w:t>
      </w:r>
    </w:p>
    <w:p>
      <w:pPr>
        <w:spacing w:after="0" w:line="169" w:lineRule="exact"/>
        <w:rPr>
          <w:rFonts w:ascii="Arial" w:cs="Arial" w:eastAsia="Arial" w:hAnsi="Arial"/>
          <w:sz w:val="16"/>
          <w:szCs w:val="16"/>
          <w:color w:val="auto"/>
        </w:rPr>
      </w:pPr>
    </w:p>
    <w:p>
      <w:pPr>
        <w:ind w:left="1160" w:firstLine="586"/>
        <w:spacing w:after="0" w:line="281" w:lineRule="auto"/>
        <w:tabs>
          <w:tab w:leader="none" w:pos="2443" w:val="left"/>
        </w:tabs>
        <w:numPr>
          <w:ilvl w:val="1"/>
          <w:numId w:val="48"/>
        </w:numPr>
        <w:rPr>
          <w:rFonts w:ascii="Arial" w:cs="Arial" w:eastAsia="Arial" w:hAnsi="Arial"/>
          <w:sz w:val="16"/>
          <w:szCs w:val="16"/>
          <w:color w:val="auto"/>
        </w:rPr>
      </w:pPr>
      <w:r>
        <w:rPr>
          <w:rFonts w:ascii="Arial" w:cs="Arial" w:eastAsia="Arial" w:hAnsi="Arial"/>
          <w:sz w:val="16"/>
          <w:szCs w:val="16"/>
          <w:color w:val="auto"/>
        </w:rPr>
        <w:t>Nothing contained herein shall relieve a defaulting Underwriter of any liability it may have to the Company or any non-defaulting Underwriter for damages caused by its default.</w:t>
      </w:r>
    </w:p>
    <w:p>
      <w:pPr>
        <w:spacing w:after="0" w:line="150" w:lineRule="exact"/>
        <w:rPr>
          <w:rFonts w:ascii="Arial" w:cs="Arial" w:eastAsia="Arial" w:hAnsi="Arial"/>
          <w:sz w:val="16"/>
          <w:szCs w:val="16"/>
          <w:color w:val="auto"/>
        </w:rPr>
      </w:pPr>
    </w:p>
    <w:p>
      <w:pPr>
        <w:jc w:val="both"/>
        <w:ind w:firstLine="1164"/>
        <w:spacing w:after="0" w:line="267" w:lineRule="auto"/>
        <w:tabs>
          <w:tab w:leader="none" w:pos="1873"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The obligations of the Underwriters hereunder may be terminated by the Representatives by notice given to and received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prior to delivery of and payment for the Firm Shares if, prior to that time, any of the events described in Sections 7(l) and 7(m) shall have occurred or if the Underwriters shall decline to purchase the Shares for any reason permitted under this Agreement.</w:t>
      </w:r>
    </w:p>
    <w:p>
      <w:pPr>
        <w:spacing w:after="0" w:line="161" w:lineRule="exact"/>
        <w:rPr>
          <w:rFonts w:ascii="Arial" w:cs="Arial" w:eastAsia="Arial" w:hAnsi="Arial"/>
          <w:sz w:val="16"/>
          <w:szCs w:val="16"/>
          <w:color w:val="auto"/>
        </w:rPr>
      </w:pPr>
    </w:p>
    <w:p>
      <w:pPr>
        <w:jc w:val="both"/>
        <w:ind w:firstLine="1164"/>
        <w:spacing w:after="0" w:line="305" w:lineRule="auto"/>
        <w:tabs>
          <w:tab w:leader="none" w:pos="1734" w:val="left"/>
        </w:tabs>
        <w:numPr>
          <w:ilvl w:val="0"/>
          <w:numId w:val="49"/>
        </w:numPr>
        <w:rPr>
          <w:rFonts w:ascii="Arial" w:cs="Arial" w:eastAsia="Arial" w:hAnsi="Arial"/>
          <w:sz w:val="14"/>
          <w:szCs w:val="14"/>
          <w:color w:val="auto"/>
        </w:rPr>
      </w:pPr>
      <w:r>
        <w:rPr>
          <w:rFonts w:ascii="Arial" w:cs="Arial" w:eastAsia="Arial" w:hAnsi="Arial"/>
          <w:sz w:val="14"/>
          <w:szCs w:val="14"/>
          <w:i w:val="1"/>
          <w:iCs w:val="1"/>
          <w:color w:val="auto"/>
        </w:rPr>
        <w:t xml:space="preserve">Reimbursement of Underwriters’ Expenses. </w:t>
      </w:r>
      <w:r>
        <w:rPr>
          <w:rFonts w:ascii="Arial" w:cs="Arial" w:eastAsia="Arial" w:hAnsi="Arial"/>
          <w:sz w:val="14"/>
          <w:szCs w:val="14"/>
          <w:color w:val="auto"/>
        </w:rPr>
        <w:t>If (a) the Company shall fail to tender the Shares for delivery to the Underwriters for any reason, or (b)</w:t>
      </w:r>
      <w:r>
        <w:rPr>
          <w:rFonts w:ascii="Arial" w:cs="Arial" w:eastAsia="Arial" w:hAnsi="Arial"/>
          <w:sz w:val="14"/>
          <w:szCs w:val="14"/>
          <w:i w:val="1"/>
          <w:iCs w:val="1"/>
          <w:color w:val="auto"/>
        </w:rPr>
        <w:t xml:space="preserve"> </w:t>
      </w:r>
      <w:r>
        <w:rPr>
          <w:rFonts w:ascii="Arial" w:cs="Arial" w:eastAsia="Arial" w:hAnsi="Arial"/>
          <w:sz w:val="14"/>
          <w:szCs w:val="14"/>
          <w:color w:val="auto"/>
        </w:rPr>
        <w:t>the Underwriters shall decline to purchase the Shares for any reason permitted under this Agreement, the Company will reimburse the Underwriters for all reasonable out-of-pocket expenses (including fees and disbursements of counsel for the Underwriters) incurred by the Underwriters in connection with this Agreement and the proposed purchase of the Shares, and upon demand the Company shall pay the full amount thereof to the Representatives. If this Agreement is terminated pursuant to Section 9 by reason of the default of one or more Underwriters, the Company shall not be obligated to reimburse any defaulting Underwriter on account of those expenses.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6" w:name="page37"/>
    <w:bookmarkEnd w:id="36"/>
    <w:p>
      <w:pPr>
        <w:jc w:val="both"/>
        <w:ind w:firstLine="1164"/>
        <w:spacing w:after="0" w:line="256" w:lineRule="auto"/>
        <w:tabs>
          <w:tab w:leader="none" w:pos="1764"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Research Analyst Independence. </w:t>
      </w:r>
      <w:r>
        <w:rPr>
          <w:rFonts w:ascii="Arial" w:cs="Arial" w:eastAsia="Arial" w:hAnsi="Arial"/>
          <w:sz w:val="16"/>
          <w:szCs w:val="16"/>
          <w:color w:val="auto"/>
        </w:rPr>
        <w:t>The Company acknowledges that the Underwriters’ research analysts and research departments are required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71" w:lineRule="exact"/>
        <w:rPr>
          <w:rFonts w:ascii="Arial" w:cs="Arial" w:eastAsia="Arial" w:hAnsi="Arial"/>
          <w:sz w:val="16"/>
          <w:szCs w:val="16"/>
          <w:color w:val="auto"/>
        </w:rPr>
      </w:pPr>
    </w:p>
    <w:p>
      <w:pPr>
        <w:jc w:val="both"/>
        <w:ind w:firstLine="1164"/>
        <w:spacing w:after="0" w:line="298" w:lineRule="auto"/>
        <w:tabs>
          <w:tab w:leader="none" w:pos="1861" w:val="left"/>
        </w:tabs>
        <w:numPr>
          <w:ilvl w:val="0"/>
          <w:numId w:val="50"/>
        </w:numPr>
        <w:rPr>
          <w:rFonts w:ascii="Arial" w:cs="Arial" w:eastAsia="Arial" w:hAnsi="Arial"/>
          <w:sz w:val="14"/>
          <w:szCs w:val="14"/>
          <w:color w:val="auto"/>
        </w:rPr>
      </w:pPr>
      <w:r>
        <w:rPr>
          <w:rFonts w:ascii="Arial" w:cs="Arial" w:eastAsia="Arial" w:hAnsi="Arial"/>
          <w:sz w:val="14"/>
          <w:szCs w:val="14"/>
          <w:i w:val="1"/>
          <w:iCs w:val="1"/>
          <w:color w:val="auto"/>
        </w:rPr>
        <w:t>No Fiduciary Duty</w:t>
      </w:r>
      <w:r>
        <w:rPr>
          <w:rFonts w:ascii="Arial" w:cs="Arial" w:eastAsia="Arial" w:hAnsi="Arial"/>
          <w:sz w:val="14"/>
          <w:szCs w:val="14"/>
          <w:color w:val="auto"/>
        </w:rPr>
        <w:t>. The Company acknowledges and agrees that in connection with this offering, sale of the Shares or any other services the</w:t>
      </w:r>
      <w:r>
        <w:rPr>
          <w:rFonts w:ascii="Arial" w:cs="Arial" w:eastAsia="Arial" w:hAnsi="Arial"/>
          <w:sz w:val="14"/>
          <w:szCs w:val="14"/>
          <w:i w:val="1"/>
          <w:iCs w:val="1"/>
          <w:color w:val="auto"/>
        </w:rPr>
        <w:t xml:space="preserve"> </w:t>
      </w:r>
      <w:r>
        <w:rPr>
          <w:rFonts w:ascii="Arial" w:cs="Arial" w:eastAsia="Arial" w:hAnsi="Arial"/>
          <w:sz w:val="14"/>
          <w:szCs w:val="14"/>
          <w:color w:val="auto"/>
        </w:rPr>
        <w:t>Underwriters may be deemed to be providing hereunder, notwithstanding any preexisting relationship, advisory or otherwise, between the parties or any oral representations or assurances previously or subsequently made by the Underwriters: (a) no fiduciary or agency relationship between the Company and any other person, on the one hand, and the Underwriters, on the other, exists; (b) the Underwriters are not acting as advisors, expert or otherwise, to the Company, including, without limitation, with respect to the determination of the public offering price of the Shares, and such relationship between the Company, on the one hand, and the Underwriters, on the other, is entirely and solely commercial, based on arms-length negotiations; (c) any duties and obligations that the Underwriters may have to the Company shall be limited to those duties and obligations specifically stated herein; and (d) the Underwriters and their respective affiliates may have interests that differ from those of the Company. The Company hereby waives any claims that the Company may have against the Underwriters with respect to any breach of fiduciary duty in connection with this offering.</w:t>
      </w:r>
    </w:p>
    <w:p>
      <w:pPr>
        <w:spacing w:after="0" w:line="144" w:lineRule="exact"/>
        <w:rPr>
          <w:rFonts w:ascii="Arial" w:cs="Arial" w:eastAsia="Arial" w:hAnsi="Arial"/>
          <w:sz w:val="14"/>
          <w:szCs w:val="14"/>
          <w:color w:val="auto"/>
        </w:rPr>
      </w:pPr>
    </w:p>
    <w:p>
      <w:pPr>
        <w:ind w:left="1720" w:hanging="556"/>
        <w:spacing w:after="0"/>
        <w:tabs>
          <w:tab w:leader="none" w:pos="172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Notices, etc. </w:t>
      </w:r>
      <w:r>
        <w:rPr>
          <w:rFonts w:ascii="Arial" w:cs="Arial" w:eastAsia="Arial" w:hAnsi="Arial"/>
          <w:sz w:val="16"/>
          <w:szCs w:val="16"/>
          <w:color w:val="auto"/>
        </w:rPr>
        <w:t>All statements, requests, notices and agreements hereunder shall be in writing, and:</w:t>
      </w:r>
    </w:p>
    <w:p>
      <w:pPr>
        <w:spacing w:after="0" w:line="203" w:lineRule="exact"/>
        <w:rPr>
          <w:rFonts w:ascii="Arial" w:cs="Arial" w:eastAsia="Arial" w:hAnsi="Arial"/>
          <w:sz w:val="16"/>
          <w:szCs w:val="16"/>
          <w:color w:val="auto"/>
        </w:rPr>
      </w:pPr>
    </w:p>
    <w:p>
      <w:pPr>
        <w:jc w:val="both"/>
        <w:ind w:left="1160" w:firstLine="586"/>
        <w:spacing w:after="0" w:line="285" w:lineRule="auto"/>
        <w:tabs>
          <w:tab w:leader="none" w:pos="2302" w:val="left"/>
        </w:tabs>
        <w:numPr>
          <w:ilvl w:val="1"/>
          <w:numId w:val="50"/>
        </w:numPr>
        <w:rPr>
          <w:rFonts w:ascii="Arial" w:cs="Arial" w:eastAsia="Arial" w:hAnsi="Arial"/>
          <w:sz w:val="15"/>
          <w:szCs w:val="15"/>
          <w:color w:val="auto"/>
        </w:rPr>
      </w:pPr>
      <w:r>
        <w:rPr>
          <w:rFonts w:ascii="Arial" w:cs="Arial" w:eastAsia="Arial" w:hAnsi="Arial"/>
          <w:sz w:val="15"/>
          <w:szCs w:val="15"/>
          <w:color w:val="auto"/>
        </w:rPr>
        <w:t>if to the Underwriters, shall be delivered or sent by mail or facsimile transmission to (i) Barclays Capital Inc., 745 Seventh Avenue, New York, New York 10019, Attention: Syndicate Registration (Fax: (646) 834-8133), with a copy, in the case of any notice pursuant to Section 8(c), to the Director of Litigation, Office of the General Counsel, Barclays Capital Inc., 745 Seventh Avenue, New York, New York 10019 and (ii) Citigroup Global Markets Inc., 388 Greenwich Street, New York, New York 10013 Attention: General Counsel, (Fax: (646) 291-1469); and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7" w:name="page38"/>
    <w:bookmarkEnd w:id="37"/>
    <w:p>
      <w:pPr>
        <w:ind w:left="1160" w:firstLine="586"/>
        <w:spacing w:after="0" w:line="281" w:lineRule="auto"/>
        <w:tabs>
          <w:tab w:leader="none" w:pos="2298"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to the Company, shall be delivered or sent by mail or facsimile transmission to the address of the Company set forth in the Registration Statement, Attention: Gabi Seligsohn (Fax: (+972) 3-908-0280).</w:t>
      </w:r>
    </w:p>
    <w:p>
      <w:pPr>
        <w:spacing w:after="0" w:line="15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Any such statements, requests, notices or agreements shall take effect at the time of receipt thereof. The Company shall be entitled to act and rely upon any request, consent, notice or agreement given or made on behalf of the Underwriters by Barclays Capital Inc. on behalf of the Representatives.</w:t>
      </w:r>
    </w:p>
    <w:p>
      <w:pPr>
        <w:spacing w:after="0" w:line="151" w:lineRule="exact"/>
        <w:rPr>
          <w:sz w:val="20"/>
          <w:szCs w:val="20"/>
          <w:color w:val="auto"/>
        </w:rPr>
      </w:pPr>
    </w:p>
    <w:p>
      <w:pPr>
        <w:jc w:val="both"/>
        <w:ind w:firstLine="1164"/>
        <w:spacing w:after="0" w:line="256" w:lineRule="auto"/>
        <w:tabs>
          <w:tab w:leader="none" w:pos="180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Persons Entitled to Benefit of Agreement</w:t>
      </w:r>
      <w:r>
        <w:rPr>
          <w:rFonts w:ascii="Arial" w:cs="Arial" w:eastAsia="Arial" w:hAnsi="Arial"/>
          <w:sz w:val="16"/>
          <w:szCs w:val="16"/>
          <w:color w:val="auto"/>
        </w:rPr>
        <w:t>. This Agreement shall inure to the benefit of and be binding upon the Underwriters, the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their respective successors. This Agreement and the terms and provisions hereof are for the sole benefit of only those persons, except that (a) the representations, warranties, indemnities and agreements of the Company contained in this Agreement shall also be deemed to be for the benefit of the directors, officers and employees of the Underwriters and each person or persons, if any, who control any Underwriter within the meaning of Section 15 of the Securities Act, and (b) the indemnity agreement of the Underwriters contained in Section 8(b) of this Agreement shall be deemed to be for the benefit of the directors of the Company, the officers of the Company who have signed the Registration Statement and any person controlling the Company within the meaning of Section 15 of the Securities Act. Nothing in this Agreement is intended or shall be construed to give any person, other than the persons referred to in this Section 15, any legal or equitable right, remedy or claim under or in respect of this Agreement or any provision contained herein.</w:t>
      </w:r>
    </w:p>
    <w:p>
      <w:pPr>
        <w:spacing w:after="0" w:line="174" w:lineRule="exact"/>
        <w:rPr>
          <w:rFonts w:ascii="Arial" w:cs="Arial" w:eastAsia="Arial" w:hAnsi="Arial"/>
          <w:sz w:val="16"/>
          <w:szCs w:val="16"/>
          <w:color w:val="auto"/>
        </w:rPr>
      </w:pPr>
    </w:p>
    <w:p>
      <w:pPr>
        <w:jc w:val="both"/>
        <w:ind w:firstLine="1164"/>
        <w:spacing w:after="0" w:line="267" w:lineRule="auto"/>
        <w:tabs>
          <w:tab w:leader="none" w:pos="1728"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Survival. </w:t>
      </w:r>
      <w:r>
        <w:rPr>
          <w:rFonts w:ascii="Arial" w:cs="Arial" w:eastAsia="Arial" w:hAnsi="Arial"/>
          <w:sz w:val="16"/>
          <w:szCs w:val="16"/>
          <w:color w:val="auto"/>
        </w:rPr>
        <w:t>The respective indemnities, representations, warranties and agreements of the Company and the Underwriters contained in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or made by or on behalf of them, respectively, pursuant to this Agreement, shall survive the delivery of and payment for the Shares and shall remain in full force and effect, regardless of any investigation made by or on behalf of any of them or any person controlling any of them.</w:t>
      </w:r>
    </w:p>
    <w:p>
      <w:pPr>
        <w:spacing w:after="0" w:line="161" w:lineRule="exact"/>
        <w:rPr>
          <w:rFonts w:ascii="Arial" w:cs="Arial" w:eastAsia="Arial" w:hAnsi="Arial"/>
          <w:sz w:val="16"/>
          <w:szCs w:val="16"/>
          <w:color w:val="auto"/>
        </w:rPr>
      </w:pPr>
    </w:p>
    <w:p>
      <w:pPr>
        <w:jc w:val="both"/>
        <w:ind w:firstLine="1164"/>
        <w:spacing w:after="0" w:line="267" w:lineRule="auto"/>
        <w:tabs>
          <w:tab w:leader="none" w:pos="1788"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Definition of the Terms “Business Day”, “Affiliate” and “Subsidiary”</w:t>
      </w:r>
      <w:r>
        <w:rPr>
          <w:rFonts w:ascii="Arial" w:cs="Arial" w:eastAsia="Arial" w:hAnsi="Arial"/>
          <w:sz w:val="16"/>
          <w:szCs w:val="16"/>
          <w:color w:val="auto"/>
        </w:rPr>
        <w:t>. For purposes of this Agreement, (a)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each Monday,</w:t>
      </w:r>
      <w:r>
        <w:rPr>
          <w:rFonts w:ascii="Arial" w:cs="Arial" w:eastAsia="Arial" w:hAnsi="Arial"/>
          <w:sz w:val="16"/>
          <w:szCs w:val="16"/>
          <w:i w:val="1"/>
          <w:iCs w:val="1"/>
          <w:color w:val="auto"/>
        </w:rPr>
        <w:t xml:space="preserve"> </w:t>
      </w:r>
      <w:r>
        <w:rPr>
          <w:rFonts w:ascii="Arial" w:cs="Arial" w:eastAsia="Arial" w:hAnsi="Arial"/>
          <w:sz w:val="16"/>
          <w:szCs w:val="16"/>
          <w:color w:val="auto"/>
        </w:rPr>
        <w:t>Tuesday, Wednesday, Thursday or Friday that is not a day on which banking institutions in New York are generally authorized or obligated by law or executive order to close, and (b)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and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have the meanings set forth in Rule 405 under the Securities Act.</w:t>
      </w:r>
    </w:p>
    <w:p>
      <w:pPr>
        <w:spacing w:after="0" w:line="157" w:lineRule="exact"/>
        <w:rPr>
          <w:rFonts w:ascii="Arial" w:cs="Arial" w:eastAsia="Arial" w:hAnsi="Arial"/>
          <w:sz w:val="16"/>
          <w:szCs w:val="16"/>
          <w:color w:val="auto"/>
        </w:rPr>
      </w:pPr>
    </w:p>
    <w:p>
      <w:pPr>
        <w:ind w:firstLine="1164"/>
        <w:spacing w:after="0" w:line="286" w:lineRule="auto"/>
        <w:tabs>
          <w:tab w:leader="none" w:pos="1776"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Governing Law</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This Agreement shall be governed by and construed in accordance with the laws of the State of New York without regard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to conflict of laws principles (other than Section 5-1401 of the General Obligations Law).</w:t>
      </w:r>
    </w:p>
    <w:p>
      <w:pPr>
        <w:spacing w:after="0" w:line="146" w:lineRule="exact"/>
        <w:rPr>
          <w:rFonts w:ascii="Arial" w:cs="Arial" w:eastAsia="Arial" w:hAnsi="Arial"/>
          <w:sz w:val="16"/>
          <w:szCs w:val="16"/>
          <w:color w:val="auto"/>
        </w:rPr>
      </w:pPr>
    </w:p>
    <w:p>
      <w:pPr>
        <w:jc w:val="both"/>
        <w:ind w:firstLine="1164"/>
        <w:spacing w:after="0" w:line="275" w:lineRule="auto"/>
        <w:tabs>
          <w:tab w:leader="none" w:pos="174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 xml:space="preserve">Submission to Jurisdiction, Etc. </w:t>
      </w:r>
      <w:r>
        <w:rPr>
          <w:rFonts w:ascii="Arial" w:cs="Arial" w:eastAsia="Arial" w:hAnsi="Arial"/>
          <w:sz w:val="15"/>
          <w:szCs w:val="15"/>
          <w:color w:val="auto"/>
        </w:rPr>
        <w:t>The Company hereby submits to the non-exclusive jurisdiction of the U.S. federal and New York state courts in the</w:t>
      </w:r>
      <w:r>
        <w:rPr>
          <w:rFonts w:ascii="Arial" w:cs="Arial" w:eastAsia="Arial" w:hAnsi="Arial"/>
          <w:sz w:val="15"/>
          <w:szCs w:val="15"/>
          <w:i w:val="1"/>
          <w:iCs w:val="1"/>
          <w:color w:val="auto"/>
        </w:rPr>
        <w:t xml:space="preserve"> </w:t>
      </w:r>
      <w:r>
        <w:rPr>
          <w:rFonts w:ascii="Arial" w:cs="Arial" w:eastAsia="Arial" w:hAnsi="Arial"/>
          <w:sz w:val="15"/>
          <w:szCs w:val="15"/>
          <w:color w:val="auto"/>
        </w:rPr>
        <w:t>Borough of Manhattan, The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 The Company irrevocably appoints Kornit Digital North America Inc., as its authorized agent in the Borough of Manhattan, The City of New York, New York upon which process may be served in any such suit or proceeding, and agrees that service of process upon such agent, and written notice of said service to the Company by the person serving the same to the address provided in Section 8 shall be deemed in every respect effective service of process upon the Company in any such suit or proceeding. The Company further agrees to take any and all actions as may be necessary to maintain such designation and appointment of such agent in full force and effect for a period of seven years from the date of this Agreement.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8" w:name="page39"/>
    <w:bookmarkEnd w:id="38"/>
    <w:p>
      <w:pPr>
        <w:jc w:val="both"/>
        <w:ind w:firstLine="1164"/>
        <w:spacing w:after="0" w:line="281" w:lineRule="auto"/>
        <w:tabs>
          <w:tab w:leader="none" w:pos="1813"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Waiver of Immunity</w:t>
      </w:r>
      <w:r>
        <w:rPr>
          <w:rFonts w:ascii="Arial" w:cs="Arial" w:eastAsia="Arial" w:hAnsi="Arial"/>
          <w:sz w:val="15"/>
          <w:szCs w:val="15"/>
          <w:color w:val="auto"/>
        </w:rPr>
        <w:t>. With respect to any suit or proceeding arising out of or relating to this Agreement or the transactions contemplated hereby,</w:t>
      </w:r>
      <w:r>
        <w:rPr>
          <w:rFonts w:ascii="Arial" w:cs="Arial" w:eastAsia="Arial" w:hAnsi="Arial"/>
          <w:sz w:val="15"/>
          <w:szCs w:val="15"/>
          <w:i w:val="1"/>
          <w:iCs w:val="1"/>
          <w:color w:val="auto"/>
        </w:rPr>
        <w:t xml:space="preserve"> </w:t>
      </w:r>
      <w:r>
        <w:rPr>
          <w:rFonts w:ascii="Arial" w:cs="Arial" w:eastAsia="Arial" w:hAnsi="Arial"/>
          <w:sz w:val="15"/>
          <w:szCs w:val="15"/>
          <w:color w:val="auto"/>
        </w:rPr>
        <w:t>each party irrevocably waives, to the fullest extent permitted by applicable law, all immunity (whether on the basis of sovereignty or otherwise) from jurisdiction, service of process, attachment (both before and after judgment) and execution to which it might otherwise be entitled, and with respect to any such suit or proceeding, each party waives any such immunity in any court of competent jurisdiction, and will not raise or claim or cause to be pleaded any such immunity at or in respect of any such suit or proceeding, including, without limitation, any immunity pursuant to the U.S. Foreign Sovereign Immunities Act of 1976, as amended.</w:t>
      </w:r>
    </w:p>
    <w:p>
      <w:pPr>
        <w:spacing w:after="0" w:line="153" w:lineRule="exact"/>
        <w:rPr>
          <w:rFonts w:ascii="Arial" w:cs="Arial" w:eastAsia="Arial" w:hAnsi="Arial"/>
          <w:sz w:val="15"/>
          <w:szCs w:val="15"/>
          <w:color w:val="auto"/>
        </w:rPr>
      </w:pPr>
    </w:p>
    <w:p>
      <w:pPr>
        <w:jc w:val="both"/>
        <w:ind w:firstLine="1164"/>
        <w:spacing w:after="0" w:line="256" w:lineRule="auto"/>
        <w:tabs>
          <w:tab w:leader="none" w:pos="174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Judgment Currency. </w:t>
      </w:r>
      <w:r>
        <w:rPr>
          <w:rFonts w:ascii="Arial" w:cs="Arial" w:eastAsia="Arial" w:hAnsi="Arial"/>
          <w:sz w:val="16"/>
          <w:szCs w:val="16"/>
          <w:color w:val="auto"/>
        </w:rPr>
        <w:t>The obligation of the Company in respect of any sum due to any Underwriter under this Agreement shall, notwithstanding any</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 in a currency other than U.S. dollars or any other applicable currency (the “</w:t>
      </w:r>
      <w:r>
        <w:rPr>
          <w:rFonts w:ascii="Arial" w:cs="Arial" w:eastAsia="Arial" w:hAnsi="Arial"/>
          <w:sz w:val="16"/>
          <w:szCs w:val="16"/>
          <w:b w:val="1"/>
          <w:bCs w:val="1"/>
          <w:i w:val="1"/>
          <w:iCs w:val="1"/>
          <w:color w:val="auto"/>
        </w:rPr>
        <w:t>Judgment Currency</w:t>
      </w:r>
      <w:r>
        <w:rPr>
          <w:rFonts w:ascii="Arial" w:cs="Arial" w:eastAsia="Arial" w:hAnsi="Arial"/>
          <w:sz w:val="16"/>
          <w:szCs w:val="16"/>
          <w:color w:val="auto"/>
        </w:rPr>
        <w:t>”), not be discharged until the first business day, following receipt by such Underwriter of any sum adjudged to be so due in the Judgment Currency, on which (and only to the extent that) such Underwriter may in accordance with normal banking procedures purchase U.S. dollars or any other applicable currency with the Judgment Currency; if the U.S. dollars or other applicable currency so purchased are less than the sum originally due to such Underwriter hereunder, the Company agrees, as a separate obligation and notwithstanding any such judgment, to indemnify such Underwriter against such loss. If the U.S. dollars or other applicable currency so purchased are greater than the sum originally due to such Underwriter hereunder, such Underwriter agrees to pay to the Company an amount equal to the excess of the U.S. dollars or other applicable currency so purchased over the sum originally due to such Underwriter hereunder.</w:t>
      </w:r>
    </w:p>
    <w:p>
      <w:pPr>
        <w:spacing w:after="0" w:line="174" w:lineRule="exact"/>
        <w:rPr>
          <w:rFonts w:ascii="Arial" w:cs="Arial" w:eastAsia="Arial" w:hAnsi="Arial"/>
          <w:sz w:val="16"/>
          <w:szCs w:val="16"/>
          <w:color w:val="auto"/>
        </w:rPr>
      </w:pPr>
    </w:p>
    <w:p>
      <w:pPr>
        <w:ind w:firstLine="1164"/>
        <w:spacing w:after="0" w:line="281" w:lineRule="auto"/>
        <w:tabs>
          <w:tab w:leader="none" w:pos="180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Waiver of Jury Trial</w:t>
      </w:r>
      <w:r>
        <w:rPr>
          <w:rFonts w:ascii="Arial" w:cs="Arial" w:eastAsia="Arial" w:hAnsi="Arial"/>
          <w:sz w:val="16"/>
          <w:szCs w:val="16"/>
          <w:color w:val="auto"/>
        </w:rPr>
        <w:t>. The Company and the Underwriters hereby irrevocably waive, to the fullest extent permitted by applicable law, 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right to trial by jury in any legal proceeding arising out of or relating to this Agreement or the transactions contemplated hereby.</w:t>
      </w:r>
    </w:p>
    <w:p>
      <w:pPr>
        <w:spacing w:after="0" w:line="150" w:lineRule="exact"/>
        <w:rPr>
          <w:rFonts w:ascii="Arial" w:cs="Arial" w:eastAsia="Arial" w:hAnsi="Arial"/>
          <w:sz w:val="16"/>
          <w:szCs w:val="16"/>
          <w:color w:val="auto"/>
        </w:rPr>
      </w:pPr>
    </w:p>
    <w:p>
      <w:pPr>
        <w:ind w:firstLine="1164"/>
        <w:spacing w:after="0" w:line="281" w:lineRule="auto"/>
        <w:tabs>
          <w:tab w:leader="none" w:pos="197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executed in one or more counterparts and, if executed in more than one counterpart, the executed</w:t>
      </w:r>
      <w:r>
        <w:rPr>
          <w:rFonts w:ascii="Arial" w:cs="Arial" w:eastAsia="Arial" w:hAnsi="Arial"/>
          <w:sz w:val="16"/>
          <w:szCs w:val="16"/>
          <w:i w:val="1"/>
          <w:iCs w:val="1"/>
          <w:color w:val="auto"/>
        </w:rPr>
        <w:t xml:space="preserve"> </w:t>
      </w:r>
      <w:r>
        <w:rPr>
          <w:rFonts w:ascii="Arial" w:cs="Arial" w:eastAsia="Arial" w:hAnsi="Arial"/>
          <w:sz w:val="16"/>
          <w:szCs w:val="16"/>
          <w:color w:val="auto"/>
        </w:rPr>
        <w:t>counterparts shall each be deemed to be an original but all such counterparts shall together constitute one and the same instrument.</w:t>
      </w:r>
    </w:p>
    <w:p>
      <w:pPr>
        <w:spacing w:after="0" w:line="150" w:lineRule="exact"/>
        <w:rPr>
          <w:rFonts w:ascii="Arial" w:cs="Arial" w:eastAsia="Arial" w:hAnsi="Arial"/>
          <w:sz w:val="16"/>
          <w:szCs w:val="16"/>
          <w:color w:val="auto"/>
        </w:rPr>
      </w:pPr>
    </w:p>
    <w:p>
      <w:pPr>
        <w:ind w:firstLine="1164"/>
        <w:spacing w:after="0" w:line="281" w:lineRule="auto"/>
        <w:tabs>
          <w:tab w:leader="none" w:pos="1885"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Headings. </w:t>
      </w:r>
      <w:r>
        <w:rPr>
          <w:rFonts w:ascii="Arial" w:cs="Arial" w:eastAsia="Arial" w:hAnsi="Arial"/>
          <w:sz w:val="16"/>
          <w:szCs w:val="16"/>
          <w:color w:val="auto"/>
        </w:rPr>
        <w:t>The headings herein are inserted for convenience of reference only and are not intended to be part of, or to affect the meaning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interpretation of, this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9" w:name="page40"/>
    <w:bookmarkEnd w:id="39"/>
    <w:p>
      <w:pPr>
        <w:ind w:left="580"/>
        <w:spacing w:after="0"/>
        <w:rPr>
          <w:sz w:val="20"/>
          <w:szCs w:val="20"/>
          <w:color w:val="auto"/>
        </w:rPr>
      </w:pPr>
      <w:r>
        <w:rPr>
          <w:rFonts w:ascii="Arial" w:cs="Arial" w:eastAsia="Arial" w:hAnsi="Arial"/>
          <w:sz w:val="14"/>
          <w:szCs w:val="14"/>
          <w:color w:val="auto"/>
        </w:rPr>
        <w:t>If the foregoing correctly sets forth the agreement between the Company and the Underwriters, please indicate your acceptance in the space provided for that purpose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below.</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Very truly yours,</w:t>
      </w:r>
    </w:p>
    <w:p>
      <w:pPr>
        <w:spacing w:after="0" w:line="204"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KORNIT DIGITAL LTD.</w:t>
      </w:r>
    </w:p>
    <w:p>
      <w:pPr>
        <w:spacing w:after="0" w:line="204"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By:</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-116205</wp:posOffset>
            </wp:positionV>
            <wp:extent cx="329946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99460" cy="7620"/>
                    </a:xfrm>
                    <a:prstGeom prst="rect">
                      <a:avLst/>
                    </a:prstGeom>
                    <a:noFill/>
                  </pic:spPr>
                </pic:pic>
              </a:graphicData>
            </a:graphic>
          </wp:anchor>
        </w:drawing>
      </w:r>
    </w:p>
    <w:p>
      <w:pPr>
        <w:spacing w:after="0" w:line="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Title: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40" w:name="page41"/>
    <w:bookmarkEnd w:id="40"/>
    <w:p>
      <w:pPr>
        <w:jc w:val="right"/>
        <w:ind w:right="4179"/>
        <w:spacing w:after="0"/>
        <w:rPr>
          <w:sz w:val="20"/>
          <w:szCs w:val="20"/>
          <w:color w:val="auto"/>
        </w:rPr>
      </w:pPr>
      <w:r>
        <w:rPr>
          <w:rFonts w:ascii="Arial" w:cs="Arial" w:eastAsia="Arial" w:hAnsi="Arial"/>
          <w:sz w:val="16"/>
          <w:szCs w:val="16"/>
          <w:color w:val="auto"/>
        </w:rPr>
        <w:t>Accepted: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B</w:t>
      </w:r>
      <w:r>
        <w:rPr>
          <w:rFonts w:ascii="Arial" w:cs="Arial" w:eastAsia="Arial" w:hAnsi="Arial"/>
          <w:sz w:val="10"/>
          <w:szCs w:val="10"/>
          <w:color w:val="auto"/>
        </w:rPr>
        <w:t>ARCLAYS</w:t>
      </w:r>
      <w:r>
        <w:rPr>
          <w:rFonts w:ascii="Arial" w:cs="Arial" w:eastAsia="Arial" w:hAnsi="Arial"/>
          <w:sz w:val="16"/>
          <w:szCs w:val="16"/>
          <w:color w:val="auto"/>
        </w:rPr>
        <w:t xml:space="preserve"> C</w:t>
      </w:r>
      <w:r>
        <w:rPr>
          <w:rFonts w:ascii="Arial" w:cs="Arial" w:eastAsia="Arial" w:hAnsi="Arial"/>
          <w:sz w:val="10"/>
          <w:szCs w:val="10"/>
          <w:color w:val="auto"/>
        </w:rPr>
        <w:t>APITAL</w:t>
      </w:r>
      <w:r>
        <w:rPr>
          <w:rFonts w:ascii="Arial" w:cs="Arial" w:eastAsia="Arial" w:hAnsi="Arial"/>
          <w:sz w:val="16"/>
          <w:szCs w:val="16"/>
          <w:color w:val="auto"/>
        </w:rPr>
        <w:t xml:space="preserve"> I</w:t>
      </w:r>
      <w:r>
        <w:rPr>
          <w:rFonts w:ascii="Arial" w:cs="Arial" w:eastAsia="Arial" w:hAnsi="Arial"/>
          <w:sz w:val="10"/>
          <w:szCs w:val="10"/>
          <w:color w:val="auto"/>
        </w:rPr>
        <w:t>NC</w:t>
      </w:r>
      <w:r>
        <w:rPr>
          <w:rFonts w:ascii="Arial" w:cs="Arial" w:eastAsia="Arial" w:hAnsi="Arial"/>
          <w:sz w:val="16"/>
          <w:szCs w:val="16"/>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ITIGROUP</w:t>
      </w:r>
      <w:r>
        <w:rPr>
          <w:rFonts w:ascii="Arial" w:cs="Arial" w:eastAsia="Arial" w:hAnsi="Arial"/>
          <w:sz w:val="16"/>
          <w:szCs w:val="16"/>
          <w:color w:val="auto"/>
        </w:rPr>
        <w:t xml:space="preserve"> G</w:t>
      </w:r>
      <w:r>
        <w:rPr>
          <w:rFonts w:ascii="Arial" w:cs="Arial" w:eastAsia="Arial" w:hAnsi="Arial"/>
          <w:sz w:val="10"/>
          <w:szCs w:val="10"/>
          <w:color w:val="auto"/>
        </w:rPr>
        <w:t>LOBAL</w:t>
      </w:r>
      <w:r>
        <w:rPr>
          <w:rFonts w:ascii="Arial" w:cs="Arial" w:eastAsia="Arial" w:hAnsi="Arial"/>
          <w:sz w:val="16"/>
          <w:szCs w:val="16"/>
          <w:color w:val="auto"/>
        </w:rPr>
        <w:t xml:space="preserve"> M</w:t>
      </w:r>
      <w:r>
        <w:rPr>
          <w:rFonts w:ascii="Arial" w:cs="Arial" w:eastAsia="Arial" w:hAnsi="Arial"/>
          <w:sz w:val="10"/>
          <w:szCs w:val="10"/>
          <w:color w:val="auto"/>
        </w:rPr>
        <w:t>ARKETS</w:t>
      </w:r>
      <w:r>
        <w:rPr>
          <w:rFonts w:ascii="Arial" w:cs="Arial" w:eastAsia="Arial" w:hAnsi="Arial"/>
          <w:sz w:val="16"/>
          <w:szCs w:val="16"/>
          <w:color w:val="auto"/>
        </w:rPr>
        <w:t xml:space="preserve"> I</w:t>
      </w:r>
      <w:r>
        <w:rPr>
          <w:rFonts w:ascii="Arial" w:cs="Arial" w:eastAsia="Arial" w:hAnsi="Arial"/>
          <w:sz w:val="10"/>
          <w:szCs w:val="10"/>
          <w:color w:val="auto"/>
        </w:rPr>
        <w:t>NC</w:t>
      </w:r>
      <w:r>
        <w:rPr>
          <w:rFonts w:ascii="Arial" w:cs="Arial" w:eastAsia="Arial" w:hAnsi="Arial"/>
          <w:sz w:val="16"/>
          <w:szCs w:val="16"/>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of the several Underwriters named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in Schedule I hereto</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By B</w:t>
      </w:r>
      <w:r>
        <w:rPr>
          <w:rFonts w:ascii="Arial" w:cs="Arial" w:eastAsia="Arial" w:hAnsi="Arial"/>
          <w:sz w:val="10"/>
          <w:szCs w:val="10"/>
          <w:color w:val="auto"/>
        </w:rPr>
        <w:t>ARCLAYS</w:t>
      </w:r>
      <w:r>
        <w:rPr>
          <w:rFonts w:ascii="Arial" w:cs="Arial" w:eastAsia="Arial" w:hAnsi="Arial"/>
          <w:sz w:val="16"/>
          <w:szCs w:val="16"/>
          <w:color w:val="auto"/>
        </w:rPr>
        <w:t xml:space="preserve"> C</w:t>
      </w:r>
      <w:r>
        <w:rPr>
          <w:rFonts w:ascii="Arial" w:cs="Arial" w:eastAsia="Arial" w:hAnsi="Arial"/>
          <w:sz w:val="10"/>
          <w:szCs w:val="10"/>
          <w:color w:val="auto"/>
        </w:rPr>
        <w:t>APITAL</w:t>
      </w:r>
      <w:r>
        <w:rPr>
          <w:rFonts w:ascii="Arial" w:cs="Arial" w:eastAsia="Arial" w:hAnsi="Arial"/>
          <w:sz w:val="16"/>
          <w:szCs w:val="16"/>
          <w:color w:val="auto"/>
        </w:rPr>
        <w:t xml:space="preserve"> I</w:t>
      </w:r>
      <w:r>
        <w:rPr>
          <w:rFonts w:ascii="Arial" w:cs="Arial" w:eastAsia="Arial" w:hAnsi="Arial"/>
          <w:sz w:val="10"/>
          <w:szCs w:val="10"/>
          <w:color w:val="auto"/>
        </w:rPr>
        <w:t>NC</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-116205</wp:posOffset>
            </wp:positionV>
            <wp:extent cx="323024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0245"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By C</w:t>
      </w:r>
      <w:r>
        <w:rPr>
          <w:rFonts w:ascii="Arial" w:cs="Arial" w:eastAsia="Arial" w:hAnsi="Arial"/>
          <w:sz w:val="10"/>
          <w:szCs w:val="10"/>
          <w:color w:val="auto"/>
        </w:rPr>
        <w:t>ITIGROUP</w:t>
      </w:r>
      <w:r>
        <w:rPr>
          <w:rFonts w:ascii="Arial" w:cs="Arial" w:eastAsia="Arial" w:hAnsi="Arial"/>
          <w:sz w:val="16"/>
          <w:szCs w:val="16"/>
          <w:color w:val="auto"/>
        </w:rPr>
        <w:t xml:space="preserve"> G</w:t>
      </w:r>
      <w:r>
        <w:rPr>
          <w:rFonts w:ascii="Arial" w:cs="Arial" w:eastAsia="Arial" w:hAnsi="Arial"/>
          <w:sz w:val="10"/>
          <w:szCs w:val="10"/>
          <w:color w:val="auto"/>
        </w:rPr>
        <w:t>LOBAL</w:t>
      </w:r>
      <w:r>
        <w:rPr>
          <w:rFonts w:ascii="Arial" w:cs="Arial" w:eastAsia="Arial" w:hAnsi="Arial"/>
          <w:sz w:val="16"/>
          <w:szCs w:val="16"/>
          <w:color w:val="auto"/>
        </w:rPr>
        <w:t xml:space="preserve"> M</w:t>
      </w:r>
      <w:r>
        <w:rPr>
          <w:rFonts w:ascii="Arial" w:cs="Arial" w:eastAsia="Arial" w:hAnsi="Arial"/>
          <w:sz w:val="10"/>
          <w:szCs w:val="10"/>
          <w:color w:val="auto"/>
        </w:rPr>
        <w:t>ARKETS</w:t>
      </w:r>
      <w:r>
        <w:rPr>
          <w:rFonts w:ascii="Arial" w:cs="Arial" w:eastAsia="Arial" w:hAnsi="Arial"/>
          <w:sz w:val="16"/>
          <w:szCs w:val="16"/>
          <w:color w:val="auto"/>
        </w:rPr>
        <w:t xml:space="preserve"> I</w:t>
      </w:r>
      <w:r>
        <w:rPr>
          <w:rFonts w:ascii="Arial" w:cs="Arial" w:eastAsia="Arial" w:hAnsi="Arial"/>
          <w:sz w:val="10"/>
          <w:szCs w:val="10"/>
          <w:color w:val="auto"/>
        </w:rPr>
        <w:t>NC</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-116205</wp:posOffset>
            </wp:positionV>
            <wp:extent cx="323024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0245" cy="7620"/>
                    </a:xfrm>
                    <a:prstGeom prst="rect">
                      <a:avLst/>
                    </a:prstGeom>
                    <a:noFill/>
                  </pic:spPr>
                </pic:pic>
              </a:graphicData>
            </a:graphic>
          </wp:anchor>
        </w:drawing>
      </w:r>
    </w:p>
    <w:p>
      <w:pPr>
        <w:spacing w:after="0" w:line="37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59"/>
          </w:cols>
          <w:pgMar w:left="300" w:top="805"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7360" w:type="dxa"/>
            <w:vAlign w:val="bottom"/>
            <w:gridSpan w:val="3"/>
          </w:tcPr>
          <w:p>
            <w:pPr>
              <w:ind w:left="1220"/>
              <w:spacing w:after="0"/>
              <w:rPr>
                <w:sz w:val="20"/>
                <w:szCs w:val="20"/>
                <w:color w:val="auto"/>
              </w:rPr>
            </w:pPr>
            <w:r>
              <w:rPr>
                <w:rFonts w:ascii="Arial" w:cs="Arial" w:eastAsia="Arial" w:hAnsi="Arial"/>
                <w:sz w:val="16"/>
                <w:szCs w:val="16"/>
                <w:b w:val="1"/>
                <w:bCs w:val="1"/>
                <w:color w:val="auto"/>
              </w:rPr>
              <w:t>SCHEDULE I</w:t>
            </w:r>
          </w:p>
        </w:tc>
        <w:tc>
          <w:tcPr>
            <w:tcW w:w="20" w:type="dxa"/>
            <w:vAlign w:val="bottom"/>
          </w:tcPr>
          <w:p>
            <w:pPr>
              <w:spacing w:after="0"/>
              <w:rPr>
                <w:sz w:val="18"/>
                <w:szCs w:val="18"/>
                <w:color w:val="auto"/>
              </w:rPr>
            </w:pPr>
          </w:p>
        </w:tc>
      </w:tr>
      <w:tr>
        <w:trPr>
          <w:trHeight w:val="376"/>
        </w:trPr>
        <w:tc>
          <w:tcPr>
            <w:tcW w:w="39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Arial" w:cs="Arial" w:eastAsia="Arial" w:hAnsi="Arial"/>
                <w:sz w:val="16"/>
                <w:szCs w:val="16"/>
                <w:color w:val="auto"/>
              </w:rPr>
              <w:t>Number of Shares of</w:t>
            </w:r>
          </w:p>
        </w:tc>
        <w:tc>
          <w:tcPr>
            <w:tcW w:w="20" w:type="dxa"/>
            <w:vAlign w:val="bottom"/>
          </w:tcPr>
          <w:p>
            <w:pPr>
              <w:spacing w:after="0"/>
              <w:rPr>
                <w:sz w:val="24"/>
                <w:szCs w:val="24"/>
                <w:color w:val="auto"/>
              </w:rPr>
            </w:pPr>
          </w:p>
        </w:tc>
      </w:tr>
      <w:tr>
        <w:trPr>
          <w:trHeight w:val="206"/>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Underwriters</w:t>
            </w:r>
          </w:p>
        </w:tc>
        <w:tc>
          <w:tcPr>
            <w:tcW w:w="37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Firm Shares</w:t>
            </w:r>
          </w:p>
        </w:tc>
        <w:tc>
          <w:tcPr>
            <w:tcW w:w="20" w:type="dxa"/>
            <w:vAlign w:val="bottom"/>
          </w:tcPr>
          <w:p>
            <w:pPr>
              <w:spacing w:after="0"/>
              <w:rPr>
                <w:sz w:val="17"/>
                <w:szCs w:val="17"/>
                <w:color w:val="auto"/>
              </w:rPr>
            </w:pPr>
          </w:p>
        </w:tc>
      </w:tr>
      <w:tr>
        <w:trPr>
          <w:trHeight w:val="186"/>
        </w:trPr>
        <w:tc>
          <w:tcPr>
            <w:tcW w:w="39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Barclays Capital Inc.</w:t>
            </w:r>
          </w:p>
        </w:tc>
        <w:tc>
          <w:tcPr>
            <w:tcW w:w="3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38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4"/>
        </w:trPr>
        <w:tc>
          <w:tcPr>
            <w:tcW w:w="3940" w:type="dxa"/>
            <w:vAlign w:val="bottom"/>
          </w:tcPr>
          <w:p>
            <w:pPr>
              <w:spacing w:after="0"/>
              <w:rPr>
                <w:sz w:val="20"/>
                <w:szCs w:val="20"/>
                <w:color w:val="auto"/>
              </w:rPr>
            </w:pPr>
            <w:r>
              <w:rPr>
                <w:rFonts w:ascii="Arial" w:cs="Arial" w:eastAsia="Arial" w:hAnsi="Arial"/>
                <w:sz w:val="16"/>
                <w:szCs w:val="16"/>
                <w:color w:val="auto"/>
              </w:rPr>
              <w:t>Citigroup Global Markets Inc.</w:t>
            </w:r>
          </w:p>
        </w:tc>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tcPr>
          <w:p>
            <w:pPr>
              <w:ind w:left="16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4"/>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William Blair &amp; Company, L.L.C.</w:t>
            </w:r>
          </w:p>
        </w:tc>
        <w:tc>
          <w:tcPr>
            <w:tcW w:w="3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38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4"/>
        </w:trPr>
        <w:tc>
          <w:tcPr>
            <w:tcW w:w="3940" w:type="dxa"/>
            <w:vAlign w:val="bottom"/>
          </w:tcPr>
          <w:p>
            <w:pPr>
              <w:spacing w:after="0"/>
              <w:rPr>
                <w:sz w:val="20"/>
                <w:szCs w:val="20"/>
                <w:color w:val="auto"/>
              </w:rPr>
            </w:pPr>
            <w:r>
              <w:rPr>
                <w:rFonts w:ascii="Arial" w:cs="Arial" w:eastAsia="Arial" w:hAnsi="Arial"/>
                <w:sz w:val="16"/>
                <w:szCs w:val="16"/>
                <w:color w:val="auto"/>
              </w:rPr>
              <w:t>Stifel, Nicolaus &amp; Company, Incorporated</w:t>
            </w:r>
          </w:p>
        </w:tc>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tcPr>
          <w:p>
            <w:pPr>
              <w:ind w:left="16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4"/>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Canaccord Genuity Inc.</w:t>
            </w:r>
          </w:p>
        </w:tc>
        <w:tc>
          <w:tcPr>
            <w:tcW w:w="3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38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206"/>
        </w:trPr>
        <w:tc>
          <w:tcPr>
            <w:tcW w:w="3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Needham &amp; Company, LLC</w:t>
            </w:r>
          </w:p>
        </w:tc>
        <w:tc>
          <w:tcPr>
            <w:tcW w:w="37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38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8"/>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7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380" w:type="dxa"/>
            <w:vAlign w:val="bottom"/>
            <w:tcBorders>
              <w:bottom w:val="single" w:sz="8" w:color="auto"/>
            </w:tcBorders>
            <w:shd w:val="clear" w:color="auto" w:fill="CCEEFF"/>
          </w:tcPr>
          <w:p>
            <w:pPr>
              <w:ind w:left="16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
        </w:trPr>
        <w:tc>
          <w:tcPr>
            <w:tcW w:w="39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8"/>
        </w:trPr>
        <w:tc>
          <w:tcPr>
            <w:tcW w:w="39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320"/>
          </w:cols>
          <w:pgMar w:left="300" w:top="801" w:right="279" w:bottom="1440" w:gutter="0" w:footer="0" w:header="0"/>
        </w:sectPr>
      </w:pPr>
    </w:p>
    <w:bookmarkStart w:id="42" w:name="page43"/>
    <w:bookmarkEnd w:id="42"/>
    <w:p>
      <w:pPr>
        <w:jc w:val="center"/>
        <w:ind w:right="-1160"/>
        <w:spacing w:after="0"/>
        <w:rPr>
          <w:sz w:val="20"/>
          <w:szCs w:val="20"/>
          <w:color w:val="auto"/>
        </w:rPr>
      </w:pPr>
      <w:r>
        <w:rPr>
          <w:rFonts w:ascii="Arial" w:cs="Arial" w:eastAsia="Arial" w:hAnsi="Arial"/>
          <w:sz w:val="16"/>
          <w:szCs w:val="16"/>
          <w:b w:val="1"/>
          <w:bCs w:val="1"/>
          <w:color w:val="auto"/>
        </w:rPr>
        <w:t>SCHEDULE II</w:t>
      </w:r>
    </w:p>
    <w:p>
      <w:pPr>
        <w:spacing w:after="0" w:line="208" w:lineRule="exact"/>
        <w:rPr>
          <w:sz w:val="20"/>
          <w:szCs w:val="20"/>
          <w:color w:val="auto"/>
        </w:rPr>
      </w:pPr>
    </w:p>
    <w:p>
      <w:pPr>
        <w:jc w:val="right"/>
        <w:ind w:right="2699"/>
        <w:spacing w:after="0"/>
        <w:rPr>
          <w:sz w:val="20"/>
          <w:szCs w:val="20"/>
          <w:color w:val="auto"/>
        </w:rPr>
      </w:pPr>
      <w:r>
        <w:rPr>
          <w:rFonts w:ascii="Arial" w:cs="Arial" w:eastAsia="Arial" w:hAnsi="Arial"/>
          <w:sz w:val="16"/>
          <w:szCs w:val="16"/>
          <w:color w:val="auto"/>
        </w:rPr>
        <w:t>PERSONS DELIVERING LOCK-UP AGREEMENTS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Directors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Officers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8375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59"/>
          </w:cols>
          <w:pgMar w:left="300" w:top="801" w:right="1440" w:bottom="1440" w:gutter="0" w:footer="0" w:header="0"/>
        </w:sectPr>
      </w:pPr>
    </w:p>
    <w:bookmarkStart w:id="43" w:name="page44"/>
    <w:bookmarkEnd w:id="43"/>
    <w:p>
      <w:pPr>
        <w:jc w:val="center"/>
        <w:ind w:right="-1160"/>
        <w:spacing w:after="0"/>
        <w:rPr>
          <w:sz w:val="20"/>
          <w:szCs w:val="20"/>
          <w:color w:val="auto"/>
        </w:rPr>
      </w:pPr>
      <w:r>
        <w:rPr>
          <w:rFonts w:ascii="Arial" w:cs="Arial" w:eastAsia="Arial" w:hAnsi="Arial"/>
          <w:sz w:val="16"/>
          <w:szCs w:val="16"/>
          <w:b w:val="1"/>
          <w:bCs w:val="1"/>
          <w:color w:val="auto"/>
        </w:rPr>
        <w:t>SCHEDULE III</w:t>
      </w:r>
    </w:p>
    <w:p>
      <w:pPr>
        <w:spacing w:after="0" w:line="208" w:lineRule="exact"/>
        <w:rPr>
          <w:sz w:val="20"/>
          <w:szCs w:val="20"/>
          <w:color w:val="auto"/>
        </w:rPr>
      </w:pPr>
    </w:p>
    <w:p>
      <w:pPr>
        <w:jc w:val="right"/>
        <w:ind w:right="3139"/>
        <w:spacing w:after="0"/>
        <w:rPr>
          <w:sz w:val="20"/>
          <w:szCs w:val="20"/>
          <w:color w:val="auto"/>
        </w:rPr>
      </w:pPr>
      <w:r>
        <w:rPr>
          <w:rFonts w:ascii="Arial" w:cs="Arial" w:eastAsia="Arial" w:hAnsi="Arial"/>
          <w:sz w:val="16"/>
          <w:szCs w:val="16"/>
          <w:color w:val="auto"/>
        </w:rPr>
        <w:t>CONVEYED PRICING INFORMATION</w:t>
      </w:r>
    </w:p>
    <w:p>
      <w:pPr>
        <w:spacing w:after="0" w:line="204" w:lineRule="exact"/>
        <w:rPr>
          <w:sz w:val="20"/>
          <w:szCs w:val="20"/>
          <w:color w:val="auto"/>
        </w:rPr>
      </w:pPr>
    </w:p>
    <w:p>
      <w:pPr>
        <w:ind w:left="160" w:hanging="159"/>
        <w:spacing w:after="0"/>
        <w:tabs>
          <w:tab w:leader="none" w:pos="1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Public offering price</w:t>
      </w:r>
      <w:r>
        <w:rPr>
          <w:rFonts w:ascii="Arial" w:cs="Arial" w:eastAsia="Arial" w:hAnsi="Arial"/>
          <w:sz w:val="16"/>
          <w:szCs w:val="16"/>
          <w:color w:val="auto"/>
        </w:rPr>
        <w:t>]</w:t>
      </w:r>
    </w:p>
    <w:p>
      <w:pPr>
        <w:spacing w:after="0" w:line="203" w:lineRule="exact"/>
        <w:rPr>
          <w:rFonts w:ascii="Arial" w:cs="Arial" w:eastAsia="Arial" w:hAnsi="Arial"/>
          <w:sz w:val="16"/>
          <w:szCs w:val="16"/>
          <w:color w:val="auto"/>
        </w:rPr>
      </w:pPr>
    </w:p>
    <w:p>
      <w:pPr>
        <w:ind w:left="160" w:hanging="159"/>
        <w:spacing w:after="0"/>
        <w:tabs>
          <w:tab w:leader="none" w:pos="1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Number of shares offered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8375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59"/>
          </w:cols>
          <w:pgMar w:left="300" w:top="801" w:right="1440" w:bottom="1440" w:gutter="0" w:footer="0" w:header="0"/>
        </w:sectPr>
      </w:pPr>
    </w:p>
    <w:bookmarkStart w:id="44" w:name="page45"/>
    <w:bookmarkEnd w:id="44"/>
    <w:p>
      <w:pPr>
        <w:jc w:val="center"/>
        <w:ind w:right="-1160"/>
        <w:spacing w:after="0"/>
        <w:rPr>
          <w:sz w:val="20"/>
          <w:szCs w:val="20"/>
          <w:color w:val="auto"/>
        </w:rPr>
      </w:pPr>
      <w:r>
        <w:rPr>
          <w:rFonts w:ascii="Arial" w:cs="Arial" w:eastAsia="Arial" w:hAnsi="Arial"/>
          <w:sz w:val="16"/>
          <w:szCs w:val="16"/>
          <w:b w:val="1"/>
          <w:bCs w:val="1"/>
          <w:u w:val="single" w:color="auto"/>
          <w:color w:val="auto"/>
        </w:rPr>
        <w:t>SCHEDULE IV</w:t>
      </w:r>
    </w:p>
    <w:p>
      <w:pPr>
        <w:spacing w:after="0" w:line="208" w:lineRule="exact"/>
        <w:rPr>
          <w:sz w:val="20"/>
          <w:szCs w:val="20"/>
          <w:color w:val="auto"/>
        </w:rPr>
      </w:pPr>
    </w:p>
    <w:p>
      <w:pPr>
        <w:jc w:val="right"/>
        <w:ind w:right="1979"/>
        <w:spacing w:after="0"/>
        <w:rPr>
          <w:sz w:val="20"/>
          <w:szCs w:val="20"/>
          <w:color w:val="auto"/>
        </w:rPr>
      </w:pPr>
      <w:r>
        <w:rPr>
          <w:rFonts w:ascii="Arial" w:cs="Arial" w:eastAsia="Arial" w:hAnsi="Arial"/>
          <w:sz w:val="16"/>
          <w:szCs w:val="16"/>
          <w:color w:val="auto"/>
        </w:rPr>
        <w:t>ISSUER FREE WRITING PROSPECTUSES – ROAD SHOW MATERIALS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8375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59"/>
          </w:cols>
          <w:pgMar w:left="300" w:top="801" w:right="1440" w:bottom="1440" w:gutter="0" w:footer="0" w:header="0"/>
        </w:sectPr>
      </w:pPr>
    </w:p>
    <w:bookmarkStart w:id="45" w:name="page46"/>
    <w:bookmarkEnd w:id="45"/>
    <w:p>
      <w:pPr>
        <w:jc w:val="center"/>
        <w:ind w:right="-1140"/>
        <w:spacing w:after="0"/>
        <w:rPr>
          <w:sz w:val="20"/>
          <w:szCs w:val="20"/>
          <w:color w:val="auto"/>
        </w:rPr>
      </w:pPr>
      <w:r>
        <w:rPr>
          <w:rFonts w:ascii="Arial" w:cs="Arial" w:eastAsia="Arial" w:hAnsi="Arial"/>
          <w:sz w:val="16"/>
          <w:szCs w:val="16"/>
          <w:b w:val="1"/>
          <w:bCs w:val="1"/>
          <w:u w:val="single" w:color="auto"/>
          <w:color w:val="auto"/>
        </w:rPr>
        <w:t>SCHEDULE V</w:t>
      </w:r>
    </w:p>
    <w:p>
      <w:pPr>
        <w:spacing w:after="0" w:line="208" w:lineRule="exact"/>
        <w:rPr>
          <w:sz w:val="20"/>
          <w:szCs w:val="20"/>
          <w:color w:val="auto"/>
        </w:rPr>
      </w:pPr>
    </w:p>
    <w:p>
      <w:pPr>
        <w:jc w:val="right"/>
        <w:ind w:right="3119"/>
        <w:spacing w:after="0"/>
        <w:rPr>
          <w:sz w:val="20"/>
          <w:szCs w:val="20"/>
          <w:color w:val="auto"/>
        </w:rPr>
      </w:pPr>
      <w:r>
        <w:rPr>
          <w:rFonts w:ascii="Arial" w:cs="Arial" w:eastAsia="Arial" w:hAnsi="Arial"/>
          <w:sz w:val="16"/>
          <w:szCs w:val="16"/>
          <w:color w:val="auto"/>
        </w:rPr>
        <w:t>ISSUER FREE WRITING PROSPECTUS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8375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59"/>
          </w:cols>
          <w:pgMar w:left="300" w:top="801" w:right="1440" w:bottom="1440" w:gutter="0" w:footer="0" w:header="0"/>
        </w:sectPr>
      </w:pPr>
    </w:p>
    <w:bookmarkStart w:id="46" w:name="page47"/>
    <w:bookmarkEnd w:id="46"/>
    <w:p>
      <w:pPr>
        <w:jc w:val="center"/>
        <w:ind w:right="-1140"/>
        <w:spacing w:after="0"/>
        <w:rPr>
          <w:sz w:val="20"/>
          <w:szCs w:val="20"/>
          <w:color w:val="auto"/>
        </w:rPr>
      </w:pPr>
      <w:r>
        <w:rPr>
          <w:rFonts w:ascii="Arial" w:cs="Arial" w:eastAsia="Arial" w:hAnsi="Arial"/>
          <w:sz w:val="16"/>
          <w:szCs w:val="16"/>
          <w:b w:val="1"/>
          <w:bCs w:val="1"/>
          <w:u w:val="single" w:color="auto"/>
          <w:color w:val="auto"/>
        </w:rPr>
        <w:t>SCHEDULE VI</w:t>
      </w:r>
    </w:p>
    <w:p>
      <w:pPr>
        <w:spacing w:after="0" w:line="208" w:lineRule="exact"/>
        <w:rPr>
          <w:sz w:val="20"/>
          <w:szCs w:val="20"/>
          <w:color w:val="auto"/>
        </w:rPr>
      </w:pPr>
    </w:p>
    <w:p>
      <w:pPr>
        <w:jc w:val="right"/>
        <w:ind w:right="2499"/>
        <w:spacing w:after="0"/>
        <w:rPr>
          <w:sz w:val="20"/>
          <w:szCs w:val="20"/>
          <w:color w:val="auto"/>
        </w:rPr>
      </w:pPr>
      <w:r>
        <w:rPr>
          <w:rFonts w:ascii="Arial" w:cs="Arial" w:eastAsia="Arial" w:hAnsi="Arial"/>
          <w:sz w:val="16"/>
          <w:szCs w:val="16"/>
          <w:color w:val="auto"/>
        </w:rPr>
        <w:t>WRITTEN TESTING-THE-WATERS COMMUNICATIONS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8375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59"/>
          </w:cols>
          <w:pgMar w:left="300" w:top="801"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b w:val="1"/>
          <w:bCs w:val="1"/>
          <w:color w:val="auto"/>
        </w:rPr>
        <w:t>EXHIBIT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LOCK-UP LETTER AGREEMENT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BARCLAYS CAPITAL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As Representatives of the several</w:t>
      </w:r>
    </w:p>
    <w:p>
      <w:pPr>
        <w:spacing w:after="0" w:line="1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Underwriters named in Schedule I of the Underwriting Agreement,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c/o Barclays Capital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745 Seventh Avenue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10019</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c/o Citigroup Global Markets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388 Greenwich Street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10013</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04" w:lineRule="exact"/>
        <w:rPr>
          <w:sz w:val="20"/>
          <w:szCs w:val="20"/>
          <w:color w:val="auto"/>
        </w:rPr>
      </w:pPr>
    </w:p>
    <w:p>
      <w:pPr>
        <w:jc w:val="both"/>
        <w:ind w:firstLine="1092"/>
        <w:spacing w:after="0" w:line="292" w:lineRule="auto"/>
        <w:rPr>
          <w:sz w:val="20"/>
          <w:szCs w:val="20"/>
          <w:color w:val="auto"/>
        </w:rPr>
      </w:pPr>
      <w:r>
        <w:rPr>
          <w:rFonts w:ascii="Arial" w:cs="Arial" w:eastAsia="Arial" w:hAnsi="Arial"/>
          <w:sz w:val="15"/>
          <w:szCs w:val="15"/>
          <w:color w:val="auto"/>
        </w:rPr>
        <w:t xml:space="preserve">The undersigned understands that you and certain other firms (the </w:t>
      </w:r>
      <w:r>
        <w:rPr>
          <w:rFonts w:ascii="Arial" w:cs="Arial" w:eastAsia="Arial" w:hAnsi="Arial"/>
          <w:sz w:val="15"/>
          <w:szCs w:val="15"/>
          <w:i w:val="1"/>
          <w:iCs w:val="1"/>
          <w:color w:val="auto"/>
        </w:rPr>
        <w:t>"Underwriters")</w:t>
      </w:r>
      <w:r>
        <w:rPr>
          <w:rFonts w:ascii="Arial" w:cs="Arial" w:eastAsia="Arial" w:hAnsi="Arial"/>
          <w:sz w:val="15"/>
          <w:szCs w:val="15"/>
          <w:color w:val="auto"/>
        </w:rPr>
        <w:t xml:space="preserve"> propose to enter into an Underwriting Agreement (the </w:t>
      </w:r>
      <w:r>
        <w:rPr>
          <w:rFonts w:ascii="Arial" w:cs="Arial" w:eastAsia="Arial" w:hAnsi="Arial"/>
          <w:sz w:val="15"/>
          <w:szCs w:val="15"/>
          <w:i w:val="1"/>
          <w:iCs w:val="1"/>
          <w:color w:val="auto"/>
        </w:rPr>
        <w:t>"Underwriting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Agreement') </w:t>
      </w:r>
      <w:r>
        <w:rPr>
          <w:rFonts w:ascii="Arial" w:cs="Arial" w:eastAsia="Arial" w:hAnsi="Arial"/>
          <w:sz w:val="15"/>
          <w:szCs w:val="15"/>
          <w:color w:val="auto"/>
        </w:rPr>
        <w:t>providing for the purchase by the Underwriters of ordinary shares (the</w:t>
      </w:r>
      <w:r>
        <w:rPr>
          <w:rFonts w:ascii="Arial" w:cs="Arial" w:eastAsia="Arial" w:hAnsi="Arial"/>
          <w:sz w:val="15"/>
          <w:szCs w:val="15"/>
          <w:i w:val="1"/>
          <w:iCs w:val="1"/>
          <w:color w:val="auto"/>
        </w:rPr>
        <w:t xml:space="preserve"> "Shares"), </w:t>
      </w:r>
      <w:r>
        <w:rPr>
          <w:rFonts w:ascii="Arial" w:cs="Arial" w:eastAsia="Arial" w:hAnsi="Arial"/>
          <w:sz w:val="15"/>
          <w:szCs w:val="15"/>
          <w:color w:val="auto"/>
        </w:rPr>
        <w:t>par value NIS 0.01 per share (the</w:t>
      </w:r>
      <w:r>
        <w:rPr>
          <w:rFonts w:ascii="Arial" w:cs="Arial" w:eastAsia="Arial" w:hAnsi="Arial"/>
          <w:sz w:val="15"/>
          <w:szCs w:val="15"/>
          <w:i w:val="1"/>
          <w:iCs w:val="1"/>
          <w:color w:val="auto"/>
        </w:rPr>
        <w:t xml:space="preserve"> "Ordinary Shares"), </w:t>
      </w:r>
      <w:r>
        <w:rPr>
          <w:rFonts w:ascii="Arial" w:cs="Arial" w:eastAsia="Arial" w:hAnsi="Arial"/>
          <w:sz w:val="15"/>
          <w:szCs w:val="15"/>
          <w:color w:val="auto"/>
        </w:rPr>
        <w:t>of Kornit Digital Ltd., a</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company incorporated under the laws of the Stale of Israel (the </w:t>
      </w:r>
      <w:r>
        <w:rPr>
          <w:rFonts w:ascii="Arial" w:cs="Arial" w:eastAsia="Arial" w:hAnsi="Arial"/>
          <w:sz w:val="15"/>
          <w:szCs w:val="15"/>
          <w:i w:val="1"/>
          <w:iCs w:val="1"/>
          <w:color w:val="auto"/>
        </w:rPr>
        <w:t>"Company"),</w:t>
      </w:r>
      <w:r>
        <w:rPr>
          <w:rFonts w:ascii="Arial" w:cs="Arial" w:eastAsia="Arial" w:hAnsi="Arial"/>
          <w:sz w:val="15"/>
          <w:szCs w:val="15"/>
          <w:color w:val="auto"/>
        </w:rPr>
        <w:t xml:space="preserve"> and that the Underwriters propose to reoffer the Shares to the public (the </w:t>
      </w:r>
      <w:r>
        <w:rPr>
          <w:rFonts w:ascii="Arial" w:cs="Arial" w:eastAsia="Arial" w:hAnsi="Arial"/>
          <w:sz w:val="15"/>
          <w:szCs w:val="15"/>
          <w:i w:val="1"/>
          <w:iCs w:val="1"/>
          <w:color w:val="auto"/>
        </w:rPr>
        <w:t>"Offering").</w:t>
      </w:r>
    </w:p>
    <w:p>
      <w:pPr>
        <w:spacing w:after="0" w:line="146" w:lineRule="exact"/>
        <w:rPr>
          <w:sz w:val="20"/>
          <w:szCs w:val="20"/>
          <w:color w:val="auto"/>
        </w:rPr>
      </w:pPr>
    </w:p>
    <w:p>
      <w:pPr>
        <w:jc w:val="both"/>
        <w:ind w:firstLine="1092"/>
        <w:spacing w:after="0" w:line="274" w:lineRule="auto"/>
        <w:rPr>
          <w:sz w:val="20"/>
          <w:szCs w:val="20"/>
          <w:color w:val="auto"/>
        </w:rPr>
      </w:pPr>
      <w:r>
        <w:rPr>
          <w:rFonts w:ascii="Arial" w:cs="Arial" w:eastAsia="Arial" w:hAnsi="Arial"/>
          <w:sz w:val="15"/>
          <w:szCs w:val="15"/>
          <w:color w:val="auto"/>
        </w:rPr>
        <w:t xml:space="preserve">In consideration of the execution of the Underwriting Agreement by the Underwriters, and for other good and valuable consideration, the undersigned hereby irrevocably agrees that, without the prior written consent of Barclays Capital Inc. and Citigroup Global Markets Inc., on behalf of the Underwriters, the undersigned will not, directly or indirectly,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the undersigned in accordance with the rules and regulations of the Securities and Exchange Commission and Ordinary Shares that may be issued upon exercise of any options or warrants) or securities convertible into or exercisable or exchangeable for Ordinary Shares,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cause to be filed a registration statement, including any amendments thereto, with respect to the registration of any Ordinary Shares or securities convertible into or exercisable or exchangeable for Ordinary Shares or any other securities of the Company, or (4) publicly disclose the intention to do any of the foregoing for a period commencing on the date hereof and ending on the 180th day after the date of the Prospectus relating to the Offering (such 180-day period, the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Lock-Up Period</w:t>
      </w:r>
      <w:r>
        <w:rPr>
          <w:rFonts w:ascii="Arial" w:cs="Arial" w:eastAsia="Arial" w:hAnsi="Arial"/>
          <w:sz w:val="15"/>
          <w:szCs w:val="15"/>
          <w:i w:val="1"/>
          <w:iCs w:val="1"/>
          <w:color w:val="auto"/>
        </w:rPr>
        <w:t>")</w:t>
      </w:r>
      <w:r>
        <w:rPr>
          <w:rFonts w:ascii="Arial" w:cs="Arial" w:eastAsia="Arial" w:hAnsi="Arial"/>
          <w:sz w:val="15"/>
          <w:szCs w:val="15"/>
          <w:color w:val="auto"/>
        </w:rPr>
        <w: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1" w:right="299" w:bottom="1440" w:gutter="0" w:footer="0" w:header="0"/>
        </w:sectPr>
      </w:pPr>
    </w:p>
    <w:bookmarkStart w:id="48" w:name="page49"/>
    <w:bookmarkEnd w:id="48"/>
    <w:p>
      <w:pPr>
        <w:ind w:left="1080"/>
        <w:spacing w:after="0"/>
        <w:rPr>
          <w:sz w:val="20"/>
          <w:szCs w:val="20"/>
          <w:color w:val="auto"/>
        </w:rPr>
      </w:pPr>
      <w:r>
        <w:rPr>
          <w:rFonts w:ascii="Arial" w:cs="Arial" w:eastAsia="Arial" w:hAnsi="Arial"/>
          <w:sz w:val="16"/>
          <w:szCs w:val="16"/>
          <w:color w:val="auto"/>
        </w:rPr>
        <w:t>The foregoing paragraph shall not apply to:</w:t>
      </w:r>
    </w:p>
    <w:p>
      <w:pPr>
        <w:spacing w:after="0" w:line="204" w:lineRule="exact"/>
        <w:rPr>
          <w:sz w:val="20"/>
          <w:szCs w:val="20"/>
          <w:color w:val="auto"/>
        </w:rPr>
      </w:pPr>
    </w:p>
    <w:p>
      <w:pPr>
        <w:ind w:left="1300" w:hanging="212"/>
        <w:spacing w:after="0"/>
        <w:tabs>
          <w:tab w:leader="none" w:pos="13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transactions relating to Ordinary Shares or other securities acquired in the open market after the completion of the Offering,</w:t>
      </w:r>
    </w:p>
    <w:p>
      <w:pPr>
        <w:spacing w:after="0" w:line="203" w:lineRule="exact"/>
        <w:rPr>
          <w:rFonts w:ascii="Arial" w:cs="Arial" w:eastAsia="Arial" w:hAnsi="Arial"/>
          <w:sz w:val="16"/>
          <w:szCs w:val="16"/>
          <w:color w:val="auto"/>
        </w:rPr>
      </w:pPr>
    </w:p>
    <w:p>
      <w:pPr>
        <w:ind w:firstLine="1088"/>
        <w:spacing w:after="0" w:line="281" w:lineRule="auto"/>
        <w:tabs>
          <w:tab w:leader="none" w:pos="1322"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bona fide gifts that are made exclusively between and among the uudersigned or members of the uudersigned's family or affiliates of the undersigned of Ordinary Shares or securities convertible into or exercisable or exchangeable for Ordinary Shares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Lock-Up Securities</w:t>
      </w:r>
      <w:r>
        <w:rPr>
          <w:rFonts w:ascii="Arial" w:cs="Arial" w:eastAsia="Arial" w:hAnsi="Arial"/>
          <w:sz w:val="16"/>
          <w:szCs w:val="16"/>
          <w:i w:val="1"/>
          <w:iCs w:val="1"/>
          <w:color w:val="auto"/>
        </w:rPr>
        <w:t>"),</w:t>
      </w:r>
    </w:p>
    <w:p>
      <w:pPr>
        <w:spacing w:after="0" w:line="150" w:lineRule="exact"/>
        <w:rPr>
          <w:rFonts w:ascii="Arial" w:cs="Arial" w:eastAsia="Arial" w:hAnsi="Arial"/>
          <w:sz w:val="16"/>
          <w:szCs w:val="16"/>
          <w:color w:val="auto"/>
        </w:rPr>
      </w:pPr>
    </w:p>
    <w:p>
      <w:pPr>
        <w:jc w:val="both"/>
        <w:ind w:firstLine="1094"/>
        <w:spacing w:after="0" w:line="292" w:lineRule="auto"/>
        <w:tabs>
          <w:tab w:leader="none" w:pos="1324" w:val="left"/>
        </w:tabs>
        <w:numPr>
          <w:ilvl w:val="1"/>
          <w:numId w:val="55"/>
        </w:numPr>
        <w:rPr>
          <w:rFonts w:ascii="Arial" w:cs="Arial" w:eastAsia="Arial" w:hAnsi="Arial"/>
          <w:sz w:val="15"/>
          <w:szCs w:val="15"/>
          <w:color w:val="auto"/>
        </w:rPr>
      </w:pPr>
      <w:r>
        <w:rPr>
          <w:rFonts w:ascii="Arial" w:cs="Arial" w:eastAsia="Arial" w:hAnsi="Arial"/>
          <w:sz w:val="15"/>
          <w:szCs w:val="15"/>
          <w:color w:val="auto"/>
        </w:rPr>
        <w:t>transfers of Lock-Up Securities that are made exclusively between and among the undersigned or members of the undersigned's family or any trust, or similar entity, controlled by such family member or members, for the direct or indirect benefit of the undersigned or the family member or members of the undersigned, or affiliates of the uudersigned, or to any investment fund or other entity controlled or managed by, or under the common control or management with, the undersigned,</w:t>
      </w:r>
    </w:p>
    <w:p>
      <w:pPr>
        <w:spacing w:after="0" w:line="145" w:lineRule="exact"/>
        <w:rPr>
          <w:rFonts w:ascii="Arial" w:cs="Arial" w:eastAsia="Arial" w:hAnsi="Arial"/>
          <w:sz w:val="15"/>
          <w:szCs w:val="15"/>
          <w:color w:val="auto"/>
        </w:rPr>
      </w:pPr>
    </w:p>
    <w:p>
      <w:pPr>
        <w:ind w:firstLine="1088"/>
        <w:spacing w:after="0" w:line="281" w:lineRule="auto"/>
        <w:tabs>
          <w:tab w:leader="none" w:pos="1322" w:val="left"/>
        </w:tabs>
        <w:numPr>
          <w:ilvl w:val="1"/>
          <w:numId w:val="55"/>
        </w:numPr>
        <w:rPr>
          <w:rFonts w:ascii="Arial" w:cs="Arial" w:eastAsia="Arial" w:hAnsi="Arial"/>
          <w:sz w:val="16"/>
          <w:szCs w:val="16"/>
          <w:color w:val="auto"/>
        </w:rPr>
      </w:pPr>
      <w:r>
        <w:rPr>
          <w:rFonts w:ascii="Arial" w:cs="Arial" w:eastAsia="Arial" w:hAnsi="Arial"/>
          <w:sz w:val="16"/>
          <w:szCs w:val="16"/>
          <w:color w:val="auto"/>
        </w:rPr>
        <w:t>transfers of Lock-Up Securities to the undersigned's limited or general partners (if a partnership), members (if a limited liability company), beneficiaries (if a trust) or shareholders (if a corporation),</w:t>
      </w:r>
    </w:p>
    <w:p>
      <w:pPr>
        <w:spacing w:after="0" w:line="150" w:lineRule="exact"/>
        <w:rPr>
          <w:rFonts w:ascii="Arial" w:cs="Arial" w:eastAsia="Arial" w:hAnsi="Arial"/>
          <w:sz w:val="16"/>
          <w:szCs w:val="16"/>
          <w:color w:val="auto"/>
        </w:rPr>
      </w:pPr>
    </w:p>
    <w:p>
      <w:pPr>
        <w:ind w:left="220" w:hanging="219"/>
        <w:spacing w:after="0"/>
        <w:tabs>
          <w:tab w:leader="none" w:pos="2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transfer of Lock-Up Securities by will or by intestacy,</w:t>
      </w:r>
    </w:p>
    <w:p>
      <w:pPr>
        <w:spacing w:after="0" w:line="203" w:lineRule="exact"/>
        <w:rPr>
          <w:rFonts w:ascii="Arial" w:cs="Arial" w:eastAsia="Arial" w:hAnsi="Arial"/>
          <w:sz w:val="16"/>
          <w:szCs w:val="16"/>
          <w:color w:val="auto"/>
        </w:rPr>
      </w:pPr>
    </w:p>
    <w:p>
      <w:pPr>
        <w:ind w:firstLine="1088"/>
        <w:spacing w:after="0" w:line="281" w:lineRule="auto"/>
        <w:tabs>
          <w:tab w:leader="none" w:pos="1294"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the cash exercise of warrants or the exercise of stock options granted pursuant to the Company's stock option/incentive plans or otherwise outstanding on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restrictions shall apply to Ordinary Shares issued upon </w:t>
      </w:r>
      <w:r>
        <w:rPr>
          <w:rFonts w:ascii="Arial" w:cs="Arial" w:eastAsia="Arial" w:hAnsi="Arial"/>
          <w:sz w:val="16"/>
          <w:szCs w:val="16"/>
          <w:b w:val="1"/>
          <w:bCs w:val="1"/>
          <w:color w:val="auto"/>
        </w:rPr>
        <w:t>such exercise or conversion,</w:t>
      </w:r>
    </w:p>
    <w:p>
      <w:pPr>
        <w:spacing w:after="0" w:line="150" w:lineRule="exact"/>
        <w:rPr>
          <w:rFonts w:ascii="Arial" w:cs="Arial" w:eastAsia="Arial" w:hAnsi="Arial"/>
          <w:sz w:val="16"/>
          <w:szCs w:val="16"/>
          <w:color w:val="auto"/>
        </w:rPr>
      </w:pPr>
    </w:p>
    <w:p>
      <w:pPr>
        <w:jc w:val="both"/>
        <w:ind w:firstLine="1106"/>
        <w:spacing w:after="0" w:line="281" w:lineRule="auto"/>
        <w:tabs>
          <w:tab w:leader="none" w:pos="1348" w:val="left"/>
        </w:tabs>
        <w:numPr>
          <w:ilvl w:val="3"/>
          <w:numId w:val="56"/>
        </w:numPr>
        <w:rPr>
          <w:rFonts w:ascii="Arial" w:cs="Arial" w:eastAsia="Arial" w:hAnsi="Arial"/>
          <w:sz w:val="15"/>
          <w:szCs w:val="15"/>
          <w:color w:val="auto"/>
        </w:rPr>
      </w:pPr>
      <w:r>
        <w:rPr>
          <w:rFonts w:ascii="Arial" w:cs="Arial" w:eastAsia="Arial" w:hAnsi="Arial"/>
          <w:sz w:val="15"/>
          <w:szCs w:val="15"/>
          <w:color w:val="auto"/>
        </w:rPr>
        <w:t xml:space="preserve">the establishment of any contract, instruction or plan that satisfies all of the requirements of Rule 10b5-1 (a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Rule 10b5-l Plan</w:t>
      </w:r>
      <w:r>
        <w:rPr>
          <w:rFonts w:ascii="Arial" w:cs="Arial" w:eastAsia="Arial" w:hAnsi="Arial"/>
          <w:sz w:val="15"/>
          <w:szCs w:val="15"/>
          <w:i w:val="1"/>
          <w:iCs w:val="1"/>
          <w:color w:val="auto"/>
        </w:rPr>
        <w:t>")</w:t>
      </w:r>
      <w:r>
        <w:rPr>
          <w:rFonts w:ascii="Arial" w:cs="Arial" w:eastAsia="Arial" w:hAnsi="Arial"/>
          <w:sz w:val="15"/>
          <w:szCs w:val="15"/>
          <w:color w:val="auto"/>
        </w:rPr>
        <w:t xml:space="preserve"> under the Securities Exchange Act of 1934, as amended (the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Exchange Act</w:t>
      </w:r>
      <w:r>
        <w:rPr>
          <w:rFonts w:ascii="Arial" w:cs="Arial" w:eastAsia="Arial" w:hAnsi="Arial"/>
          <w:sz w:val="15"/>
          <w:szCs w:val="15"/>
          <w:i w:val="1"/>
          <w:iCs w:val="1"/>
          <w:color w:val="auto"/>
        </w:rPr>
        <w:t>"); provided, however,</w:t>
      </w:r>
      <w:r>
        <w:rPr>
          <w:rFonts w:ascii="Arial" w:cs="Arial" w:eastAsia="Arial" w:hAnsi="Arial"/>
          <w:sz w:val="15"/>
          <w:szCs w:val="15"/>
          <w:color w:val="auto"/>
        </w:rPr>
        <w:t xml:space="preserve"> that no sales of Ordinary Shares or securities convertible into, or exchangeable or exercisable for, Ordinary Shares, shall be made pursuant to a Rule 1ObS-1 Plan prior to the expiration of the Lock-Up Period (as the same may be extended pursuant to the provisions hereof);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the Company is not required to report the establishment of such Rule 10b5-1 Plan in any public report or filing with the Commission under the Exchange Act during the lock-up period and does not otherwise voluntarily effect any such public filing or report regarding such Rule 10b5-1 Plan,</w:t>
      </w:r>
    </w:p>
    <w:p>
      <w:pPr>
        <w:spacing w:after="0" w:line="153" w:lineRule="exact"/>
        <w:rPr>
          <w:rFonts w:ascii="Arial" w:cs="Arial" w:eastAsia="Arial" w:hAnsi="Arial"/>
          <w:sz w:val="15"/>
          <w:szCs w:val="15"/>
          <w:color w:val="auto"/>
        </w:rPr>
      </w:pPr>
    </w:p>
    <w:p>
      <w:pPr>
        <w:jc w:val="both"/>
        <w:ind w:firstLine="1083"/>
        <w:spacing w:after="0" w:line="262" w:lineRule="auto"/>
        <w:tabs>
          <w:tab w:leader="none" w:pos="1314" w:val="left"/>
        </w:tabs>
        <w:numPr>
          <w:ilvl w:val="2"/>
          <w:numId w:val="56"/>
        </w:numPr>
        <w:rPr>
          <w:rFonts w:ascii="Arial" w:cs="Arial" w:eastAsia="Arial" w:hAnsi="Arial"/>
          <w:sz w:val="16"/>
          <w:szCs w:val="16"/>
          <w:color w:val="auto"/>
        </w:rPr>
      </w:pPr>
      <w:r>
        <w:rPr>
          <w:rFonts w:ascii="Arial" w:cs="Arial" w:eastAsia="Arial" w:hAnsi="Arial"/>
          <w:sz w:val="16"/>
          <w:szCs w:val="16"/>
          <w:color w:val="auto"/>
        </w:rPr>
        <w:t xml:space="preserve">any demands or requests for, exercise any right with respect to, or take any action in preparation of, the registration by the Company under the Securities Act of 1933, as amended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i w:val="1"/>
          <w:iCs w:val="1"/>
          <w:color w:val="auto"/>
        </w:rPr>
        <w:t>")</w:t>
      </w:r>
      <w:r>
        <w:rPr>
          <w:rFonts w:ascii="Arial" w:cs="Arial" w:eastAsia="Arial" w:hAnsi="Arial"/>
          <w:sz w:val="16"/>
          <w:szCs w:val="16"/>
          <w:color w:val="auto"/>
        </w:rPr>
        <w:t xml:space="preserve"> of the undersigned's Ordinary Shares, provided that no transfer of tl1e undersigned's Ordinary Shares registered pursuant to the exercise of any such right and no registration statement shall be filed under the Securities Act with respect to any of the undersigned's Ordinary Shares during the Lock-Up Period, and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49" w:name="page50"/>
    <w:bookmarkEnd w:id="49"/>
    <w:p>
      <w:pPr>
        <w:jc w:val="both"/>
        <w:ind w:firstLine="1094"/>
        <w:spacing w:after="0" w:line="292" w:lineRule="auto"/>
        <w:tabs>
          <w:tab w:leader="none" w:pos="1286" w:val="left"/>
        </w:tabs>
        <w:numPr>
          <w:ilvl w:val="0"/>
          <w:numId w:val="57"/>
        </w:numPr>
        <w:rPr>
          <w:rFonts w:ascii="Arial" w:cs="Arial" w:eastAsia="Arial" w:hAnsi="Arial"/>
          <w:sz w:val="15"/>
          <w:szCs w:val="15"/>
          <w:color w:val="auto"/>
        </w:rPr>
      </w:pPr>
      <w:r>
        <w:rPr>
          <w:rFonts w:ascii="Arial" w:cs="Arial" w:eastAsia="Arial" w:hAnsi="Arial"/>
          <w:sz w:val="15"/>
          <w:szCs w:val="15"/>
          <w:color w:val="auto"/>
        </w:rPr>
        <w:t xml:space="preserve">dispositions of Lock-Up Securities pursuant to a bona fide third-party tender offer, merger, consolidation or other similar transaction made to all holders of the Company's Ordinary Shares involving a change of control of the Company;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event that such tender offer, merger, consolidation or other such transaction is not completed, the Ordinary Shares held by the undersigned shall remain subject to the provisions of this Lock-Up Letter Agreement;</w:t>
      </w:r>
    </w:p>
    <w:p>
      <w:pPr>
        <w:spacing w:after="0" w:line="146" w:lineRule="exact"/>
        <w:rPr>
          <w:sz w:val="20"/>
          <w:szCs w:val="20"/>
          <w:color w:val="auto"/>
        </w:rPr>
      </w:pPr>
    </w:p>
    <w:p>
      <w:pPr>
        <w:jc w:val="both"/>
        <w:ind w:firstLine="1063"/>
        <w:spacing w:after="0" w:line="258"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it shall be a condition to any transfer pursuant to clauses (b) through (e) that (i) the transferee or donee agrees to be bound by the terms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Lock Up Letter Agreement (including, without limitation, the restrictions set forth in the preceding sentence) to the same extent as if the transferee/donee were a party hereto, and (ii) the undersigned notifies Barclays Capital Inc. and Citigroup Global Markets Inc. at least two business days prior to the proposed transfer or disposition;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in the case of (a) through (d) and (f) through (h), each party (donor, donee, transferor or transferee) shall not be required by law (including without limitation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requirements of the Securities Act and the Exchange Act) to make, and shall agree to not voluntarily make, any filing or public announcement of the transfer or disposition prior to the expiration of the 180-day period referred to above.</w:t>
      </w:r>
    </w:p>
    <w:p>
      <w:pPr>
        <w:spacing w:after="0" w:line="170" w:lineRule="exact"/>
        <w:rPr>
          <w:sz w:val="20"/>
          <w:szCs w:val="20"/>
          <w:color w:val="auto"/>
        </w:rPr>
      </w:pPr>
    </w:p>
    <w:p>
      <w:pPr>
        <w:jc w:val="both"/>
        <w:ind w:firstLine="1092"/>
        <w:spacing w:after="0" w:line="255" w:lineRule="auto"/>
        <w:rPr>
          <w:sz w:val="20"/>
          <w:szCs w:val="20"/>
          <w:color w:val="auto"/>
        </w:rPr>
      </w:pPr>
      <w:r>
        <w:rPr>
          <w:rFonts w:ascii="Arial" w:cs="Arial" w:eastAsia="Arial" w:hAnsi="Arial"/>
          <w:sz w:val="16"/>
          <w:szCs w:val="16"/>
          <w:color w:val="auto"/>
        </w:rPr>
        <w:t>If the undersigned is an officer or director of the Company, (i) the undersigned agrees that the foregoing provisions shall be equally applicable to any issuer directed Shares, as referred to in FINRA Rule 5131(d)(2)(A) that the undersigned may purchase in the Offering pursuant to an allocation of Shares that is directed in writing by the Company, (ii) each of Barclays Capital Inc. and Citigroup Global Markets Inc. agree that, at least three business days before the effective date of any release or waiver of the foregoing restrictions in connection with a transfer of Ordinary Shares, Barclays Capital Inc. and Citigroup Global Markets Inc. will notify the Company of the impending release or waiver and (iii) the Company has agreed in the Underwriting Agreement to announce the impending release or waiver by issuing a press release through a major news service (as referred to in FINRA Rule 513l(d)(2)(B)) at least two business days before the effective date of the release or waiver. Any release or waiver granted by Barclays Capital Inc. and Citigroup Global Markets Inc. hereunder to any such officer or director shall only be effective two business days after the publication date of such press release. The provisions of this paragraph will not apply if both (a) the release or waiver is effected solely to permit a transfer not for consideration, and (b) the transferee has agreed in writing to be bound by the same terms described in this letter that are applicable to the transferor, to the extent and for the duration that such terms remain in effect at the time of the transfer.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50" w:name="page51"/>
    <w:bookmarkEnd w:id="50"/>
    <w:p>
      <w:pPr>
        <w:jc w:val="both"/>
        <w:ind w:firstLine="1087"/>
        <w:spacing w:after="0" w:line="281" w:lineRule="auto"/>
        <w:rPr>
          <w:sz w:val="20"/>
          <w:szCs w:val="20"/>
          <w:color w:val="auto"/>
        </w:rPr>
      </w:pPr>
      <w:r>
        <w:rPr>
          <w:rFonts w:ascii="Arial" w:cs="Arial" w:eastAsia="Arial" w:hAnsi="Arial"/>
          <w:sz w:val="16"/>
          <w:szCs w:val="16"/>
          <w:color w:val="auto"/>
        </w:rPr>
        <w:t>In furtherance of the foregoing, the Company and its transfer agent are hereby authorized to decline to make any transfer of securities if such transfer would constitute a violation or breach of this Lock-Up Letter Agreement.</w:t>
      </w:r>
    </w:p>
    <w:p>
      <w:pPr>
        <w:spacing w:after="0" w:line="151" w:lineRule="exact"/>
        <w:rPr>
          <w:sz w:val="20"/>
          <w:szCs w:val="20"/>
          <w:color w:val="auto"/>
        </w:rPr>
      </w:pPr>
    </w:p>
    <w:p>
      <w:pPr>
        <w:jc w:val="both"/>
        <w:ind w:firstLine="1236"/>
        <w:spacing w:after="0" w:line="262" w:lineRule="auto"/>
        <w:rPr>
          <w:sz w:val="20"/>
          <w:szCs w:val="20"/>
          <w:color w:val="auto"/>
        </w:rPr>
      </w:pPr>
      <w:r>
        <w:rPr>
          <w:rFonts w:ascii="Arial" w:cs="Arial" w:eastAsia="Arial" w:hAnsi="Arial"/>
          <w:sz w:val="16"/>
          <w:szCs w:val="16"/>
          <w:color w:val="auto"/>
        </w:rPr>
        <w:t>It is understood that the undersigned will be released from its obligations under this Lock-Up Letter Agreement if (i) the Company notifies the Underwriters that it does not intend to proceed with the Offering, (ii) the Underwriting Agreement does not become effective, (iii) the Underwriting Agreement (other than the provisions thereof which survive termination) shall terminate or be terminated prior to payment for and delivery of the Shares, or (iv) in the event that the Underwriting Agreement has not been executed by May 31,2015.</w:t>
      </w:r>
    </w:p>
    <w:p>
      <w:pPr>
        <w:spacing w:after="0" w:line="16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undersigned understands that the Company and the Underwriters will proceed with the Offering in reliance on this Lock-Up Letter Agreement.</w:t>
      </w:r>
    </w:p>
    <w:p>
      <w:pPr>
        <w:spacing w:after="0" w:line="215" w:lineRule="exact"/>
        <w:rPr>
          <w:sz w:val="20"/>
          <w:szCs w:val="20"/>
          <w:color w:val="auto"/>
        </w:rPr>
      </w:pPr>
    </w:p>
    <w:p>
      <w:pPr>
        <w:jc w:val="both"/>
        <w:ind w:firstLine="1081"/>
        <w:spacing w:after="0" w:line="281" w:lineRule="auto"/>
        <w:rPr>
          <w:sz w:val="20"/>
          <w:szCs w:val="20"/>
          <w:color w:val="auto"/>
        </w:rPr>
      </w:pPr>
      <w:r>
        <w:rPr>
          <w:rFonts w:ascii="Arial" w:cs="Arial" w:eastAsia="Arial" w:hAnsi="Arial"/>
          <w:sz w:val="16"/>
          <w:szCs w:val="16"/>
          <w:color w:val="auto"/>
        </w:rPr>
        <w:t>Whether or not the Offering actually occurs depends on a number of factors, including market conditions. Any Offering will only be made pursuant to an Underwriting Agreement, the terms of which are subject to negotiation between the Company and the Underwriters.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51" w:name="page52"/>
    <w:bookmarkEnd w:id="51"/>
    <w:p>
      <w:pPr>
        <w:jc w:val="both"/>
        <w:ind w:firstLine="1081"/>
        <w:spacing w:after="0" w:line="267" w:lineRule="auto"/>
        <w:rPr>
          <w:sz w:val="20"/>
          <w:szCs w:val="20"/>
          <w:color w:val="auto"/>
        </w:rPr>
      </w:pPr>
      <w:r>
        <w:rPr>
          <w:rFonts w:ascii="Arial" w:cs="Arial" w:eastAsia="Arial" w:hAnsi="Arial"/>
          <w:sz w:val="16"/>
          <w:szCs w:val="16"/>
          <w:color w:val="auto"/>
        </w:rPr>
        <w:t>The undersigned hereby represents and warrants that the undersigned has full power and authority to enter into this Lock-Up Letter Agreement and that, upon request, the undersigned will execute and additional documents reasonably necessary in connection with the enforcement hereof. Any obligations of the undersigned shall be binding upon the heirs, personal representatives, successors and assigns of the undersigned.</w:t>
      </w:r>
    </w:p>
    <w:p>
      <w:pPr>
        <w:spacing w:after="0" w:line="16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Very truly yours,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By:</w:t>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-116205</wp:posOffset>
            </wp:positionV>
            <wp:extent cx="336867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8675" cy="7620"/>
                    </a:xfrm>
                    <a:prstGeom prst="rect">
                      <a:avLst/>
                    </a:prstGeom>
                    <a:noFill/>
                  </pic:spPr>
                </pic:pic>
              </a:graphicData>
            </a:graphic>
          </wp:anchor>
        </w:drawing>
      </w:r>
    </w:p>
    <w:p>
      <w:pPr>
        <w:spacing w:after="0" w:line="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Title:</w:t>
      </w:r>
    </w:p>
    <w:p>
      <w:pPr>
        <w:spacing w:after="0" w:line="38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13970</wp:posOffset>
            </wp:positionV>
            <wp:extent cx="718375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100"/>
          </w:cols>
          <w:pgMar w:left="500" w:top="805" w:right="299" w:bottom="144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b w:val="1"/>
          <w:bCs w:val="1"/>
          <w:color w:val="auto"/>
        </w:rPr>
        <w:t>EXHIBIT B</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PRESS RELEASE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Kornit Digital Ltd.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date</w:t>
      </w:r>
      <w:r>
        <w:rPr>
          <w:rFonts w:ascii="Arial" w:cs="Arial" w:eastAsia="Arial" w:hAnsi="Arial"/>
          <w:sz w:val="16"/>
          <w:szCs w:val="16"/>
          <w:color w:val="auto"/>
        </w:rPr>
        <w:t>]</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Kornit Digital Ltd., (the “</w:t>
      </w:r>
      <w:r>
        <w:rPr>
          <w:rFonts w:ascii="Arial" w:cs="Arial" w:eastAsia="Arial" w:hAnsi="Arial"/>
          <w:sz w:val="16"/>
          <w:szCs w:val="16"/>
          <w:i w:val="1"/>
          <w:iCs w:val="1"/>
          <w:color w:val="auto"/>
        </w:rPr>
        <w:t>Company</w:t>
      </w:r>
      <w:r>
        <w:rPr>
          <w:rFonts w:ascii="Arial" w:cs="Arial" w:eastAsia="Arial" w:hAnsi="Arial"/>
          <w:sz w:val="16"/>
          <w:szCs w:val="16"/>
          <w:color w:val="auto"/>
        </w:rPr>
        <w:t>”) announced today that Barclays Capital Inc. and Citigroup Global Markets Inc., the joint lead book-running managers in the Company’s recent public sale of [●] ordinary shares [and the other underwriters of such offering whose consent is required][is][are][waiving] [releasing] a lock-up restriction with respect to [●] of the Company’s ordinary shares held by [certain officers or directors] [an officer or director] of the Company. The [waiver] [release] will take effect on [</w:t>
      </w:r>
      <w:r>
        <w:rPr>
          <w:rFonts w:ascii="Arial" w:cs="Arial" w:eastAsia="Arial" w:hAnsi="Arial"/>
          <w:sz w:val="16"/>
          <w:szCs w:val="16"/>
          <w:i w:val="1"/>
          <w:iCs w:val="1"/>
          <w:color w:val="auto"/>
        </w:rPr>
        <w:t>insert date</w:t>
      </w:r>
      <w:r>
        <w:rPr>
          <w:rFonts w:ascii="Arial" w:cs="Arial" w:eastAsia="Arial" w:hAnsi="Arial"/>
          <w:sz w:val="16"/>
          <w:szCs w:val="16"/>
          <w:color w:val="auto"/>
        </w:rPr>
        <w:t>], and the shares may be sold or otherwise disposed of on or after such date.</w:t>
      </w:r>
    </w:p>
    <w:p>
      <w:pPr>
        <w:spacing w:after="0" w:line="166"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1" w:right="299" w:bottom="1440" w:gutter="0" w:footer="0" w:header="0"/>
        </w:sectPr>
      </w:pPr>
    </w:p>
    <w:bookmarkStart w:id="53" w:name="page54"/>
    <w:bookmarkEnd w:id="53"/>
    <w:p>
      <w:pPr>
        <w:jc w:val="right"/>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153670</wp:posOffset>
            </wp:positionV>
            <wp:extent cx="7279005" cy="1245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9005" cy="1245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March 27, 2015</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color w:val="auto"/>
        </w:rPr>
        <w:t>Kornit Digital Ltd.</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12 Ha`Amal Street, Afek Park,</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Rosh-Ha`Ayin 4809246, Israel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Re: </w:t>
      </w:r>
      <w:r>
        <w:rPr>
          <w:rFonts w:ascii="Arial" w:cs="Arial" w:eastAsia="Arial" w:hAnsi="Arial"/>
          <w:sz w:val="16"/>
          <w:szCs w:val="16"/>
          <w:b w:val="1"/>
          <w:bCs w:val="1"/>
          <w:u w:val="single" w:color="auto"/>
          <w:color w:val="auto"/>
        </w:rPr>
        <w:t>Registration Statement on Form F-1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00" w:lineRule="exact"/>
        <w:rPr>
          <w:sz w:val="20"/>
          <w:szCs w:val="20"/>
          <w:color w:val="auto"/>
        </w:rPr>
      </w:pPr>
    </w:p>
    <w:p>
      <w:pPr>
        <w:ind w:right="100" w:firstLine="581"/>
        <w:spacing w:after="0" w:line="303" w:lineRule="auto"/>
        <w:rPr>
          <w:sz w:val="20"/>
          <w:szCs w:val="20"/>
          <w:color w:val="auto"/>
        </w:rPr>
      </w:pPr>
      <w:r>
        <w:rPr>
          <w:rFonts w:ascii="Arial" w:cs="Arial" w:eastAsia="Arial" w:hAnsi="Arial"/>
          <w:sz w:val="14"/>
          <w:szCs w:val="14"/>
          <w:color w:val="auto"/>
        </w:rPr>
        <w:t>We have acted as Israeli counsel for Kornit Digital Ltd., an Israeli company (the “</w:t>
      </w:r>
      <w:r>
        <w:rPr>
          <w:rFonts w:ascii="Arial" w:cs="Arial" w:eastAsia="Arial" w:hAnsi="Arial"/>
          <w:sz w:val="14"/>
          <w:szCs w:val="14"/>
          <w:b w:val="1"/>
          <w:bCs w:val="1"/>
          <w:color w:val="auto"/>
        </w:rPr>
        <w:t>Company</w:t>
      </w:r>
      <w:r>
        <w:rPr>
          <w:rFonts w:ascii="Arial" w:cs="Arial" w:eastAsia="Arial" w:hAnsi="Arial"/>
          <w:sz w:val="14"/>
          <w:szCs w:val="14"/>
          <w:color w:val="auto"/>
        </w:rPr>
        <w:t>”), in connection with the underwritten initial public offering by the Company, contemplating (i) the issuance and sale by the Company of an aggregate of 7,100,000 ordinary shares, par value NIS 0.01 per share (“</w:t>
      </w:r>
      <w:r>
        <w:rPr>
          <w:rFonts w:ascii="Arial" w:cs="Arial" w:eastAsia="Arial" w:hAnsi="Arial"/>
          <w:sz w:val="14"/>
          <w:szCs w:val="14"/>
          <w:b w:val="1"/>
          <w:bCs w:val="1"/>
          <w:color w:val="auto"/>
        </w:rPr>
        <w:t>Ordinary Shares</w:t>
      </w:r>
      <w:r>
        <w:rPr>
          <w:rFonts w:ascii="Arial" w:cs="Arial" w:eastAsia="Arial" w:hAnsi="Arial"/>
          <w:sz w:val="14"/>
          <w:szCs w:val="14"/>
          <w:color w:val="auto"/>
        </w:rPr>
        <w:t>”) of the Company (the “</w:t>
      </w:r>
      <w:r>
        <w:rPr>
          <w:rFonts w:ascii="Arial" w:cs="Arial" w:eastAsia="Arial" w:hAnsi="Arial"/>
          <w:sz w:val="14"/>
          <w:szCs w:val="14"/>
          <w:b w:val="1"/>
          <w:bCs w:val="1"/>
          <w:color w:val="auto"/>
        </w:rPr>
        <w:t>Offering Shares</w:t>
      </w:r>
      <w:r>
        <w:rPr>
          <w:rFonts w:ascii="Arial" w:cs="Arial" w:eastAsia="Arial" w:hAnsi="Arial"/>
          <w:sz w:val="14"/>
          <w:szCs w:val="14"/>
          <w:color w:val="auto"/>
        </w:rPr>
        <w:t>”) and (ii) the potential issuance and sale by the Company of up to an additional 1,065,000 Ordinary Shares (the “</w:t>
      </w:r>
      <w:r>
        <w:rPr>
          <w:rFonts w:ascii="Arial" w:cs="Arial" w:eastAsia="Arial" w:hAnsi="Arial"/>
          <w:sz w:val="14"/>
          <w:szCs w:val="14"/>
          <w:b w:val="1"/>
          <w:bCs w:val="1"/>
          <w:color w:val="auto"/>
        </w:rPr>
        <w:t>Additional Shares</w:t>
      </w:r>
      <w:r>
        <w:rPr>
          <w:rFonts w:ascii="Arial" w:cs="Arial" w:eastAsia="Arial" w:hAnsi="Arial"/>
          <w:sz w:val="14"/>
          <w:szCs w:val="14"/>
          <w:color w:val="auto"/>
        </w:rPr>
        <w:t>” and, collectively with the Offering Shares, the “</w:t>
      </w:r>
      <w:r>
        <w:rPr>
          <w:rFonts w:ascii="Arial" w:cs="Arial" w:eastAsia="Arial" w:hAnsi="Arial"/>
          <w:sz w:val="14"/>
          <w:szCs w:val="14"/>
          <w:b w:val="1"/>
          <w:bCs w:val="1"/>
          <w:color w:val="auto"/>
        </w:rPr>
        <w:t>Shares</w:t>
      </w:r>
      <w:r>
        <w:rPr>
          <w:rFonts w:ascii="Arial" w:cs="Arial" w:eastAsia="Arial" w:hAnsi="Arial"/>
          <w:sz w:val="14"/>
          <w:szCs w:val="14"/>
          <w:color w:val="auto"/>
        </w:rPr>
        <w:t>”), that are subject to an option to purchase additional shares proposed to be granted by the Company to the underwriters of the offering (the “</w:t>
      </w:r>
      <w:r>
        <w:rPr>
          <w:rFonts w:ascii="Arial" w:cs="Arial" w:eastAsia="Arial" w:hAnsi="Arial"/>
          <w:sz w:val="14"/>
          <w:szCs w:val="14"/>
          <w:b w:val="1"/>
          <w:bCs w:val="1"/>
          <w:color w:val="auto"/>
        </w:rPr>
        <w:t>Offering</w:t>
      </w:r>
      <w:r>
        <w:rPr>
          <w:rFonts w:ascii="Arial" w:cs="Arial" w:eastAsia="Arial" w:hAnsi="Arial"/>
          <w:sz w:val="14"/>
          <w:szCs w:val="14"/>
          <w:color w:val="auto"/>
        </w:rPr>
        <w:t>”). This opinion letter is rendered pursuant to Item 8(a) of Form F-1 promulgated by the United States Securities and Exchange Commission (the “</w:t>
      </w:r>
      <w:r>
        <w:rPr>
          <w:rFonts w:ascii="Arial" w:cs="Arial" w:eastAsia="Arial" w:hAnsi="Arial"/>
          <w:sz w:val="14"/>
          <w:szCs w:val="14"/>
          <w:b w:val="1"/>
          <w:bCs w:val="1"/>
          <w:color w:val="auto"/>
        </w:rPr>
        <w:t>SEC</w:t>
      </w:r>
      <w:r>
        <w:rPr>
          <w:rFonts w:ascii="Arial" w:cs="Arial" w:eastAsia="Arial" w:hAnsi="Arial"/>
          <w:sz w:val="14"/>
          <w:szCs w:val="14"/>
          <w:color w:val="auto"/>
        </w:rPr>
        <w:t>”) and Items 601(b)(5) and (b)(23) of the SEC’s Regulation S-K promulgated under the United States Securities Act 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w:t>
      </w:r>
    </w:p>
    <w:p>
      <w:pPr>
        <w:spacing w:after="0" w:line="141" w:lineRule="exact"/>
        <w:rPr>
          <w:sz w:val="20"/>
          <w:szCs w:val="20"/>
          <w:color w:val="auto"/>
        </w:rPr>
      </w:pPr>
    </w:p>
    <w:p>
      <w:pPr>
        <w:ind w:firstLine="581"/>
        <w:spacing w:after="0" w:line="276" w:lineRule="auto"/>
        <w:rPr>
          <w:sz w:val="20"/>
          <w:szCs w:val="20"/>
          <w:color w:val="auto"/>
        </w:rPr>
      </w:pPr>
      <w:r>
        <w:rPr>
          <w:rFonts w:ascii="Arial" w:cs="Arial" w:eastAsia="Arial" w:hAnsi="Arial"/>
          <w:sz w:val="15"/>
          <w:szCs w:val="15"/>
          <w:color w:val="auto"/>
        </w:rPr>
        <w:t>In connection herewith, we have examined the originals, or photocopies or copies, certified or otherwise identified to our satisfaction, of: (i) the form of the registration statement on Form F-1 (File No. 333-202291) filed by the Company with the SEC (as amended through the date hereof,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and to which this opinion is attached as an exhibit; (ii) a copy of the articles of association of the Company, as currently in effect; (iii) a draft of the amended articles of association of the Company, to be in effect immediately prior to the closing of the Offering (the “</w:t>
      </w:r>
      <w:r>
        <w:rPr>
          <w:rFonts w:ascii="Arial" w:cs="Arial" w:eastAsia="Arial" w:hAnsi="Arial"/>
          <w:sz w:val="15"/>
          <w:szCs w:val="15"/>
          <w:b w:val="1"/>
          <w:bCs w:val="1"/>
          <w:color w:val="auto"/>
        </w:rPr>
        <w:t>Amended Articles</w:t>
      </w:r>
      <w:r>
        <w:rPr>
          <w:rFonts w:ascii="Arial" w:cs="Arial" w:eastAsia="Arial" w:hAnsi="Arial"/>
          <w:sz w:val="15"/>
          <w:szCs w:val="15"/>
          <w:color w:val="auto"/>
        </w:rPr>
        <w:t>”); (iv) resolutions of the board of directors (the “</w:t>
      </w:r>
      <w:r>
        <w:rPr>
          <w:rFonts w:ascii="Arial" w:cs="Arial" w:eastAsia="Arial" w:hAnsi="Arial"/>
          <w:sz w:val="15"/>
          <w:szCs w:val="15"/>
          <w:b w:val="1"/>
          <w:bCs w:val="1"/>
          <w:color w:val="auto"/>
        </w:rPr>
        <w:t>Board</w:t>
      </w:r>
      <w:r>
        <w:rPr>
          <w:rFonts w:ascii="Arial" w:cs="Arial" w:eastAsia="Arial" w:hAnsi="Arial"/>
          <w:sz w:val="15"/>
          <w:szCs w:val="15"/>
          <w:color w:val="auto"/>
        </w:rPr>
        <w:t>”) of the Company which have heretofore been approved and, in each case, which relate to the Registration Statement and other actions to be taken in connection with the Offering (the “</w:t>
      </w:r>
      <w:r>
        <w:rPr>
          <w:rFonts w:ascii="Arial" w:cs="Arial" w:eastAsia="Arial" w:hAnsi="Arial"/>
          <w:sz w:val="15"/>
          <w:szCs w:val="15"/>
          <w:b w:val="1"/>
          <w:bCs w:val="1"/>
          <w:color w:val="auto"/>
        </w:rPr>
        <w:t>Resolutions</w:t>
      </w:r>
      <w:r>
        <w:rPr>
          <w:rFonts w:ascii="Arial" w:cs="Arial" w:eastAsia="Arial" w:hAnsi="Arial"/>
          <w:sz w:val="15"/>
          <w:szCs w:val="15"/>
          <w:color w:val="auto"/>
        </w:rPr>
        <w:t>”); and (v) such other corporate records, agreements, documents and other instruments, and such certificates or comparable documents of public officials and of officers of the Company as we have deemed relevant and necessary as a basis for the opinions hereafter set forth. We have also made inquires of such officers as we have deemed relevant and necessary as a basis for the opinions hereafter set forth.</w:t>
      </w:r>
    </w:p>
    <w:p>
      <w:pPr>
        <w:spacing w:after="0" w:line="157" w:lineRule="exact"/>
        <w:rPr>
          <w:sz w:val="20"/>
          <w:szCs w:val="20"/>
          <w:color w:val="auto"/>
        </w:rPr>
      </w:pPr>
    </w:p>
    <w:p>
      <w:pPr>
        <w:ind w:right="20" w:firstLine="581"/>
        <w:spacing w:after="0" w:line="262" w:lineRule="auto"/>
        <w:rPr>
          <w:sz w:val="20"/>
          <w:szCs w:val="20"/>
          <w:color w:val="auto"/>
        </w:rPr>
      </w:pPr>
      <w:r>
        <w:rPr>
          <w:rFonts w:ascii="Arial" w:cs="Arial" w:eastAsia="Arial" w:hAnsi="Arial"/>
          <w:sz w:val="16"/>
          <w:szCs w:val="16"/>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251460</wp:posOffset>
            </wp:positionV>
            <wp:extent cx="718375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54" w:name="page55"/>
    <w:bookmarkEnd w:id="54"/>
    <w:p>
      <w:pPr>
        <w:ind w:right="80" w:firstLine="581"/>
        <w:spacing w:after="0" w:line="267" w:lineRule="auto"/>
        <w:rPr>
          <w:sz w:val="20"/>
          <w:szCs w:val="20"/>
          <w:color w:val="auto"/>
        </w:rPr>
      </w:pPr>
      <w:r>
        <w:rPr>
          <w:rFonts w:ascii="Arial" w:cs="Arial" w:eastAsia="Arial" w:hAnsi="Arial"/>
          <w:sz w:val="16"/>
          <w:szCs w:val="16"/>
          <w:color w:val="auto"/>
        </w:rPr>
        <w:t>Based upon and subject to the foregoing, we are of the opinion that following effectiveness of the Amended Articles and upon payment to the Company of the consideration per Share in such amount and form as shall be determined by the Board or an authorized committee thereof, the Shares, when issued and sold in the Offering as described in the Registration Statement, will be duly authorized, validly issued, fully paid and non-assessable.</w:t>
      </w:r>
    </w:p>
    <w:p>
      <w:pPr>
        <w:spacing w:after="0" w:line="161" w:lineRule="exact"/>
        <w:rPr>
          <w:sz w:val="20"/>
          <w:szCs w:val="20"/>
          <w:color w:val="auto"/>
        </w:rPr>
      </w:pPr>
    </w:p>
    <w:p>
      <w:pPr>
        <w:ind w:right="120" w:firstLine="581"/>
        <w:spacing w:after="0" w:line="281" w:lineRule="auto"/>
        <w:rPr>
          <w:sz w:val="20"/>
          <w:szCs w:val="20"/>
          <w:color w:val="auto"/>
        </w:rPr>
      </w:pPr>
      <w:r>
        <w:rPr>
          <w:rFonts w:ascii="Arial" w:cs="Arial" w:eastAsia="Arial" w:hAnsi="Arial"/>
          <w:sz w:val="16"/>
          <w:szCs w:val="16"/>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51" w:lineRule="exact"/>
        <w:rPr>
          <w:sz w:val="20"/>
          <w:szCs w:val="20"/>
          <w:color w:val="auto"/>
        </w:rPr>
      </w:pPr>
    </w:p>
    <w:p>
      <w:pPr>
        <w:ind w:right="160" w:firstLine="581"/>
        <w:spacing w:after="0" w:line="262" w:lineRule="auto"/>
        <w:rPr>
          <w:sz w:val="20"/>
          <w:szCs w:val="20"/>
          <w:color w:val="auto"/>
        </w:rPr>
      </w:pPr>
      <w:r>
        <w:rPr>
          <w:rFonts w:ascii="Arial" w:cs="Arial" w:eastAsia="Arial" w:hAnsi="Arial"/>
          <w:sz w:val="16"/>
          <w:szCs w:val="16"/>
          <w:color w:val="auto"/>
        </w:rPr>
        <w:t>We consent to the filing of this opinion as an exhibit to the Registration Statement and to the reference to our firm appearing under the caption “Legal Matters” and “Enforceability of Civil Liabilities” in the prospectus forming part of the Registration Statement. In giving this consent, we do not thereby admit that we are within the category of persons whose consent is required under Section 7 of the Securities Act, the rules and regulations of the SEC promulgated thereunder or Item 509 of the SEC’s Regulation S-K promulgated under the Securities Act.</w:t>
      </w:r>
    </w:p>
    <w:p>
      <w:pPr>
        <w:spacing w:after="0" w:line="166" w:lineRule="exact"/>
        <w:rPr>
          <w:sz w:val="20"/>
          <w:szCs w:val="20"/>
          <w:color w:val="auto"/>
        </w:rPr>
      </w:pPr>
    </w:p>
    <w:p>
      <w:pPr>
        <w:ind w:firstLine="581"/>
        <w:spacing w:after="0" w:line="281" w:lineRule="auto"/>
        <w:rPr>
          <w:sz w:val="20"/>
          <w:szCs w:val="20"/>
          <w:color w:val="auto"/>
        </w:rPr>
      </w:pPr>
      <w:r>
        <w:rPr>
          <w:rFonts w:ascii="Arial" w:cs="Arial" w:eastAsia="Arial" w:hAnsi="Arial"/>
          <w:sz w:val="16"/>
          <w:szCs w:val="16"/>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Very truly yours,</w:t>
      </w:r>
    </w:p>
    <w:p>
      <w:pPr>
        <w:spacing w:after="0" w:line="204"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Meitar Liquornick Geva Leshem 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660400</wp:posOffset>
            </wp:positionV>
            <wp:extent cx="719899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8995" cy="7620"/>
                    </a:xfrm>
                    <a:prstGeom prst="rect">
                      <a:avLst/>
                    </a:prstGeom>
                    <a:noFill/>
                  </pic:spPr>
                </pic:pic>
              </a:graphicData>
            </a:graphic>
          </wp:anchor>
        </w:drawing>
      </w:r>
    </w:p>
    <w:sectPr>
      <w:pgSz w:w="11900" w:h="16838" w:orient="portrait"/>
      <w:cols w:equalWidth="0" w:num="1">
        <w:col w:w="11300"/>
      </w:cols>
      <w:pgMar w:left="300" w:top="63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1)"/>
      <w:numFmt w:val="lowerLetter"/>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
    <w:nsid w:val="6CEAF08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7">
    <w:nsid w:val="22221A70"/>
    <w:multiLevelType w:val="hybridMultilevel"/>
    <w:lvl w:ilvl="0">
      <w:lvlJc w:val="left"/>
      <w:lvlText w:val="(%1)"/>
      <w:numFmt w:val="lowerRoman"/>
      <w:start w:val="2"/>
    </w:lvl>
  </w:abstractNum>
  <w:abstractNum w:abstractNumId="8">
    <w:nsid w:val="4516DDE9"/>
    <w:multiLevelType w:val="hybridMultilevel"/>
    <w:lvl w:ilvl="0">
      <w:lvlJc w:val="left"/>
      <w:lvlText w:val="(%1)"/>
      <w:numFmt w:val="lowerLetter"/>
      <w:start w:val="2"/>
    </w:lvl>
  </w:abstractNum>
  <w:abstractNum w:abstractNumId="9">
    <w:nsid w:val="3006C83E"/>
    <w:multiLevelType w:val="hybridMultilevel"/>
    <w:lvl w:ilvl="0">
      <w:lvlJc w:val="left"/>
      <w:lvlText w:val="(%1)"/>
      <w:numFmt w:val="lowerLetter"/>
      <w:start w:val="8"/>
    </w:lvl>
  </w:abstractNum>
  <w:abstractNum w:abstractNumId="10">
    <w:nsid w:val="614FD4A1"/>
    <w:multiLevelType w:val="hybridMultilevel"/>
    <w:lvl w:ilvl="0">
      <w:lvlJc w:val="left"/>
      <w:lvlText w:val="(%1)"/>
      <w:numFmt w:val="lowerLetter"/>
      <w:start w:val="12"/>
    </w:lvl>
  </w:abstractNum>
  <w:abstractNum w:abstractNumId="11">
    <w:nsid w:val="419AC241"/>
    <w:multiLevelType w:val="hybridMultilevel"/>
    <w:lvl w:ilvl="0">
      <w:lvlJc w:val="left"/>
      <w:lvlText w:val="%1"/>
      <w:numFmt w:val="lowerLetter"/>
      <w:start w:val="1"/>
    </w:lvl>
    <w:lvl w:ilvl="1">
      <w:lvlJc w:val="left"/>
      <w:lvlText w:val="(%2)"/>
      <w:numFmt w:val="lowerLetter"/>
      <w:start w:val="15"/>
    </w:lvl>
  </w:abstractNum>
  <w:abstractNum w:abstractNumId="12">
    <w:nsid w:val="5577F8E1"/>
    <w:multiLevelType w:val="hybridMultilevel"/>
    <w:lvl w:ilvl="0">
      <w:lvlJc w:val="left"/>
      <w:lvlText w:val="(%1)"/>
      <w:numFmt w:val="lowerLetter"/>
      <w:start w:val="9"/>
    </w:lvl>
    <w:lvl w:ilvl="1">
      <w:lvlJc w:val="left"/>
      <w:lvlText w:val="(%2)"/>
      <w:numFmt w:val="lowerLetter"/>
      <w:start w:val="18"/>
    </w:lvl>
  </w:abstractNum>
  <w:abstractNum w:abstractNumId="13">
    <w:nsid w:val="440BADFC"/>
    <w:multiLevelType w:val="hybridMultilevel"/>
    <w:lvl w:ilvl="0">
      <w:lvlJc w:val="left"/>
      <w:lvlText w:val="(%1)"/>
      <w:numFmt w:val="lowerLetter"/>
      <w:start w:val="19"/>
    </w:lvl>
  </w:abstractNum>
  <w:abstractNum w:abstractNumId="14">
    <w:nsid w:val="5072367"/>
    <w:multiLevelType w:val="hybridMultilevel"/>
    <w:lvl w:ilvl="0">
      <w:lvlJc w:val="left"/>
      <w:lvlText w:val="(%1)"/>
      <w:numFmt w:val="lowerLetter"/>
      <w:start w:val="24"/>
    </w:lvl>
  </w:abstractNum>
  <w:abstractNum w:abstractNumId="15">
    <w:nsid w:val="3804823E"/>
    <w:multiLevelType w:val="hybridMultilevel"/>
    <w:lvl w:ilvl="0">
      <w:lvlJc w:val="left"/>
      <w:lvlText w:val="(%1)"/>
      <w:numFmt w:val="lowerLetter"/>
      <w:start w:val="27"/>
    </w:lvl>
  </w:abstractNum>
  <w:abstractNum w:abstractNumId="16">
    <w:nsid w:val="77465F01"/>
    <w:multiLevelType w:val="hybridMultilevel"/>
    <w:lvl w:ilvl="0">
      <w:lvlJc w:val="left"/>
      <w:lvlText w:val="(%1)"/>
      <w:numFmt w:val="lowerLetter"/>
      <w:start w:val="28"/>
    </w:lvl>
  </w:abstractNum>
  <w:abstractNum w:abstractNumId="17">
    <w:nsid w:val="7724C67E"/>
    <w:multiLevelType w:val="hybridMultilevel"/>
    <w:lvl w:ilvl="0">
      <w:lvlJc w:val="left"/>
      <w:lvlText w:val="(%1)"/>
      <w:numFmt w:val="lowerLetter"/>
      <w:start w:val="33"/>
    </w:lvl>
  </w:abstractNum>
  <w:abstractNum w:abstractNumId="18">
    <w:nsid w:val="5C482A97"/>
    <w:multiLevelType w:val="hybridMultilevel"/>
    <w:lvl w:ilvl="0">
      <w:lvlJc w:val="left"/>
      <w:lvlText w:val="(%1)"/>
      <w:numFmt w:val="lowerLetter"/>
      <w:start w:val="37"/>
    </w:lvl>
  </w:abstractNum>
  <w:abstractNum w:abstractNumId="19">
    <w:nsid w:val="2463B9EA"/>
    <w:multiLevelType w:val="hybridMultilevel"/>
    <w:lvl w:ilvl="0">
      <w:lvlJc w:val="left"/>
      <w:lvlText w:val="(%1)"/>
      <w:numFmt w:val="lowerLetter"/>
      <w:start w:val="40"/>
    </w:lvl>
  </w:abstractNum>
  <w:abstractNum w:abstractNumId="20">
    <w:nsid w:val="5E884ADC"/>
    <w:multiLevelType w:val="hybridMultilevel"/>
    <w:lvl w:ilvl="0">
      <w:lvlJc w:val="left"/>
      <w:lvlText w:val="(%1)"/>
      <w:numFmt w:val="lowerLetter"/>
      <w:start w:val="45"/>
    </w:lvl>
  </w:abstractNum>
  <w:abstractNum w:abstractNumId="21">
    <w:nsid w:val="51EAD36B"/>
    <w:multiLevelType w:val="hybridMultilevel"/>
    <w:lvl w:ilvl="0">
      <w:lvlJc w:val="left"/>
      <w:lvlText w:val="(%1)"/>
      <w:numFmt w:val="lowerLetter"/>
      <w:start w:val="52"/>
    </w:lvl>
  </w:abstractNum>
  <w:abstractNum w:abstractNumId="22">
    <w:nsid w:val="2D517796"/>
    <w:multiLevelType w:val="hybridMultilevel"/>
    <w:lvl w:ilvl="0">
      <w:lvlJc w:val="left"/>
      <w:lvlText w:val="(%1)"/>
      <w:numFmt w:val="lowerLetter"/>
      <w:start w:val="53"/>
    </w:lvl>
  </w:abstractNum>
  <w:abstractNum w:abstractNumId="23">
    <w:nsid w:val="580BD78F"/>
    <w:multiLevelType w:val="hybridMultilevel"/>
    <w:lvl w:ilvl="0">
      <w:lvlJc w:val="left"/>
      <w:lvlText w:val="(%1)"/>
      <w:numFmt w:val="lowerLetter"/>
      <w:start w:val="56"/>
    </w:lvl>
  </w:abstractNum>
  <w:abstractNum w:abstractNumId="24">
    <w:nsid w:val="153EA438"/>
    <w:multiLevelType w:val="hybridMultilevel"/>
    <w:lvl w:ilvl="0">
      <w:lvlJc w:val="left"/>
      <w:lvlText w:val="%1."/>
      <w:numFmt w:val="decimal"/>
      <w:start w:val="2"/>
    </w:lvl>
  </w:abstractNum>
  <w:abstractNum w:abstractNumId="25">
    <w:nsid w:val="3855585C"/>
    <w:multiLevelType w:val="hybridMultilevel"/>
    <w:lvl w:ilvl="0">
      <w:lvlJc w:val="left"/>
      <w:lvlText w:val="%1."/>
      <w:numFmt w:val="decimal"/>
      <w:start w:val="3"/>
    </w:lvl>
  </w:abstractNum>
  <w:abstractNum w:abstractNumId="26">
    <w:nsid w:val="70A64E2A"/>
    <w:multiLevelType w:val="hybridMultilevel"/>
    <w:lvl w:ilvl="0">
      <w:lvlJc w:val="left"/>
      <w:lvlText w:val="%1."/>
      <w:numFmt w:val="decimal"/>
      <w:start w:val="5"/>
    </w:lvl>
  </w:abstractNum>
  <w:abstractNum w:abstractNumId="27">
    <w:nsid w:val="6A2342EC"/>
    <w:multiLevelType w:val="hybridMultilevel"/>
    <w:lvl w:ilvl="0">
      <w:lvlJc w:val="left"/>
      <w:lvlText w:val="(%1)"/>
      <w:numFmt w:val="lowerRoman"/>
      <w:start w:val="1"/>
    </w:lvl>
  </w:abstractNum>
  <w:abstractNum w:abstractNumId="28">
    <w:nsid w:val="2A487CB0"/>
    <w:multiLevelType w:val="hybridMultilevel"/>
    <w:lvl w:ilvl="0">
      <w:lvlJc w:val="left"/>
      <w:lvlText w:val="(%1)"/>
      <w:numFmt w:val="lowerRoman"/>
      <w:start w:val="4"/>
    </w:lvl>
  </w:abstractNum>
  <w:abstractNum w:abstractNumId="29">
    <w:nsid w:val="1D4ED43B"/>
    <w:multiLevelType w:val="hybridMultilevel"/>
    <w:lvl w:ilvl="0">
      <w:lvlJc w:val="left"/>
      <w:lvlText w:val="%1"/>
      <w:numFmt w:val="upperLetter"/>
      <w:start w:val="1"/>
    </w:lvl>
    <w:lvl w:ilvl="1">
      <w:lvlJc w:val="left"/>
      <w:lvlText w:val="(%2)"/>
      <w:numFmt w:val="lowerRoman"/>
      <w:start w:val="10"/>
    </w:lvl>
  </w:abstractNum>
  <w:abstractNum w:abstractNumId="30">
    <w:nsid w:val="725A06FB"/>
    <w:multiLevelType w:val="hybridMultilevel"/>
    <w:lvl w:ilvl="0">
      <w:lvlJc w:val="left"/>
      <w:lvlText w:val="(%1)"/>
      <w:numFmt w:val="upperLetter"/>
      <w:start w:val="1"/>
    </w:lvl>
    <w:lvl w:ilvl="1">
      <w:lvlJc w:val="left"/>
      <w:lvlText w:val="(%2)"/>
      <w:numFmt w:val="lowerRoman"/>
      <w:start w:val="11"/>
    </w:lvl>
  </w:abstractNum>
  <w:abstractNum w:abstractNumId="31">
    <w:nsid w:val="2CD89A32"/>
    <w:multiLevelType w:val="hybridMultilevel"/>
    <w:lvl w:ilvl="0">
      <w:lvlJc w:val="left"/>
      <w:lvlText w:val="%1"/>
      <w:numFmt w:val="upperLetter"/>
      <w:start w:val="1"/>
    </w:lvl>
    <w:lvl w:ilvl="1">
      <w:lvlJc w:val="left"/>
      <w:lvlText w:val="(%2)"/>
      <w:numFmt w:val="lowerRoman"/>
      <w:start w:val="12"/>
    </w:lvl>
  </w:abstractNum>
  <w:abstractNum w:abstractNumId="32">
    <w:nsid w:val="57E4CCAF"/>
    <w:multiLevelType w:val="hybridMultilevel"/>
    <w:lvl w:ilvl="0">
      <w:lvlJc w:val="left"/>
      <w:lvlText w:val="(%1)"/>
      <w:numFmt w:val="upperLetter"/>
      <w:start w:val="1"/>
    </w:lvl>
    <w:lvl w:ilvl="1">
      <w:lvlJc w:val="left"/>
      <w:lvlText w:val="(%2)"/>
      <w:numFmt w:val="lowerRoman"/>
      <w:start w:val="16"/>
    </w:lvl>
  </w:abstractNum>
  <w:abstractNum w:abstractNumId="33">
    <w:nsid w:val="7A6D8D3C"/>
    <w:multiLevelType w:val="hybridMultilevel"/>
    <w:lvl w:ilvl="0">
      <w:lvlJc w:val="left"/>
      <w:lvlText w:val="(%1)"/>
      <w:numFmt w:val="lowerLetter"/>
      <w:start w:val="2"/>
    </w:lvl>
    <w:lvl w:ilvl="1">
      <w:lvlJc w:val="left"/>
      <w:lvlText w:val="%2."/>
      <w:numFmt w:val="decimal"/>
      <w:start w:val="6"/>
    </w:lvl>
  </w:abstractNum>
  <w:abstractNum w:abstractNumId="34">
    <w:nsid w:val="4B588F54"/>
    <w:multiLevelType w:val="hybridMultilevel"/>
    <w:lvl w:ilvl="0">
      <w:lvlJc w:val="left"/>
      <w:lvlText w:val="%1."/>
      <w:numFmt w:val="decimal"/>
      <w:start w:val="7"/>
    </w:lvl>
    <w:lvl w:ilvl="1">
      <w:lvlJc w:val="left"/>
      <w:lvlText w:val="(%2)"/>
      <w:numFmt w:val="lowerLetter"/>
      <w:start w:val="1"/>
    </w:lvl>
  </w:abstractNum>
  <w:abstractNum w:abstractNumId="35">
    <w:nsid w:val="542289EC"/>
    <w:multiLevelType w:val="hybridMultilevel"/>
    <w:lvl w:ilvl="0">
      <w:lvlJc w:val="left"/>
      <w:lvlText w:val="(%1)"/>
      <w:numFmt w:val="lowerLetter"/>
      <w:start w:val="5"/>
    </w:lvl>
  </w:abstractNum>
  <w:abstractNum w:abstractNumId="36">
    <w:nsid w:val="6DE91B18"/>
    <w:multiLevelType w:val="hybridMultilevel"/>
    <w:lvl w:ilvl="0">
      <w:lvlJc w:val="left"/>
      <w:lvlText w:val="(%1)"/>
      <w:numFmt w:val="lowerLetter"/>
      <w:start w:val="10"/>
    </w:lvl>
  </w:abstractNum>
  <w:abstractNum w:abstractNumId="37">
    <w:nsid w:val="38437FDB"/>
    <w:multiLevelType w:val="hybridMultilevel"/>
    <w:lvl w:ilvl="0">
      <w:lvlJc w:val="left"/>
      <w:lvlText w:val="(%1)"/>
      <w:numFmt w:val="lowerRoman"/>
      <w:start w:val="1"/>
    </w:lvl>
  </w:abstractNum>
  <w:abstractNum w:abstractNumId="38">
    <w:nsid w:val="7644A45C"/>
    <w:multiLevelType w:val="hybridMultilevel"/>
    <w:lvl w:ilvl="0">
      <w:lvlJc w:val="left"/>
      <w:lvlText w:val="(%1)"/>
      <w:numFmt w:val="lowerLetter"/>
      <w:start w:val="12"/>
    </w:lvl>
  </w:abstractNum>
  <w:abstractNum w:abstractNumId="39">
    <w:nsid w:val="32FFF902"/>
    <w:multiLevelType w:val="hybridMultilevel"/>
    <w:lvl w:ilvl="0">
      <w:lvlJc w:val="left"/>
      <w:lvlText w:val="(%1)"/>
      <w:numFmt w:val="lowerLetter"/>
      <w:start w:val="16"/>
    </w:lvl>
  </w:abstractNum>
  <w:abstractNum w:abstractNumId="40">
    <w:nsid w:val="684A481A"/>
    <w:multiLevelType w:val="hybridMultilevel"/>
    <w:lvl w:ilvl="0">
      <w:lvlJc w:val="left"/>
      <w:lvlText w:val="%1."/>
      <w:numFmt w:val="decimal"/>
      <w:start w:val="8"/>
    </w:lvl>
    <w:lvl w:ilvl="1">
      <w:lvlJc w:val="left"/>
      <w:lvlText w:val="(%2)"/>
      <w:numFmt w:val="lowerLetter"/>
      <w:start w:val="1"/>
    </w:lvl>
  </w:abstractNum>
  <w:abstractNum w:abstractNumId="41">
    <w:nsid w:val="579478FE"/>
    <w:multiLevelType w:val="hybridMultilevel"/>
    <w:lvl w:ilvl="0">
      <w:lvlJc w:val="left"/>
      <w:lvlText w:val="%1"/>
      <w:numFmt w:val="lowerLetter"/>
      <w:start w:val="1"/>
    </w:lvl>
    <w:lvl w:ilvl="1">
      <w:lvlJc w:val="left"/>
      <w:lvlText w:val="(%2)"/>
      <w:numFmt w:val="lowerLetter"/>
      <w:start w:val="2"/>
    </w:lvl>
  </w:abstractNum>
  <w:abstractNum w:abstractNumId="42">
    <w:nsid w:val="749ABB43"/>
    <w:multiLevelType w:val="hybridMultilevel"/>
    <w:lvl w:ilvl="0">
      <w:lvlJc w:val="left"/>
      <w:lvlText w:val="(%1)"/>
      <w:numFmt w:val="lowerLetter"/>
      <w:start w:val="35"/>
    </w:lvl>
    <w:lvl w:ilvl="1">
      <w:lvlJc w:val="left"/>
      <w:lvlText w:val="%2"/>
      <w:numFmt w:val="lowerLetter"/>
      <w:start w:val="1"/>
    </w:lvl>
  </w:abstractNum>
  <w:abstractNum w:abstractNumId="43">
    <w:nsid w:val="3DC240FB"/>
    <w:multiLevelType w:val="hybridMultilevel"/>
    <w:lvl w:ilvl="0">
      <w:lvlJc w:val="left"/>
      <w:lvlText w:val="(%1)"/>
      <w:numFmt w:val="lowerLetter"/>
      <w:start w:val="3"/>
    </w:lvl>
  </w:abstractNum>
  <w:abstractNum w:abstractNumId="44">
    <w:nsid w:val="1BA026FA"/>
    <w:multiLevelType w:val="hybridMultilevel"/>
    <w:lvl w:ilvl="0">
      <w:lvlJc w:val="left"/>
      <w:lvlText w:val="(%1)"/>
      <w:numFmt w:val="lowerLetter"/>
      <w:start w:val="4"/>
    </w:lvl>
  </w:abstractNum>
  <w:abstractNum w:abstractNumId="45">
    <w:nsid w:val="79A1DEAA"/>
    <w:multiLevelType w:val="hybridMultilevel"/>
    <w:lvl w:ilvl="0">
      <w:lvlJc w:val="left"/>
      <w:lvlText w:val="%1"/>
      <w:numFmt w:val="decimal"/>
      <w:start w:val="1"/>
    </w:lvl>
    <w:lvl w:ilvl="1">
      <w:lvlJc w:val="left"/>
      <w:lvlText w:val="(%2)"/>
      <w:numFmt w:val="lowerLetter"/>
      <w:start w:val="5"/>
    </w:lvl>
  </w:abstractNum>
  <w:abstractNum w:abstractNumId="46">
    <w:nsid w:val="75C6C33A"/>
    <w:multiLevelType w:val="hybridMultilevel"/>
    <w:lvl w:ilvl="0">
      <w:lvlJc w:val="left"/>
      <w:lvlText w:val="%1."/>
      <w:numFmt w:val="decimal"/>
      <w:start w:val="9"/>
    </w:lvl>
    <w:lvl w:ilvl="1">
      <w:lvlJc w:val="left"/>
      <w:lvlText w:val="(%2)"/>
      <w:numFmt w:val="lowerLetter"/>
      <w:start w:val="1"/>
    </w:lvl>
  </w:abstractNum>
  <w:abstractNum w:abstractNumId="47">
    <w:nsid w:val="12E685FB"/>
    <w:multiLevelType w:val="hybridMultilevel"/>
    <w:lvl w:ilvl="0">
      <w:lvlJc w:val="left"/>
      <w:lvlText w:val="%1"/>
      <w:numFmt w:val="decimal"/>
      <w:start w:val="1"/>
    </w:lvl>
    <w:lvl w:ilvl="1">
      <w:lvlJc w:val="left"/>
      <w:lvlText w:val="(%2)"/>
      <w:numFmt w:val="lowerLetter"/>
      <w:start w:val="2"/>
    </w:lvl>
  </w:abstractNum>
  <w:abstractNum w:abstractNumId="48">
    <w:nsid w:val="70C6A529"/>
    <w:multiLevelType w:val="hybridMultilevel"/>
    <w:lvl w:ilvl="0">
      <w:lvlJc w:val="left"/>
      <w:lvlText w:val="%1."/>
      <w:numFmt w:val="decimal"/>
      <w:start w:val="10"/>
    </w:lvl>
    <w:lvl w:ilvl="1">
      <w:lvlJc w:val="left"/>
      <w:lvlText w:val="%2"/>
      <w:numFmt w:val="lowerLetter"/>
      <w:start w:val="1"/>
    </w:lvl>
  </w:abstractNum>
  <w:abstractNum w:abstractNumId="49">
    <w:nsid w:val="520EEDD1"/>
    <w:multiLevelType w:val="hybridMultilevel"/>
    <w:lvl w:ilvl="0">
      <w:lvlJc w:val="left"/>
      <w:lvlText w:val="%1."/>
      <w:numFmt w:val="decimal"/>
      <w:start w:val="12"/>
    </w:lvl>
    <w:lvl w:ilvl="1">
      <w:lvlJc w:val="left"/>
      <w:lvlText w:val="(%2)"/>
      <w:numFmt w:val="lowerLetter"/>
      <w:start w:val="1"/>
    </w:lvl>
  </w:abstractNum>
  <w:abstractNum w:abstractNumId="50">
    <w:nsid w:val="374A3FE6"/>
    <w:multiLevelType w:val="hybridMultilevel"/>
    <w:lvl w:ilvl="0">
      <w:lvlJc w:val="left"/>
      <w:lvlText w:val="(%1)"/>
      <w:numFmt w:val="lowerLetter"/>
      <w:start w:val="2"/>
    </w:lvl>
  </w:abstractNum>
  <w:abstractNum w:abstractNumId="51">
    <w:nsid w:val="4F4EF005"/>
    <w:multiLevelType w:val="hybridMultilevel"/>
    <w:lvl w:ilvl="0">
      <w:lvlJc w:val="left"/>
      <w:lvlText w:val="%1."/>
      <w:numFmt w:val="decimal"/>
      <w:start w:val="15"/>
    </w:lvl>
  </w:abstractNum>
  <w:abstractNum w:abstractNumId="52">
    <w:nsid w:val="23F9C13C"/>
    <w:multiLevelType w:val="hybridMultilevel"/>
    <w:lvl w:ilvl="0">
      <w:lvlJc w:val="left"/>
      <w:lvlText w:val="%1."/>
      <w:numFmt w:val="decimal"/>
      <w:start w:val="20"/>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55">
    <w:nsid w:val="39386575"/>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7"/>
    </w:lvl>
    <w:lvl w:ilvl="3">
      <w:lvlJc w:val="left"/>
      <w:lvlText w:val="(%4)"/>
      <w:numFmt w:val="lowerLetter"/>
      <w:start w:val="7"/>
    </w:lvl>
  </w:abstractNum>
  <w:abstractNum w:abstractNumId="56">
    <w:nsid w:val="1CF10FD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2019-12-09T04:09:13Z</dcterms:created>
  <dcterms:modified xsi:type="dcterms:W3CDTF">2019-12-09T04:09:13Z</dcterms:modified>
</cp:coreProperties>
</file>