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August 2015</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60" w:right="1719" w:hanging="4655"/>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ind w:firstLine="638"/>
        <w:spacing w:after="0" w:line="282" w:lineRule="auto"/>
        <w:rPr>
          <w:sz w:val="20"/>
          <w:szCs w:val="20"/>
          <w:color w:val="auto"/>
        </w:rPr>
      </w:pPr>
      <w:r>
        <w:rPr>
          <w:rFonts w:ascii="Arial" w:cs="Arial" w:eastAsia="Arial" w:hAnsi="Arial"/>
          <w:sz w:val="18"/>
          <w:szCs w:val="18"/>
          <w:color w:val="auto"/>
        </w:rPr>
        <w:t>On August 4, 2015, Kornit Digital Ltd.(the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entitled “Kornit Digital Reports Second Quarter 2015 Results.” A copy of this press release is furnished as Exhibit 99.1 hereto.</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877" w:right="5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7300" w:val="left"/>
          <w:tab w:leader="none" w:pos="7880" w:val="left"/>
        </w:tabs>
        <w:rPr>
          <w:sz w:val="20"/>
          <w:szCs w:val="20"/>
          <w:color w:val="auto"/>
        </w:rPr>
      </w:pPr>
      <w:r>
        <w:rPr>
          <w:rFonts w:ascii="Arial" w:cs="Arial" w:eastAsia="Arial" w:hAnsi="Arial"/>
          <w:sz w:val="18"/>
          <w:szCs w:val="18"/>
          <w:color w:val="auto"/>
        </w:rPr>
        <w:t>Date: August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14605</wp:posOffset>
            </wp:positionV>
            <wp:extent cx="21697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4, 2015 entitled “Kornit Digital Reports Second Quarter 2015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312A25"/>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Second Quarter 2015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Second-quarter 2015 sales of $21.3 million, an increase of 35.1% over the prior 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operating margin of 12.9%, up 740 basis points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Second quarter non-GAAP net income of $2.4 million, or $0.07 per diluted share; GAAP net income of $0.7 million, or $0.02 per diluted share.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Major customer places order for third Allegro; first two units running full scale production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 launch of Neopigment Pure at multiple key customer sites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Rosh-Ha`Ayin, Israel – August 4, 2015 – </w:t>
      </w:r>
      <w:r>
        <w:rPr>
          <w:rFonts w:ascii="Arial" w:cs="Arial" w:eastAsia="Arial" w:hAnsi="Arial"/>
          <w:sz w:val="18"/>
          <w:szCs w:val="18"/>
          <w:color w:val="auto"/>
        </w:rPr>
        <w:t>Kornit Digital Ltd. (NASDAQ:KRNT), a leading provider of digital printing solutions for the global printed textile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today reported results for the second quarter and the six month period ended June 30, 2015.</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Non-GAAP net income in the second quarter of 2015 was $2.4 million, or $0.07 per diluted share on sales of $21.3 million, compared to prior-year net income of $0.6 million, on sales of $15.7 million. On a GAAP basis, the Company reported net income of $0.7 million, or $0.02 per diluted share, compared to net income of $0.4 million, in the second quarter of 2014.</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in the quarter increased 35.1% to $21.3 million, as a result of continued growth in the direct-to-garment market (DTG), and some initial sales of Allegro roll-to-roll systems. Gabi Seligsohn, Kornit Digital’s Chief Executive Officer commented, “During the second quarter we achieved two major product milestones. A major customer placed a third order for our roll-to-roll printer, the Allegro, after operating in full scale production for several months with two units. Allegro leverages our disruptive technology by utilizing Kornit’s superior ink technology into a complete single-step print line, with an ability to print on almost any type of fabric. We also successfully launched the next generation of ink, the Neopigment Pure, with several key customers already transitioning production. These two milestones are a clear testament to how well our products are developed and brought to market.”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Non-GAAP Gross margin also improved to 47.6% in the second quarter, from 43.8% for the same period last year. Margin expansion primarily resulted from higher volume of ink and systems, and a continued shift to higher priced, high throughput systems. Second quarter Non-GAAP operating income increased to $2.7 million from $0.9 million in the prior-year, and represented a 740 basis point margin improvement to 12.9%. Higher operating margins resulted from an increase in gross margins, and a limited increase in payroll expenses as new hires were weighted to the end of the quarter.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Seligsohn continued, “By almost any measure we executed very well in the second quarter, as demonstrated by higher sales and expanding margins. Operationally we also caught up with our recruiting plans for the first half of the year. Looking forward and given the vast opportunities we face, we expect to continue to invest for future growth during the second half of the year by further increasing headcount and expanding our infrastructure. This investment will position the Company to execute on our aggressive product roadmap, and broaden our field presence to support an expanding customer base in current and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second quarter of 2015, Kornit reported sales of $21.3 million, an increase of 35.1% compared with prior-year level of $15.7 million. Higher sales were the result of contributions from all of our products, including systems, ink and consumables, and services.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gross margin as a percentage of sales in the second quarter of 2015 was 47.6%, compared to 43.8% in the prior-year period. Gross margin improvement was driven by a higher mix of higher margin high-throughput systems and an increase in sales of ink and consumables. On a GAAP basis, gross margin was $10 million, or 47.1% of sales.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Non-GAAP operating expenses in the second quarter increased to $7.4 million, compared to $6.0 million in the prior year quarter. As a percent of sales, adjusted operating expenses for the second quarter were 34.7% of sales, a decrease from 38.3% of sales in the prior year and indicative of leverage on higher sales, coupled with new hires weighted toward the end of the second quarter. On a GAAP basis, operating expenses were $8.9 million, or 42% during the quarter.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research and development as a percentage of sales was 11.9%, or $2.5 million, compared to 15.5%, or $2.4 million in the prior-year. On a GAAP basis, research and development expenses were $2.7 million, or 12.5% of sales during the quarter.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operating income in the second quarter increased to $2.7 million, compared to $0.9 million in the prior year quarter. As a percent of sales, Non-GAAP operating income for the second quarter was 12.9% of sales, an increase from 5.5% of sales in the prior year, leveraging the higher sales and gross profit.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net income for the second quarter of 2015 were $2.4 million, or $0.07 per diluted share, compared with Non-GAAP net income of $0.6 million, or $0.06 in the prior year quarter period.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 GAAP basis, the Company reported net income of $0.7 million, or $0.02 per diluted share, compared to net income of $0.4 million, or $0.04 per diluted share in the second quarter of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Third Quarter Guidance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Kornit will host a conference call today at 5:00 p.m. EDT, or 12:00 a.m. Israel time, to discuss the results, followed by a question and answer session for the investment community. A live webcast of the call can be accessed at </w:t>
      </w:r>
      <w:r>
        <w:rPr>
          <w:rFonts w:ascii="Arial" w:cs="Arial" w:eastAsia="Arial" w:hAnsi="Arial"/>
          <w:sz w:val="18"/>
          <w:szCs w:val="18"/>
          <w:u w:val="single" w:color="auto"/>
          <w:color w:val="auto"/>
        </w:rPr>
        <w:t>ir.kornit.com</w:t>
      </w:r>
      <w:r>
        <w:rPr>
          <w:rFonts w:ascii="Arial" w:cs="Arial" w:eastAsia="Arial" w:hAnsi="Arial"/>
          <w:sz w:val="18"/>
          <w:szCs w:val="18"/>
          <w:color w:val="auto"/>
        </w:rPr>
        <w:t>. To access the call, participants may dial toll-free at 1-888-428-9490 or +1-719-457-2661. The toll-free Israeli number is 1-809-24 5906. The confirmation code is 1907297.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development of the market for digital textile printing, availability of alternative ink, competition, sales concentration, changes to our relationships with suppliers, our success in developing, introducing and selling new or improved products, our success in marketing, our success in effective increasing our field presence and those factors referred to under "Risk Factors" in the company's final prospectus filed with the U.S. Securities and Exchange Commission.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Non-GAAP financial measures consist of GAAP financial measures adjusted to exclude acquisition related expenses, share-based compensation expenses, amortization of acquired intangible assets and compensation related to the IPO.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Kornit develops, designs and markets innovative digital printing solutions for the global printed textile industry. Kornit’s solution includes its proprietary digital printing systems, ink and other consumables, associated software and value added services. Kornit’s vision is to revolutionize the textile industry by facilitating the transition from analog processes that have not evolved for decades to digital methods of production that address contemporary supply, demand and environmental dynamics. Kornit is a global company headquartered in Rosh-Ha`Ayin, Israel, with U.S. offices in Mequon, Wisconsin and additional sales, support and marketing offices in Germany and Hong Kong.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19"/>
                <w:szCs w:val="19"/>
                <w:color w:val="auto"/>
              </w:rPr>
            </w:pPr>
          </w:p>
        </w:tc>
        <w:tc>
          <w:tcPr>
            <w:tcW w:w="23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1"/>
              </w:rPr>
              <w:t>(Unaudited)</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38,876</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21,266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20,923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11,251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Income (loss) before taxes on income</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Taxes on income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number of shares used in computing basic net income (loss) per</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19,370,095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8,969,947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29,766,965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8,973,224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shares used in computing diluted net income (loss)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21,268,193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8,969,947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31,778,725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10,122,653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vMerge w:val="continue"/>
          </w:tcPr>
          <w:p>
            <w:pPr>
              <w:spacing w:after="0"/>
              <w:rPr>
                <w:sz w:val="24"/>
                <w:szCs w:val="24"/>
                <w:color w:val="auto"/>
              </w:rPr>
            </w:pPr>
          </w:p>
        </w:tc>
        <w:tc>
          <w:tcPr>
            <w:tcW w:w="600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RECONCILATION OF GAAP TO NON-GAAP CONSOLIDATED STATEMENTS OF INCOME (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ectPr>
          <w:pgSz w:w="11900" w:h="16838" w:orient="portrait"/>
          <w:cols w:equalWidth="0" w:num="1">
            <w:col w:w="11420"/>
          </w:cols>
          <w:pgMar w:left="240" w:top="877" w:right="239" w:bottom="1440" w:gutter="0" w:footer="0" w:header="0"/>
        </w:sectPr>
      </w:pPr>
    </w:p>
    <w:p>
      <w:pPr>
        <w:spacing w:after="0" w:line="207"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808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790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50"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808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084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-130810</wp:posOffset>
            </wp:positionV>
            <wp:extent cx="16808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14605</wp:posOffset>
            </wp:positionV>
            <wp:extent cx="1646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14605</wp:posOffset>
            </wp:positionV>
            <wp:extent cx="16465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-130810</wp:posOffset>
            </wp:positionV>
            <wp:extent cx="1646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2160"/>
          </w:cols>
          <w:pgMar w:left="240" w:top="877"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 as reported</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Expenses recorded for share-based compensation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Intangible assets amortization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Compensation in relation to the IPO</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Separation payment to shareholder</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IPO bonuses to employees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adjustments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2,392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Non- GAAP diluted net income (loss) per share</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tcPr>
          <w:p>
            <w:pPr>
              <w:spacing w:after="0" w:line="201" w:lineRule="exact"/>
              <w:rPr>
                <w:sz w:val="20"/>
                <w:szCs w:val="20"/>
                <w:color w:val="auto"/>
              </w:rPr>
            </w:pPr>
            <w:r>
              <w:rPr>
                <w:rFonts w:ascii="Arial" w:cs="Arial" w:eastAsia="Arial" w:hAnsi="Arial"/>
                <w:sz w:val="18"/>
                <w:szCs w:val="18"/>
                <w:color w:val="auto"/>
                <w:w w:val="93"/>
              </w:rPr>
              <w:t>Weighted average number of shares used in computing diluted net income (loss)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21,657,529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8,969,947</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32,145,288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10,463,479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vMerge w:val="restart"/>
          </w:tcPr>
          <w:p>
            <w:pPr>
              <w:ind w:left="56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vMerge w:val="continue"/>
          </w:tcPr>
          <w:p>
            <w:pPr>
              <w:spacing w:after="0"/>
              <w:rPr>
                <w:sz w:val="24"/>
                <w:szCs w:val="24"/>
                <w:color w:val="auto"/>
              </w:rPr>
            </w:pPr>
          </w:p>
        </w:tc>
        <w:tc>
          <w:tcPr>
            <w:tcW w:w="600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3"/>
              </w:rPr>
              <w:t>(Unaudited)</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jc w:val="right"/>
              <w:ind w:right="4180"/>
              <w:spacing w:after="0"/>
              <w:rPr>
                <w:sz w:val="20"/>
                <w:szCs w:val="20"/>
                <w:color w:val="auto"/>
              </w:rPr>
            </w:pPr>
            <w:r>
              <w:rPr>
                <w:rFonts w:ascii="Arial" w:cs="Arial" w:eastAsia="Arial" w:hAnsi="Arial"/>
                <w:sz w:val="18"/>
                <w:szCs w:val="18"/>
                <w:b w:val="1"/>
                <w:bCs w:val="1"/>
                <w:color w:val="auto"/>
                <w:w w:val="91"/>
              </w:rPr>
              <w:t>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CURRENT ASSETS:</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80,426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Trade receivables, net</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87"/>
              </w:rPr>
              <w:t>Other accounts receivables and prepaid expenses</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Inventory</w:t>
            </w: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13,407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108,162</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LONG-TERM ASSETS:</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Deferred issuance costs</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long-term assets</w:t>
            </w:r>
          </w:p>
        </w:tc>
        <w:tc>
          <w:tcPr>
            <w:tcW w:w="47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assets</w:t>
            </w:r>
          </w:p>
        </w:tc>
        <w:tc>
          <w:tcPr>
            <w:tcW w:w="4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114,628</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34,714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Trade payables</w:t>
            </w:r>
          </w:p>
        </w:tc>
        <w:tc>
          <w:tcPr>
            <w:tcW w:w="4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9,812</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Deferred revenues and advances from customers</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4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47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LONG-TERM LIABILITIES:</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Deferred taxes</w:t>
            </w: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4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94,632</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114,628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jc w:val="right"/>
              <w:ind w:right="2390"/>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c>
          <w:tcPr>
            <w:tcW w:w="280" w:type="dxa"/>
            <w:vAlign w:val="bottom"/>
          </w:tcPr>
          <w:p>
            <w:pPr>
              <w:spacing w:after="0"/>
              <w:rPr>
                <w:sz w:val="19"/>
                <w:szCs w:val="19"/>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1"/>
              </w:rPr>
              <w:t>(Unaudited)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1"/>
              </w:rPr>
              <w:t>(Unaudited)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1"/>
              </w:rPr>
              <w:t>Adjustments to reconcile net income (loss) to net cash provided by (used in)</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accrued severance pay, net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Increase in trade receivables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Increase in inventories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Changes in deferred taxes, net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Increase (decrease) in other long term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Increase in employees and payroll accruals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revenues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property and equipments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5"/>
              </w:rPr>
              <w:t>Foreign currency translation loss on inter company balances with foreign</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subsidiaries</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Increase in short term deposits</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Proceeds from initial public offering, net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75,232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75,600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75,232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Foreign currency translation adjustments on cash and cash equivalents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4,591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Purchase of property and equipment on credit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Non-cash issuance expenses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transferred to be used as inventory</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2019-12-09T05:47:39Z</dcterms:created>
  <dcterms:modified xsi:type="dcterms:W3CDTF">2019-12-09T05:47:39Z</dcterms:modified>
</cp:coreProperties>
</file>