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Pursuant to the notice of the 2018 annual general meeting of shareholders of Kornit Digital Ltd. (the “Company”), which was attached as Exhibit 99.1 to the Company’s report of foreign private issuer on Form 6-K furnished to the Securities and Exchange Commission on May 10, 2018, the Company hereby furnishes the following documents:</w:t>
      </w:r>
    </w:p>
    <w:p>
      <w:pPr>
        <w:spacing w:after="0" w:line="181" w:lineRule="exact"/>
        <w:rPr>
          <w:sz w:val="20"/>
          <w:szCs w:val="20"/>
          <w:color w:val="auto"/>
        </w:rPr>
      </w:pPr>
    </w:p>
    <w:p>
      <w:pPr>
        <w:jc w:val="both"/>
        <w:ind w:firstLine="656"/>
        <w:spacing w:after="0" w:line="286" w:lineRule="auto"/>
        <w:tabs>
          <w:tab w:leader="none" w:pos="863"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Notice and proxy statement with respect to the Company’s 2018 annual general meeting of shareholders (the “Meeting”) to be held at 12:00 p.m. (Israel time) on June 14, 2018, at the Company’s offices at 12 Ha’Amal Street, Park Afek, Rosh Ha’Ayin, Israel, describing proposals to be voted upon at the Meeting, the procedure for voting in person or by proxy at the Meeting and various other details related to the Meeting; and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proxy card for use in connection with the Meeting.</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notice and proxy statement is furnished with this report of foreign private issuer on Form 6-K as Exhibit 99.1 and the proxy card is furnished with this report as Exhibit 99.2.</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contents of Exhibit 99.1 to this Form 6-K are hereby incorporated by reference into the Company’s Registration Statements on Form F-3 (File No. 333-215404) and Form S-8 (File No. 333-203970, 333-214015, 333-217039 and 333-223794).</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May 21,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Notice and Proxy Statement related to 2018 Annual General Meeting of Shareholders of Kornit Digital Ltd.</w:t>
      </w:r>
    </w:p>
    <w:p>
      <w:pPr>
        <w:spacing w:after="0" w:line="23"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Proxy Card for 2018 Annual General Meeting of Shareholders of Kornit Digital Ltd.</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148590</wp:posOffset>
            </wp:positionV>
            <wp:extent cx="3164205" cy="103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10,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2018 ANNUAL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14,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cordially invite you to attend the 2018 Annual General Meeting of Shareholders, or the Meeting, of Kornit Digital Ltd., or the Company, to be held at 12:00 p.m. (Israel time) on Thursday, June 14, 2018, at our offices at 12 Ha’Amal Street, Park Afek, Rosh Ha’Ayin, Israel.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980" w:right="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re-elect each of (a) Mr. Yuval Cohen, (b) Mr. Eli Blatt and (c) Mr. Marc Lesnick for a three-year term as a Class III director of the Company, until the Company’s annual general meeting of shareholders in 2021 and until his successor is duly elected and qualified;</w:t>
      </w:r>
    </w:p>
    <w:p>
      <w:pPr>
        <w:spacing w:after="0" w:line="146"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Mr. Yehoshua (Shuki) Nir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firm of Ernst &amp; Young Global, as our independent registered public accounting firm for the year ending December 31, 2018 and until our 2019 annual general meeting of shareholders, and to authorize our board of directors to fix such accounting firm’s annual compensation;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terms of the annual cash compensation of the non-employee directors of the Company;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annual grants of options to purchase ordinary shares of the Company and restricted share units to each of the non-employee directors of the Company.</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Members of our management will be available at the Meeting to present and discuss our auditors’ report and consolidated financial statements as of, and for the year ended, December 31, 2017, as previously made available to our shareholders as part of our Annual Report on Form 20-F filed with the Securities and Exchange Commission on March 20, 2018, which is available at www.sec.gov and at the “Investors” section of our Company’s website, </w:t>
      </w:r>
      <w:r>
        <w:rPr>
          <w:rFonts w:ascii="Arial" w:cs="Arial" w:eastAsia="Arial" w:hAnsi="Arial"/>
          <w:sz w:val="18"/>
          <w:szCs w:val="18"/>
          <w:u w:val="single" w:color="auto"/>
          <w:color w:val="auto"/>
        </w:rPr>
        <w:t>www.kornit.com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78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attached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May 14, 2018 are entitled to notice of and to vote at the Meeting.</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the approval of each of Proposals 2 and 3 requires that one of the following two voting requirements be met as part of the approval by an ordinary majority of shares present and voting thereon:</w:t>
      </w:r>
    </w:p>
    <w:p>
      <w:pPr>
        <w:spacing w:after="0" w:line="170" w:lineRule="exact"/>
        <w:rPr>
          <w:sz w:val="20"/>
          <w:szCs w:val="20"/>
          <w:color w:val="auto"/>
        </w:rPr>
      </w:pPr>
    </w:p>
    <w:p>
      <w:pPr>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majority voted in favor of the proposal must include a majority of the shares held by shareholders who are not controlling shareholders (as defined in the attached Proxy Statement) and do not have a conflict of interest (which is referred to under the Companies Law as a “personal interest,” as described in the attached Proxy Statement ) (except for a conflict of interest that does not arise from a relationship with a controlling shareholder) in the approval of the proposal that are voted at the Meeting, excluding abstentions; or</w:t>
      </w:r>
    </w:p>
    <w:p>
      <w:pPr>
        <w:spacing w:after="0" w:line="171"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Whether or not you plan to attend the Meeting, it is important that your shares be represented and voted at the Meeting. Accordingly, after reading this Notice of 2018 Annual General Meeting of Shareholders and the Proxy Statement, please mark, date, sign and mail the enclosed proxy card or voting instruction form as promptly as possible in the enclosed stamped envelope, or please follow the instructions for voting sent to you electronically. If mailing in your proxy to our transfer agent in the enclosed envelope or providing voting instructions via a physical voting instruction form, your vote must be received by noon, Eastern time, on Wednesday, June 13, 2018 to be validly included in the tally of ordinary shares voted at the Meeting. If you are a street holder and are voting online (at </w:t>
      </w:r>
      <w:r>
        <w:rPr>
          <w:rFonts w:ascii="Arial" w:cs="Arial" w:eastAsia="Arial" w:hAnsi="Arial"/>
          <w:sz w:val="17"/>
          <w:szCs w:val="17"/>
          <w:u w:val="single" w:color="auto"/>
          <w:color w:val="auto"/>
        </w:rPr>
        <w:t>www.proxyvote.com</w:t>
      </w:r>
      <w:r>
        <w:rPr>
          <w:rFonts w:ascii="Arial" w:cs="Arial" w:eastAsia="Arial" w:hAnsi="Arial"/>
          <w:sz w:val="17"/>
          <w:szCs w:val="17"/>
          <w:color w:val="auto"/>
        </w:rPr>
        <w:t>) or via telephone, your vote must be received by 11:59 p.m. Eastern time on Tuesday, June 12, 2018. If sending in your proxy card directly to our registered office, it must be received at least four hours prior to the appointed time for the Meeting. Detailed proxy voting instructions are provided both in the attached Proxy Statement and on the enclosed proxy card or voting instruction form. An electronic copy of the enclosed proxy materials will also be available for viewing at http://ir.kornit.com/. The full text of the proposed resolutions, together with the form of proxy card for the Meeting, may also be viewed beginning on Monday, May 21, 2018, at the registered office of the Company, 12 Ha’Amal Street, Park Afek, Rosh Ha’Ayin Israel, from Sunday to Thursday (excluding Israeli holidays), 10:00 a.m. to 5:00 p.m. (Israel time). Our telephone number at our registered office is +972-3-908-5800.</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ANNUAL GENERAL MEETING OF SHAREHOLDERS</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2018 Annual General Meeting of Shareholders, or the Meeting, and at any adjournment thereof, pursuant to the accompanying Notice of 2018 Annual General Meeting of Shareholders. The Meeting will be held at 12:00 p.m. (Israel time) on Thursday, June 14, 2018, at our offices at 12 Ha’Amal Street, Park Afek, Rosh Ha’Ayin Israel.</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Proxy Statement, the attached Notice of 2018 Annual General Meeting of Shareholders and the enclosed proxy card or voting instruction form are being made available on or about May 21, 2018 to holders of Kornit Digital ordinary shares.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close of business on Monday, May 14, 2018,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980" w:right="6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re-elect each of (a) Mr. Yuval Cohen, (b) Mr. Eli Blatt and (c) Mr. Marc Lesnick for a three-year term as a Class III director of the Company, until the Company’s annual general meeting of shareholders in 2021 and until his successor is duly elected and qualified;</w:t>
      </w:r>
    </w:p>
    <w:p>
      <w:pPr>
        <w:spacing w:after="0" w:line="146"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re-elect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Mr. Yehoshua Nir as an external director of the Company, subject to and in accordance with the provisions of the Companies Law;</w:t>
      </w:r>
    </w:p>
    <w:p>
      <w:pPr>
        <w:spacing w:after="0" w:line="248"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re-appointment of Kost Forer Gabbay &amp; Kasierer, registered public accounting firm, a member firm of Ernst &amp; Young Global, as our independent registered public accounting firm for the year ending December 31, 2018 and until our 2019 annual general meeting of shareholders, and to authorize our board of directors to fix such accounting firm’s annual compensation;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terms of the annual cash compensation of the non-employee directors of the Company;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grant of options to purchase ordinary shares of the Company and restricted share units to each of the non-employee directors of the Company.</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the record date, Monday, May 14, 2018, we had 34,307,115 ordinary shares issued and outstanding. Each ordinary share outstanding as of the close of business on the record date is entitled to one vote upon each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proposal. Broker non-votes are not counted as present and entitled to vote with respect to the proposals,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the approval of each of Proposals 2 and 3 requires that one of the following two voting requirements be met as part of the approval by an ordinary majority of shares present and voting thereon:</w:t>
      </w:r>
    </w:p>
    <w:p>
      <w:pPr>
        <w:spacing w:after="0" w:line="170" w:lineRule="exact"/>
        <w:rPr>
          <w:sz w:val="20"/>
          <w:szCs w:val="20"/>
          <w:color w:val="auto"/>
        </w:rPr>
      </w:pPr>
    </w:p>
    <w:p>
      <w:pPr>
        <w:ind w:left="980" w:right="12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defined below) and do not have a conflict of interest (which is referred to under the Companies Law as a “personal interest,” as defined below) (except for a conflict of interest that does not arise from a relationship with a controlling shareholder)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“controlling shareholder” is any shareholder that has the ability to direct a company’s activities (other than by means of being a director or other office holder of a company). A person is presumed to be a controlling shareholder if it holds 50% or more of the voting rights in a company or has the right to appoint the majority of the directors of the company or its chief executive officer (referred to under the Companies Law as a general manager). A controlling shareholder does not include a shareholder whose power derives solely from his or her position as a director of a company or from any other position with the company.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“personal interest” of a shareholder (which we refer to as a “conflict of interest” elsewhere in this Proxy Statement and in the accompanying proxy card)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8" w:name="page9"/>
    <w:bookmarkEnd w:id="8"/>
    <w:p>
      <w:pPr>
        <w:ind w:right="60"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a quorum with respect to Proposals 2 and 3 and determining whether holders of a majority of ordinary shares present and entitled to vote approve Proposals 2 and 3; however, the vote of any such shareholders will not be counted towards the majority requirement described in the first bullet point above or towards the two percent (2%) threshold described in the second bullet point above.</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the case of each of Proposals 2 and 3, a shareholder must inform us before the vote (or if voting by proxy or voting instruction form, indicate via a proxy card or voting instruction form) whether or not such shareholder is a controlling shareholder or has a conflict of interest (as described above) in the approval of such proposal, and failure to do so disqualifies the shareholder from participating in the vote on such proposal. </w:t>
      </w:r>
      <w:r>
        <w:rPr>
          <w:rFonts w:ascii="Arial" w:cs="Arial" w:eastAsia="Arial" w:hAnsi="Arial"/>
          <w:sz w:val="17"/>
          <w:szCs w:val="17"/>
          <w:b w:val="1"/>
          <w:bCs w:val="1"/>
          <w:color w:val="auto"/>
        </w:rPr>
        <w:t>In order to confirm that you are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 a controlling shareholder and that you do not have a conflict of interest with respect to the approval of those proposals (and to therefore be counted towards the special majority required for approval of those proposals), check the box “FOR” Items 2A and 3A on the accompanying proxy card or voting instruction form when you record your vote on Proposals 2 and 3, respectively. </w:t>
      </w:r>
      <w:r>
        <w:rPr>
          <w:rFonts w:ascii="Arial" w:cs="Arial" w:eastAsia="Arial" w:hAnsi="Arial"/>
          <w:sz w:val="17"/>
          <w:szCs w:val="17"/>
          <w:color w:val="auto"/>
        </w:rPr>
        <w:t>If you believe that you, or a related party of yours, is a</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controlling shareholder or has such a conflict of interest and you wish to participate in the vote on Proposal 2 or 3, you should check the box “AGAINST” on Item 2A or Item 3A, as applicable, on the enclosed proxy card or voting instruction form. In that case, your vote on Proposal 2 and/or Proposal 3 will be counted towards the ordinary majority required for the approval of Proposal 2 and/or Proposal 3, but not towards the special majority required for approval of those proposals.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right="220" w:firstLine="638"/>
        <w:spacing w:after="0" w:line="277" w:lineRule="auto"/>
        <w:rPr>
          <w:sz w:val="20"/>
          <w:szCs w:val="20"/>
          <w:color w:val="auto"/>
        </w:rPr>
      </w:pPr>
      <w:r>
        <w:rPr>
          <w:rFonts w:ascii="Arial" w:cs="Arial" w:eastAsia="Arial" w:hAnsi="Arial"/>
          <w:sz w:val="18"/>
          <w:szCs w:val="18"/>
          <w:color w:val="auto"/>
        </w:rPr>
        <w:t>You can vote your shares by attending the Meeting or by completing and signing a proxy card or voting instruction form (which voting instruction form may be submitted online or via telephone as well).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w:t>
      </w:r>
    </w:p>
    <w:p>
      <w:pPr>
        <w:spacing w:after="0" w:line="225" w:lineRule="exact"/>
        <w:rPr>
          <w:sz w:val="20"/>
          <w:szCs w:val="20"/>
          <w:color w:val="auto"/>
        </w:rPr>
      </w:pPr>
    </w:p>
    <w:p>
      <w:pPr>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(indicating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at least four hours prior to the Meeting on Thursday, June 14, 2018, or our registrar and transfer agent receives it in the enclosed envelope not later than noon, Eastern time, on Wednesday, June 13, 2018.</w:t>
      </w:r>
    </w:p>
    <w:p>
      <w:pPr>
        <w:spacing w:after="0" w:line="18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 If no direction is made with respect to Proposals 2 or 3, you will be deemed to have abstained from voting on such proposals.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Holders in “Street Name”</w:t>
      </w:r>
    </w:p>
    <w:p>
      <w:pPr>
        <w:spacing w:after="0" w:line="225" w:lineRule="exact"/>
        <w:rPr>
          <w:sz w:val="20"/>
          <w:szCs w:val="20"/>
          <w:color w:val="auto"/>
        </w:rPr>
      </w:pPr>
    </w:p>
    <w:p>
      <w:pPr>
        <w:ind w:right="40" w:firstLine="638"/>
        <w:spacing w:after="0" w:line="270" w:lineRule="auto"/>
        <w:rPr>
          <w:sz w:val="20"/>
          <w:szCs w:val="20"/>
          <w:color w:val="auto"/>
        </w:rPr>
      </w:pPr>
      <w:r>
        <w:rPr>
          <w:rFonts w:ascii="Arial" w:cs="Arial" w:eastAsia="Arial" w:hAnsi="Arial"/>
          <w:sz w:val="17"/>
          <w:szCs w:val="17"/>
          <w:color w:val="auto"/>
        </w:rPr>
        <w:t xml:space="preserve">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 to their brokers, trustees or nominees by other means, including via the internet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xml:space="preserve">) or via telephone, if so indicated on their voting instruction form. If mailing in your physical voting instruction form, your vote must be received by noon, Eastern time, on Wednesday, June 13, 2018 to be validly included in the tally of ordinary shares voted at the Meeting. If you provide your voting instructions online (at </w:t>
      </w:r>
      <w:r>
        <w:rPr>
          <w:rFonts w:ascii="Arial" w:cs="Arial" w:eastAsia="Arial" w:hAnsi="Arial"/>
          <w:sz w:val="17"/>
          <w:szCs w:val="17"/>
          <w:u w:val="single" w:color="auto"/>
          <w:color w:val="auto"/>
        </w:rPr>
        <w:t>www.proxyvote.com</w:t>
      </w:r>
      <w:r>
        <w:rPr>
          <w:rFonts w:ascii="Arial" w:cs="Arial" w:eastAsia="Arial" w:hAnsi="Arial"/>
          <w:sz w:val="17"/>
          <w:szCs w:val="17"/>
          <w:color w:val="auto"/>
        </w:rPr>
        <w:t>) or via telephone, your vote must be received by 11:59 p.m. Eastern time on Tuesday, June 12, 2018.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(May 14, 2018).</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Brokers that hold shares in “street name” for clients typically have authority to vote on “routine” proposals even when they have not received instructions from beneficial owners. The only item on the Meeting agenda that may be considered routine is Proposal 4 relating to the reappointment of the Company’s independent registered public accounting firm for the fiscal year ending December 31, 2018; however, we cannot be certain whether this will be treated as a routine matter since our proxy statement is prepared in compliance with the Companies Law, rather than the rules applicable to domestic U.S. reporting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you are a beneficial owner of shares and do not specify how you want to vote on a proposal on your voting instruction form, your broker will not be permitted to instruct the depositary to cast a vote with respect to that proposal (with the possible exception of Proposal 4). That is commonly referred to as a “broker non-vote.” In that circumstance, the shares held by you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You are entitled to receive notice of the Meeting and to vote at the Meeting if you are a shareholder of record at the close of business on Monday, May 14, 2018. You are also entitled to notice of the Meeting and to vote at the Meeting if you held ordinary shares through a bank, broker or other nominee that is one of our shareholders of record at the close of business on Monday, May 14, 2018.</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General Counsel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Shareholders may revoke the authority granted by their execution of proxies at any time before the effective exercise thereof by filing with us a written notice of revocation or duly executed proxy bearing a later date, or by voting in person at the Meeting. Unless otherwise indicated on the form of proxy, shares represented by any proxy in the enclosed form, if the proxy is properly executed and received by the Company in accordance with the deadlines described above (under </w:t>
      </w:r>
      <w:r>
        <w:rPr>
          <w:rFonts w:ascii="Arial" w:cs="Arial" w:eastAsia="Arial" w:hAnsi="Arial"/>
          <w:sz w:val="18"/>
          <w:szCs w:val="18"/>
          <w:b w:val="1"/>
          <w:bCs w:val="1"/>
          <w:i w:val="1"/>
          <w:iCs w:val="1"/>
          <w:color w:val="auto"/>
        </w:rPr>
        <w:t>“</w:t>
      </w:r>
      <w:r>
        <w:rPr>
          <w:rFonts w:ascii="Arial" w:cs="Arial" w:eastAsia="Arial" w:hAnsi="Arial"/>
          <w:sz w:val="18"/>
          <w:szCs w:val="18"/>
          <w:color w:val="auto"/>
        </w:rPr>
        <w:t>How You Can Vote”) will be voted in favor of the proposals and any other matters that may be presented to the Meeting, as described above.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Proxies are being distributed to shareholders on or about May 22, 2018.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Percent</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4,552,481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2,545,895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William Blair &amp; Company, LLC </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2,461,857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Granahan Investment Management, Inc. </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2,331,724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Gilder, Gagnon, Howe &amp; Co. LLC </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1,763,373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Clal Insurance Enterprises Holdings Ltd.</w:t>
            </w:r>
            <w:r>
              <w:rPr>
                <w:rFonts w:ascii="Arial" w:cs="Arial" w:eastAsia="Arial" w:hAnsi="Arial"/>
                <w:sz w:val="29"/>
                <w:szCs w:val="29"/>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1,718,717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Senvest Management, LLC</w:t>
            </w:r>
            <w:r>
              <w:rPr>
                <w:rFonts w:ascii="Arial" w:cs="Arial" w:eastAsia="Arial" w:hAnsi="Arial"/>
                <w:sz w:val="29"/>
                <w:szCs w:val="29"/>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1,695,677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34,307,115 ordinary shares outstanding as of May 14, 2018.</w:t>
      </w:r>
    </w:p>
    <w:p>
      <w:pPr>
        <w:spacing w:after="0" w:line="225" w:lineRule="exact"/>
        <w:rPr>
          <w:rFonts w:ascii="Arial" w:cs="Arial" w:eastAsia="Arial" w:hAnsi="Arial"/>
          <w:sz w:val="18"/>
          <w:szCs w:val="18"/>
          <w:color w:val="auto"/>
        </w:rPr>
      </w:pPr>
    </w:p>
    <w:p>
      <w:pPr>
        <w:ind w:left="660" w:right="20" w:hanging="652"/>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information provided to the Company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 Cayman Islands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2017, based on a Schedule 13G filed with the Securities and Exchange Commission on February 1, 2018.</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December 31, 2017, based on a Schedule 13G filed with the Securities and Exchange Commission on February 12, 2018 by William Blair &amp; Company, LLC.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ind w:left="660" w:right="6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2017, based on a Schedule 13G filed with the Securities and Exchange Commission on February 12, 2018 by Granahan Investment Management, Inc.</w:t>
      </w:r>
    </w:p>
    <w:p>
      <w:pPr>
        <w:spacing w:after="0" w:line="170" w:lineRule="exact"/>
        <w:rPr>
          <w:rFonts w:ascii="Arial" w:cs="Arial" w:eastAsia="Arial" w:hAnsi="Arial"/>
          <w:sz w:val="18"/>
          <w:szCs w:val="18"/>
          <w:color w:val="auto"/>
        </w:rPr>
      </w:pPr>
    </w:p>
    <w:p>
      <w:pPr>
        <w:ind w:left="660" w:right="20" w:hanging="652"/>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December 31, 2017, based on a Schedule 13G filed with the Securities and Exchange Commission on February 14, 2018 by Gilder, Gagnon, Howe &amp; Co. LLC (“Gilder”). The shares reported include 1,198,972 shares held in customer accounts over which partners and/or employees of Gilder have discretionary authority to dispose of or direct the disposition of the shares, 44,410 shares held in the account of the profit sharing plan of Gilder, and 519,991 shares held in accounts owned by the partners of Gilder and their families.</w:t>
      </w:r>
    </w:p>
    <w:p>
      <w:pPr>
        <w:spacing w:after="0" w:line="171" w:lineRule="exact"/>
        <w:rPr>
          <w:rFonts w:ascii="Arial" w:cs="Arial" w:eastAsia="Arial" w:hAnsi="Arial"/>
          <w:sz w:val="17"/>
          <w:szCs w:val="17"/>
          <w:color w:val="auto"/>
        </w:rPr>
      </w:pPr>
    </w:p>
    <w:p>
      <w:pPr>
        <w:ind w:left="660" w:right="4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27, 2018, based on a Schedule 13G filed with the Securities and Exchange Commission by Clal Insurance Enterprises Holdings Ltd. (“Clal”). Clal is a publicly-held Israeli corporation. The majority outstanding shares of Clal are held by a trustee appointed by the Israeli Supervisor of Capital Markets, Insurance and Savings on behalf of IDB Development Corporation Ltd., or IDB, pending IDB’s sale of its controlling interest in Clal. The ordinary shares held by Clal are held for members of the public through, among others, provident funds and/or pension funds and/or insurance policies, which are managed by subsidiaries of Clal, which subsidiaries operate under independent management and make independent voting and investment decisions.</w:t>
      </w:r>
    </w:p>
    <w:p>
      <w:pPr>
        <w:spacing w:after="0" w:line="193" w:lineRule="exact"/>
        <w:rPr>
          <w:rFonts w:ascii="Arial" w:cs="Arial" w:eastAsia="Arial" w:hAnsi="Arial"/>
          <w:sz w:val="18"/>
          <w:szCs w:val="18"/>
          <w:color w:val="auto"/>
        </w:rPr>
      </w:pPr>
    </w:p>
    <w:p>
      <w:pPr>
        <w:ind w:left="660" w:hanging="652"/>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January 12, 2018, based on a Schedule 13G filed with the Securities and Exchange Commission on January 16, 2018 by Senvest Management, LLC. The reported securities are held in the accounts of Senvest Master Fund, LP, Senvest Israel Partners Master Fund, LP and Senvest Global (KY), LP (collectively, the “Senvest Investment Vehicles”). Senvest Management, LLC serves as investment manager of the Investment Vehicles. Richard Mashaal is the managing member of Senvest Management, LLC. Mr. Mashaal may be deemed to have voting and dispositive powers over the securities held by the Senvest Investment Vehicles. Senvest Management, LLC may be deemed to beneficially own the securities held by the Senvest Investment Vehicles by virtue of Senvest Management, LLC’s position as investment manager of each of the Senvest Investment Vehicles. Mr. Mashaal may be deemed to beneficially own the securities held by the Senvest Investment Vehicles by virtue of Mr. Mashaal’s status as the managing member of Senvest Management, LLC.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CERTAIN EXECUTIVE OFFICERS AND DIRECTORS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information about the compensation, on an individual basis, of our five most highly compensated office holders during or with respect to the year ended December 31, 2017, as required by regulations promulgated under the Companies Law, see “Item 6.B. Compensation” of our annual report on Form 20-F filed with the SEC on March 20, 2018, and available on the “Investor Relations” section of our Company’s website at ir.kornit.com or through the SEC’s website www.sec.gov.</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RE-ELECTION OF OUR CLASS III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Under the Companies Law and our Articles of Association,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Articles of Association provide that our Board must consist of at least five and not more than nine directors, including at least two external directors required to be appointed under the Companies Law.</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Board currently consists of nine directors. Our directors (excluding external directors) are divided into three classes with staggered three-year terms. Each class of directors consists, as nearly as possible, of one-third of the total number of directors constituting the entire Board (excluding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Our non-external directors are divided among the three classes as follows:</w:t>
      </w:r>
    </w:p>
    <w:p>
      <w:pPr>
        <w:spacing w:after="0" w:line="225" w:lineRule="exact"/>
        <w:rPr>
          <w:sz w:val="20"/>
          <w:szCs w:val="20"/>
          <w:color w:val="auto"/>
        </w:rPr>
      </w:pPr>
    </w:p>
    <w:p>
      <w:pPr>
        <w:ind w:right="120" w:firstLine="656"/>
        <w:spacing w:after="0" w:line="277" w:lineRule="auto"/>
        <w:tabs>
          <w:tab w:leader="none" w:pos="8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 directors are Alon Lumbroso and Dov Ofer, whose current terms expire at our 2019 annual general meeting of shareholders and upon the election and qualification of their respective successors;</w:t>
      </w:r>
    </w:p>
    <w:p>
      <w:pPr>
        <w:spacing w:after="0" w:line="170" w:lineRule="exact"/>
        <w:rPr>
          <w:rFonts w:ascii="Arial" w:cs="Arial" w:eastAsia="Arial" w:hAnsi="Arial"/>
          <w:sz w:val="18"/>
          <w:szCs w:val="18"/>
          <w:color w:val="auto"/>
        </w:rPr>
      </w:pPr>
    </w:p>
    <w:p>
      <w:pPr>
        <w:ind w:right="140" w:firstLine="656"/>
        <w:spacing w:after="0" w:line="277" w:lineRule="auto"/>
        <w:tabs>
          <w:tab w:leader="none" w:pos="91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 directors are Ofer Ben-Zur and Gabi Seligsohn, whose current terms expire at our 2020 annual general meeting of shareholders and upon the election and qualification of their respective successors;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Class III directors are Yuval Cohen, Eli Blatt, and Marc Lesnick, whose current terms expire at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has approved the nomination of each of our Class III directors, Messrs. Cohen, Blatt and Lesnick, for re-election to our Board as a Class</w:t>
      </w:r>
    </w:p>
    <w:p>
      <w:pPr>
        <w:spacing w:after="0" w:line="46" w:lineRule="exact"/>
        <w:rPr>
          <w:sz w:val="20"/>
          <w:szCs w:val="20"/>
          <w:color w:val="auto"/>
        </w:rPr>
      </w:pPr>
    </w:p>
    <w:p>
      <w:pPr>
        <w:ind w:firstLine="8"/>
        <w:spacing w:after="0" w:line="255"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 at the Meeting for a three-year term and recommends that shareholders re-elect each of Messrs. Cohen, Blatt and Lesnick as a Class III director for a three-year term. It is intended that proxies (other than those directing the proxy holders not to vote for the listed nominees or for one of them) will be voted for the re-election of each nominee as a Class III director.</w:t>
      </w:r>
    </w:p>
    <w:p>
      <w:pPr>
        <w:spacing w:after="0" w:line="1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 nominees, whose professional background is provided below, has advised the Company that he is willing, able and ready to serve as a Class III director if re-elected. Additionally, in accordance with the Companies Law, each of the nominees has certified to us that he meets all the requirements of the Companies Law for election as a director of a public company, and possesses the necessary qualifications and has sufficient time, to fulfill his duties as a director of the Company, taking into account the size and needs of our Company. We do not have any understanding or agreement with respect to the future election of either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certain biographical information regarding the background and experience for Messrs. Cohen, Blatt and Lesnick:</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Yuval Cohen </w:t>
      </w:r>
      <w:r>
        <w:rPr>
          <w:rFonts w:ascii="Arial" w:cs="Arial" w:eastAsia="Arial" w:hAnsi="Arial"/>
          <w:sz w:val="18"/>
          <w:szCs w:val="18"/>
          <w:color w:val="auto"/>
        </w:rPr>
        <w:t>has served as the Chairman of our board of directors since August 2011. Mr. Cohen is the founding and managing partner of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 private equity fund established in 2004.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 Capital in 2004. From March 1999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3" w:name="page14"/>
    <w:bookmarkEnd w:id="13"/>
    <w:p>
      <w:pPr>
        <w:ind w:firstLine="648"/>
        <w:spacing w:after="0" w:line="293" w:lineRule="auto"/>
        <w:rPr>
          <w:sz w:val="20"/>
          <w:szCs w:val="20"/>
          <w:color w:val="auto"/>
        </w:rPr>
      </w:pPr>
      <w:r>
        <w:rPr>
          <w:rFonts w:ascii="Arial" w:cs="Arial" w:eastAsia="Arial" w:hAnsi="Arial"/>
          <w:sz w:val="16"/>
          <w:szCs w:val="16"/>
          <w:i w:val="1"/>
          <w:iCs w:val="1"/>
          <w:color w:val="auto"/>
        </w:rPr>
        <w:t xml:space="preserve">Marc Lesnick </w:t>
      </w:r>
      <w:r>
        <w:rPr>
          <w:rFonts w:ascii="Arial" w:cs="Arial" w:eastAsia="Arial" w:hAnsi="Arial"/>
          <w:sz w:val="16"/>
          <w:szCs w:val="16"/>
          <w:color w:val="auto"/>
        </w:rPr>
        <w:t>has served as a member of our board of directors since August 2011. Mr. Lesnick joined Fortissimo Capital in 2004. From 2001</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w:t>
      </w:r>
    </w:p>
    <w:p>
      <w:pPr>
        <w:spacing w:after="0" w:line="221" w:lineRule="exact"/>
        <w:rPr>
          <w:sz w:val="20"/>
          <w:szCs w:val="20"/>
          <w:color w:val="auto"/>
        </w:rPr>
      </w:pPr>
    </w:p>
    <w:p>
      <w:pPr>
        <w:ind w:left="980" w:right="8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Yuval Cohen as a Class III director of Kornit Digital Ltd., for a term of three years that expires at the third annual general meeting of shareholders following such re-election, and until the due election and qualification of his successor; be, and hereby is, approved in all respects”; and</w:t>
      </w:r>
    </w:p>
    <w:p>
      <w:pPr>
        <w:spacing w:after="0" w:line="176" w:lineRule="exact"/>
        <w:rPr>
          <w:rFonts w:ascii="Arial" w:cs="Arial" w:eastAsia="Arial" w:hAnsi="Arial"/>
          <w:sz w:val="18"/>
          <w:szCs w:val="18"/>
          <w:color w:val="auto"/>
        </w:rPr>
      </w:pPr>
    </w:p>
    <w:p>
      <w:pPr>
        <w:ind w:left="980" w:right="4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Eli Blatt as a Class III director of Kornit Digital Ltd., for a term of three years that expires at the third annual general meeting of shareholders following such re-election, and until the due election and qualification of his successor; be, and hereby is, approved in all respects”.</w:t>
      </w:r>
    </w:p>
    <w:p>
      <w:pPr>
        <w:spacing w:after="0" w:line="176" w:lineRule="exact"/>
        <w:rPr>
          <w:rFonts w:ascii="Arial" w:cs="Arial" w:eastAsia="Arial" w:hAnsi="Arial"/>
          <w:sz w:val="18"/>
          <w:szCs w:val="18"/>
          <w:color w:val="auto"/>
        </w:rPr>
      </w:pPr>
    </w:p>
    <w:p>
      <w:pPr>
        <w:ind w:left="980" w:right="20" w:hanging="324"/>
        <w:spacing w:after="0" w:line="26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Marc Lesnick as a Class III director of Kornit Digital Ltd., for a term of three years that expires at the third annual general meeting of shareholders following such re-election, and until the due election and qualification of his successor; be, and hereby is, approved in all respects”.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is more fully described above, the vote required for the re-election of each of Mr. Yuval Cohen, Mr. Eli Blatt and Mr. Marc Lesnick as a Class III director is the affirmative vote of the holders of a majority of the voting power present in person or represented by proxy at the Meeting and voting on paragraph (a), (b) or (c), as applicable, of this proposal (excluding abstentions and broker non-votes).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each of the three Class III directors.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PROPOSALS 2 AND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EXTERNAL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Under the Companies Law, companies incorporated under the laws of the State of Israel that are “public companies,” including companies with shares listed on the Nasdaq Global Select Market, are generally required to appoint at least two external directors who meet the qualification requirements in the Companies Law.</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68" w:right="299" w:bottom="1440" w:gutter="0" w:footer="0" w:header="0"/>
        </w:sectPr>
      </w:pPr>
    </w:p>
    <w:bookmarkStart w:id="14" w:name="page15"/>
    <w:bookmarkEnd w:id="14"/>
    <w:p>
      <w:pPr>
        <w:ind w:right="80" w:firstLine="648"/>
        <w:spacing w:after="0" w:line="277"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spouse’s sibling, parent or descendant; and the spouse of each of the foregoing persons.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Under the Companies Law, the term “affiliation” and the similar types of disqualifying relationships include (subject to certain exceptions):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9" w:lineRule="exact"/>
        <w:rPr>
          <w:rFonts w:ascii="Arial" w:cs="Arial" w:eastAsia="Arial" w:hAnsi="Arial"/>
          <w:sz w:val="18"/>
          <w:szCs w:val="18"/>
          <w:color w:val="auto"/>
        </w:rPr>
      </w:pPr>
    </w:p>
    <w:p>
      <w:pPr>
        <w:ind w:left="980" w:right="220" w:hanging="324"/>
        <w:spacing w:after="0" w:line="290"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6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term “office holder” is defined in the Companies Law as a general manager (i.e., chief executive officer),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or director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Exchange Act, (ii) meets the standards of the NASDAQ Stock Market rules for membership on the audit committee and</w:t>
      </w:r>
    </w:p>
    <w:p>
      <w:pPr>
        <w:spacing w:after="0" w:line="2" w:lineRule="exact"/>
        <w:rPr>
          <w:sz w:val="20"/>
          <w:szCs w:val="20"/>
          <w:color w:val="auto"/>
        </w:rPr>
      </w:pPr>
    </w:p>
    <w:p>
      <w:pPr>
        <w:ind w:right="160" w:firstLine="8"/>
        <w:spacing w:after="0" w:line="261"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the Companies Law, then neither of our external directors is required to possess accounting and financial expertise as long as each possesses the requisite professional qualifications.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5" w:name="page16"/>
    <w:bookmarkEnd w:id="15"/>
    <w:p>
      <w:pPr>
        <w:ind w:right="60" w:firstLine="648"/>
        <w:spacing w:after="0" w:line="284"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w:t>
      </w:r>
    </w:p>
    <w:p>
      <w:pPr>
        <w:spacing w:after="0" w:line="3" w:lineRule="exact"/>
        <w:rPr>
          <w:sz w:val="20"/>
          <w:szCs w:val="20"/>
          <w:color w:val="auto"/>
        </w:rPr>
      </w:pPr>
    </w:p>
    <w:p>
      <w:pPr>
        <w:ind w:right="620" w:firstLine="8"/>
        <w:spacing w:after="0" w:line="261"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senior position in public administration or service. The board of directors is charged with determining whether a director possesses financial and accounting expertise or professional qualifications.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 either: (i) 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subject to additional restrictions set forth in the Companies Law with respect to affiliations of external director nominee; or (ii) his or her service for each such additional term is recommended by the board of directors and is approved at a meeting of shareholders by the same majority required for the initial election of an external director (as described above).</w:t>
      </w:r>
    </w:p>
    <w:p>
      <w:pPr>
        <w:spacing w:after="0" w:line="18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regulations recently promulgated under the Companies Law, Israeli public companies whose shares are traded on certain U.S. stock exchanges, such as the NASDAQ Global Select Market, and that lack a controlling shareholder (as defined below) are exempt from the requirement to appoint external directors. Any such company is also exempt from the Companies Law requirements related to the composition of the audit and compensation committees of the board. Eligibility for these exemptions is conditioned on compliance with U.S. stock exchange listing rules related to majority board independence and the composition of the audit and compensation committees of the board, as applicable to all listed domestic U.S. companies. We do not currently qualify to utilize this exemption from the requirement to appoint external directors.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6" w:name="page17"/>
    <w:bookmarkEnd w:id="16"/>
    <w:p>
      <w:pPr>
        <w:ind w:right="40" w:firstLine="648"/>
        <w:spacing w:after="0" w:line="277" w:lineRule="auto"/>
        <w:rPr>
          <w:sz w:val="20"/>
          <w:szCs w:val="20"/>
          <w:color w:val="auto"/>
        </w:rPr>
      </w:pPr>
      <w:r>
        <w:rPr>
          <w:rFonts w:ascii="Arial" w:cs="Arial" w:eastAsia="Arial" w:hAnsi="Arial"/>
          <w:sz w:val="18"/>
          <w:szCs w:val="18"/>
          <w:color w:val="auto"/>
        </w:rPr>
        <w:t>The terms of our current external directors are scheduled to expire on June 15, 2018. Our Board has nominated Ms. Lauri Hanover for re-election as an external director and Mr. Yehoshua Nir for election as an external director.</w:t>
      </w:r>
    </w:p>
    <w:p>
      <w:pPr>
        <w:spacing w:after="0" w:line="170"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Ms. Hanover will continue to serve as the chairperson of the Company’s audit committee and as a member of the Company’s compensation committee. Mr. Nir will serve as the chairman of the Company’s compensation committee and as a member of the Company’s audit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the reelection of Ms. Lauri Hanover as an external director of the Company.</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Board has previously determined that Ms. Hanover satisfies the Companies Law’s external director requirements as well as the independent director requirements under the Companies Law and NASDAQ Listing Rules.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Subject to the reelection of Ms. Hanover as an external director and director and subject to obtaining the approval of our shareholders in Proposal 5, Ms. Hanover shall be entitled to the cash compensation described in Proposal 5.</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our Board has determined that, following her election as an external director and subject to obtaining the approval of our shareholders in Proposal 6, the Company will to grant to Ms. Hanover options and restricted share units, as described in Proposal 6 below.</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received a statement from Ms. Hanover in which she declares that she meets all of the requirements applicable to external directors as set forth in the Companies Law. Furthermore, Ms. Hanover meets the requirement of the Companies Law of an external director who qualifies as an “expert director.”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biographical information is provided with respect to Ms. Hanover and is based upon information furnished to the Company by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Hanover:</w:t>
      </w:r>
    </w:p>
    <w:p>
      <w:pPr>
        <w:spacing w:after="0" w:line="2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and is an external director under the Companies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chairperson of our audit committee and a member of our compensation committee. Ms. Hanover has served as the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of the University of Pennsylvania, as well as an M.B.A. from New York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to adopt the following resolution: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“RESOLVED, to elect Ms. Lauri Hanover as an External Director of Kornit Digital Ltd., for a three-year term, in accordance with the requirements of the Companies Law.”</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68"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Proposal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the election of Mr. Yehoshua (Shuki) Nir as an external director of the Company.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Board has previously determined that Mr. Nir satisfies the Companies Law’s external director requirements as well as the independent director requirements under the Companies Law and NASDAQ Listing Rules.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Subject to the election of Mr. Nir as an external director and subject to obtaining the approval of our shareholders in Proposal 5, Mr. Nir shall be entitled to the cash compensation described in Proposal 5.</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our Board has determined that, following his election as an external director and subject to obtaining the approval of our shareholders in Proposal 6, the Company will to grant to Mr. Nir options and restricted share units, as described in Proposal 6 below.</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received a statement from Mr. Nir in which he declares that he meets all of the requirements applicable to external directors as set forth in the Companies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biographical information is provided with respect to Mr. Nir and is based upon information furnished to the Company by Mr. Nir:</w:t>
      </w:r>
    </w:p>
    <w:p>
      <w:pPr>
        <w:spacing w:after="0" w:line="23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Yehoshua (Shuki) Nir is a candidate for external director. Since March 2017, Mr. Nir has served as an advisor to Eclipse VC Fund.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is a member of the board of directors of EarlySense Ltd., a company that provides contact-free, continuous monitoring solutions for the medical and consumer digital health markets. Mr. Nir has a B.A. in Law and Accounting and an M.B.A. from Tel Aviv University.</w:t>
      </w:r>
    </w:p>
    <w:p>
      <w:pPr>
        <w:spacing w:after="0" w:line="17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Mr. Nir also serves a consultant to Cardo Peripheral Systems Ltd., which is controlled by Fortissimo Capital, a significant shareholder of our Company. Our audit committee has reviewed this relationship and determined that it is immaterial for purposes of Mr. Nir’s qualification as an external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to adopt the following resolution:</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“RESOLVED, to elect Mr. Yehoshua (Shuki) Nir as an External Director of Kornit Digital Ltd. for a three-year term, in accordance with the requirements of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vote required for approval of each of Proposal 2 and Proposal 3 is the affirmative vote of the holders of a majority of the voting power present in person or represented by proxy at the Meeting and voting on such proposal (excluding abstentions and broker non-votes).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under the Companies Law, election of each of the external directors requires that either of the following two voting conditions be met as part of the approval by a majority of shares present and voting thereon:</w:t>
      </w:r>
    </w:p>
    <w:p>
      <w:pPr>
        <w:spacing w:after="0" w:line="170" w:lineRule="exact"/>
        <w:rPr>
          <w:sz w:val="20"/>
          <w:szCs w:val="20"/>
          <w:color w:val="auto"/>
        </w:rPr>
      </w:pPr>
    </w:p>
    <w:p>
      <w:pPr>
        <w:ind w:left="980" w:right="24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majority voted in favor of the proposal includes a majority of the shares held by shareholders who are not controlling shareholders and do not have a conflict of interest (except for a conflict of interest that does not arise from a relationship with a controlling shareholder) in the approval of the proposal that are voted at the Meeting, excluding abstentions; or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8" w:name="page19"/>
    <w:bookmarkEnd w:id="18"/>
    <w:p>
      <w:pPr>
        <w:ind w:left="980" w:right="4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Please see “Vote Required for Approval of the Proposals” above in this Proxy Statement for an explanation as to what constitutes a conflict of interest with respect to your vote on this proposal.</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A shareholder must inform us before the vote (or if voting by proxy or voting instruction form, indicate via a proxy card or voting instruction form) whether or not such shareholder is a controlling shareholder or has a conflict of interest (as described above) in the approval of such proposal, and failure to do so disqualifies the shareholder from participating in the vote on such proposal. </w:t>
      </w:r>
      <w:r>
        <w:rPr>
          <w:rFonts w:ascii="Arial" w:cs="Arial" w:eastAsia="Arial" w:hAnsi="Arial"/>
          <w:sz w:val="16"/>
          <w:szCs w:val="16"/>
          <w:b w:val="1"/>
          <w:bCs w:val="1"/>
          <w:color w:val="auto"/>
        </w:rPr>
        <w:t>In order to confirm that you are not a controlling shareholder and that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do not have a conflict of interest with respect to the approval of those proposals (and to therefore be counted towards the special majority required for approval of these proposals), check the box “FOR” Item 2A on the accompanying proxy card or voting instruction form when you record your vote on Proposal 2 and check the box “FOR” Item 3A on the accompanying proxy card or voting instruction form when you record your vote on Proposal 3. </w:t>
      </w:r>
      <w:r>
        <w:rPr>
          <w:rFonts w:ascii="Arial" w:cs="Arial" w:eastAsia="Arial" w:hAnsi="Arial"/>
          <w:sz w:val="16"/>
          <w:szCs w:val="16"/>
          <w:color w:val="auto"/>
        </w:rPr>
        <w:t>If you believe that you, or a related party of yours, is a controlling shareholder or has such a conflict of interest and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vote on Proposal 2 or 3, you should instead check the box “AGAINST” on Item 2A or 3A on the enclosed proxy card or voting instruction form. In that case, your vote will be counted towards determining whether an ordinary majority has been received in favor or against the relevant proposal, but will not be counted towards determining whether a special majority has been achieved for approval of that proposal.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Board unanimously recommends a vote FOR the reelection of Ms. Lauri Hanover and election of Mr. Yehoshua Nir as external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August 2017, Kost Forer Gabbay &amp; Kasierer, a member of Ernst &amp; Young Global, or Kost Forer, was appointed by the Company’s shareholders as the Company’s independent auditors for the fiscal year ending December 31, 2017, and for such additional period until the Meeting. The audit committee of our Board has approved the re-appointment of Kost Forer as the Company’s independent auditors for the fiscal year ending December 31, 2018 and for such additional period until the next annual general meeting of shareholders. In furtherance of such approval, the Board has nominated Kost Forer once again for re-appointment as the independent auditors of the Company for the foregoing period of time. The Company, based upon the recommendation of the audit committee and the Board, is submitting to our shareholders for approval the reappointment of Kost Forer as its independent auditors for the year ending December 31, 2018, and its service until the annual general meeting to be held in 2019, and to authorize the Board following approval of the audit committee to determine the compensation of the auditors in accordance with the volume and nature of their services.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total compensation that was paid by the Company and its subsidiaries to the Company’s independent auditors, Kost Forer, in each of the previous two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(in U.S.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Audit-related fees</w:t>
            </w: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All other fees</w:t>
            </w:r>
          </w:p>
        </w:tc>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7"/>
        </w:trPr>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vMerge w:val="continue"/>
            <w:shd w:val="clear" w:color="auto" w:fill="CCEEFF"/>
          </w:tcPr>
          <w:p>
            <w:pPr>
              <w:spacing w:after="0"/>
              <w:rPr>
                <w:sz w:val="21"/>
                <w:szCs w:val="21"/>
                <w:color w:val="auto"/>
              </w:rPr>
            </w:pPr>
          </w:p>
        </w:tc>
        <w:tc>
          <w:tcPr>
            <w:tcW w:w="5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457,000</w:t>
            </w:r>
          </w:p>
        </w:tc>
        <w:tc>
          <w:tcPr>
            <w:tcW w:w="0" w:type="dxa"/>
            <w:vAlign w:val="bottom"/>
          </w:tcPr>
          <w:p>
            <w:pPr>
              <w:spacing w:after="0"/>
              <w:rPr>
                <w:sz w:val="1"/>
                <w:szCs w:val="1"/>
                <w:color w:val="auto"/>
              </w:rPr>
            </w:pPr>
          </w:p>
        </w:tc>
      </w:tr>
      <w:tr>
        <w:trPr>
          <w:trHeight w:val="21"/>
        </w:trPr>
        <w:tc>
          <w:tcPr>
            <w:tcW w:w="34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4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19" w:name="page20"/>
    <w:bookmarkEnd w:id="19"/>
    <w:p>
      <w:pPr>
        <w:ind w:right="420"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Company’s independent auditors, Kost Forer Gabbay &amp; Kasierer, a member of Ernst &amp; Young Global, be, and hereby are, re-appointed as the independent auditors of the Company for the fiscal year ending December 31, 2018 and for such additional period until the next annual general meeting of shareholders, such re-appointment having been previously approved by the audit committee of the Company’s Board.”</w:t>
      </w:r>
    </w:p>
    <w:p>
      <w:pPr>
        <w:spacing w:after="0" w:line="158" w:lineRule="exact"/>
        <w:rPr>
          <w:sz w:val="20"/>
          <w:szCs w:val="20"/>
          <w:color w:val="auto"/>
        </w:rPr>
      </w:pPr>
    </w:p>
    <w:p>
      <w:pPr>
        <w:ind w:right="200" w:firstLine="69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Board be, and hereby is, authorized to fix the remuneration of the independent auditors in accordance with the volume and nature of their services, such remuneration and the volume and nature of such services to be approved first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approval of Proposal 4 requires the affirmative vote of the holders of a majority of the ordinary shares present, in person or by proxy, and voting on the proposal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as the independent auditors of the Company for the fiscal year ending December 31, 2018 and for such additional period until the next annual general meeting of shareholders and (ii) the authorization of the Board to fix the remuneration of the independent auditors in accordance with the volume and nature of their services.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CASH COMPENSATION FOR OUR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firstLine="638"/>
        <w:spacing w:after="0" w:line="279" w:lineRule="auto"/>
        <w:rPr>
          <w:sz w:val="20"/>
          <w:szCs w:val="20"/>
          <w:color w:val="auto"/>
        </w:rPr>
      </w:pPr>
      <w:r>
        <w:rPr>
          <w:rFonts w:ascii="Arial" w:cs="Arial" w:eastAsia="Arial" w:hAnsi="Arial"/>
          <w:sz w:val="17"/>
          <w:szCs w:val="17"/>
          <w:color w:val="auto"/>
        </w:rPr>
        <w:t>Under the Companies Law, the compensation of directors must generally comply with a company’s compensation policy and requires the approval of the company’s compensation committee, board of directors and shareholders, in that order. Our Compensation Committee and Board have reviewed, discussed and approved the updated cash compensation for our non-employee directors that is described below, and have determined that the proposed changes are consistent with the terms and conditions of our Compensation Policy, subject to shareholder approval.</w:t>
      </w:r>
    </w:p>
    <w:p>
      <w:pPr>
        <w:spacing w:after="0" w:line="171" w:lineRule="exact"/>
        <w:rPr>
          <w:sz w:val="20"/>
          <w:szCs w:val="20"/>
          <w:color w:val="auto"/>
        </w:rPr>
      </w:pPr>
    </w:p>
    <w:p>
      <w:pPr>
        <w:ind w:right="60" w:firstLine="638"/>
        <w:spacing w:after="0" w:line="291" w:lineRule="auto"/>
        <w:rPr>
          <w:sz w:val="20"/>
          <w:szCs w:val="20"/>
          <w:color w:val="auto"/>
        </w:rPr>
      </w:pPr>
      <w:r>
        <w:rPr>
          <w:rFonts w:ascii="Arial" w:cs="Arial" w:eastAsia="Arial" w:hAnsi="Arial"/>
          <w:sz w:val="16"/>
          <w:szCs w:val="16"/>
          <w:color w:val="auto"/>
        </w:rPr>
        <w:t>We are proposing to update the cash compensation for each of our non-employee directors who serves on our Board from time to time, all in accordance with the terms set forth below. We propose to pay our external directors the same compensation, in the form of cash (and, if Proposal 6, is approved, share options and restricted share units), which is paid to our non-external non-employee directors (other than the chairman of our board of directors). In the event that any changes are made from time to time in the future to the compensation terms of our external directors, which changes would require shareholder approval under Israeli law, the same changes will be made to the compensation of our non-external, non-employee directors. Conversely, in the event that any changes are made from time to time in the future to the compensation terms of our non-external, non-executive directors, which changes would require shareholder approval under Israeli law, the same changes will be made to the compensation of our external directors.</w:t>
      </w:r>
    </w:p>
    <w:p>
      <w:pPr>
        <w:spacing w:after="0" w:line="167" w:lineRule="exact"/>
        <w:rPr>
          <w:sz w:val="20"/>
          <w:szCs w:val="20"/>
          <w:color w:val="auto"/>
        </w:rPr>
      </w:pPr>
    </w:p>
    <w:p>
      <w:pPr>
        <w:ind w:right="580" w:firstLine="638"/>
        <w:spacing w:after="0" w:line="277" w:lineRule="auto"/>
        <w:rPr>
          <w:sz w:val="20"/>
          <w:szCs w:val="20"/>
          <w:color w:val="auto"/>
        </w:rPr>
      </w:pPr>
      <w:r>
        <w:rPr>
          <w:rFonts w:ascii="Arial" w:cs="Arial" w:eastAsia="Arial" w:hAnsi="Arial"/>
          <w:sz w:val="18"/>
          <w:szCs w:val="18"/>
          <w:color w:val="auto"/>
        </w:rPr>
        <w:t>Previously, all of our non-employee directors (other than our chairman) received the maximum amount of compensation provided for “expert directors” under the external director compensation regulations promulgated under the Companies Law.</w:t>
      </w:r>
    </w:p>
    <w:p>
      <w:pPr>
        <w:spacing w:after="0" w:line="170" w:lineRule="exact"/>
        <w:rPr>
          <w:sz w:val="20"/>
          <w:szCs w:val="20"/>
          <w:color w:val="auto"/>
        </w:rPr>
      </w:pPr>
    </w:p>
    <w:p>
      <w:pPr>
        <w:ind w:right="60" w:firstLine="638"/>
        <w:spacing w:after="0" w:line="257" w:lineRule="auto"/>
        <w:rPr>
          <w:sz w:val="20"/>
          <w:szCs w:val="20"/>
          <w:color w:val="auto"/>
        </w:rPr>
      </w:pPr>
      <w:r>
        <w:rPr>
          <w:rFonts w:ascii="Arial" w:cs="Arial" w:eastAsia="Arial" w:hAnsi="Arial"/>
          <w:sz w:val="18"/>
          <w:szCs w:val="18"/>
          <w:color w:val="auto"/>
        </w:rPr>
        <w:t>Our Compensation Committee and Board have approved, subject to shareholder approval, to increase the annual fee payable to each of our directors (including external directors) to $35,000 per year ($41,000 in case of the chairman). In addition, our Compensation Committee and Board have approved, subject to shareholder approval, retaining the current per meeting attendance fee of $1,000 for any meeting of the Board or committee thereof that he or she attended in person and $500 for any meeting he or she attended by conference call or similar means or any action by written consent (collectively, we refer to the foregoing compensation as the Cash Compensation).</w:t>
      </w:r>
    </w:p>
    <w:p>
      <w:pPr>
        <w:spacing w:after="0" w:line="188" w:lineRule="exact"/>
        <w:rPr>
          <w:sz w:val="20"/>
          <w:szCs w:val="20"/>
          <w:color w:val="auto"/>
        </w:rPr>
      </w:pPr>
    </w:p>
    <w:p>
      <w:pPr>
        <w:ind w:right="140" w:firstLine="638"/>
        <w:spacing w:after="0" w:line="277" w:lineRule="auto"/>
        <w:rPr>
          <w:sz w:val="20"/>
          <w:szCs w:val="20"/>
          <w:color w:val="auto"/>
        </w:rPr>
      </w:pPr>
      <w:r>
        <w:rPr>
          <w:rFonts w:ascii="Arial" w:cs="Arial" w:eastAsia="Arial" w:hAnsi="Arial"/>
          <w:sz w:val="18"/>
          <w:szCs w:val="18"/>
          <w:color w:val="auto"/>
        </w:rPr>
        <w:t>The approval of the Cash Compensation for each of the directors who is nominated for election under Proposals 1-3 shall be contingent upon his or her election to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ind w:right="2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effective as of the date of the Meeting, the Cash Compensation for all of our directors who serve as directors of the Company from time to time (including the chairman but excluding officers), as described in the Proxy Statement, be, and the same hereby is, approved.”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20" w:firstLine="638"/>
        <w:spacing w:after="0" w:line="277" w:lineRule="auto"/>
        <w:rPr>
          <w:sz w:val="20"/>
          <w:szCs w:val="20"/>
          <w:color w:val="auto"/>
        </w:rPr>
      </w:pPr>
      <w:r>
        <w:rPr>
          <w:rFonts w:ascii="Arial" w:cs="Arial" w:eastAsia="Arial" w:hAnsi="Arial"/>
          <w:sz w:val="18"/>
          <w:szCs w:val="18"/>
          <w:color w:val="auto"/>
        </w:rPr>
        <w:t>The vote required for approval of the Cash Compensation is the affirmative vote of the holders of a majority of the voting power present in person or represented by proxy at the Meeting and voting on this Proposal 5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unanimously recommends a vote “FOR” the foregoing resolution approving the Cash Compensation.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PROPOSAL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ANNUAL GRANT OF OPTIONS TO PURCHASE SHARES AND RESTRICTED SHARE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UNITS FOR OUR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40" w:firstLine="638"/>
        <w:spacing w:after="0" w:line="297" w:lineRule="auto"/>
        <w:rPr>
          <w:sz w:val="20"/>
          <w:szCs w:val="20"/>
          <w:color w:val="auto"/>
        </w:rPr>
      </w:pPr>
      <w:r>
        <w:rPr>
          <w:rFonts w:ascii="Arial" w:cs="Arial" w:eastAsia="Arial" w:hAnsi="Arial"/>
          <w:sz w:val="16"/>
          <w:szCs w:val="16"/>
          <w:color w:val="auto"/>
        </w:rPr>
        <w:t>As stated in Proposal 5, under the Companies Law, the compensation of directors must comply with a company’s compensation policy and requires the approval of the company’s compensation committee, board of directors and shareholders, in that order. Our Compensation Committee and Board have reviewed, discussed and approved the annual grant to non-employee directors of share options and restricted share units under the terms of the Company’s 2015 Incentive Compensation Plan, or the 2015 Plan, as described below, and determined that these grants are consistent with the terms and conditions of our Compensation Policy, subject to shareholder approval (we refer to these proposed grants collectively as the Equity Compensation):</w:t>
      </w:r>
    </w:p>
    <w:p>
      <w:pPr>
        <w:spacing w:after="0" w:line="158" w:lineRule="exact"/>
        <w:rPr>
          <w:sz w:val="20"/>
          <w:szCs w:val="20"/>
          <w:color w:val="auto"/>
        </w:rPr>
      </w:pPr>
    </w:p>
    <w:p>
      <w:pPr>
        <w:ind w:left="980" w:right="3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grant to the non-employee directors of options to purchase 8,000 ordinary shares, and, for the chairman of the board of directors, options to purchase 10,000 ordinary shares, with the following terms: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options will be granted as of the date of the Company’s Meeting and on the date of each annual general meeting thereafter;</w:t>
      </w:r>
    </w:p>
    <w:p>
      <w:pPr>
        <w:spacing w:after="0" w:line="34" w:lineRule="exact"/>
        <w:rPr>
          <w:rFonts w:ascii="Arial" w:cs="Arial" w:eastAsia="Arial" w:hAnsi="Arial"/>
          <w:sz w:val="17"/>
          <w:szCs w:val="17"/>
          <w:color w:val="auto"/>
        </w:rPr>
      </w:pPr>
    </w:p>
    <w:p>
      <w:pPr>
        <w:ind w:left="1300" w:right="1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options will become vested and exercisable beginning on the first anniversary of the grant, provided the director continues to serve as a director of our Company at such anniversary;</w:t>
      </w:r>
    </w:p>
    <w:p>
      <w:pPr>
        <w:ind w:left="1300" w:right="1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options will have an exercise price equal to the closing sales price per share of our ordinary shares on the Nasdaq Global Select Market on the date of grant;</w:t>
      </w:r>
    </w:p>
    <w:p>
      <w:pPr>
        <w:ind w:left="1300" w:hanging="320"/>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options will have a term expiring ten years from the date of grant, unless earlier terminated in accordance with the 2015 Plan;</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options will be exercisable for one year following termination of service as a director of the Company;</w:t>
      </w:r>
    </w:p>
    <w:p>
      <w:pPr>
        <w:spacing w:after="0" w:line="9" w:lineRule="exact"/>
        <w:rPr>
          <w:rFonts w:ascii="Arial" w:cs="Arial" w:eastAsia="Arial" w:hAnsi="Arial"/>
          <w:sz w:val="18"/>
          <w:szCs w:val="18"/>
          <w:color w:val="auto"/>
        </w:rPr>
      </w:pPr>
    </w:p>
    <w:p>
      <w:pPr>
        <w:ind w:left="1300" w:right="12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options shall, to the extent then unvested, shall become fully vested and exercisable (a) immediately prior to the consummation of a Change of Control, as defined in the 2015 Plan, in which the director is required to resign from or is otherwise terminated from the service as a director or (b) upon termination of service of such director occurring after the consummation of a Change of Control; and</w:t>
      </w:r>
    </w:p>
    <w:p>
      <w:pPr>
        <w:spacing w:after="0" w:line="2" w:lineRule="exact"/>
        <w:rPr>
          <w:rFonts w:ascii="Arial" w:cs="Arial" w:eastAsia="Arial" w:hAnsi="Arial"/>
          <w:sz w:val="16"/>
          <w:szCs w:val="16"/>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options will otherwise be subject to the terms of the 2015 Plan.</w:t>
      </w:r>
    </w:p>
    <w:p>
      <w:pPr>
        <w:spacing w:after="0" w:line="23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annual grant of 4,000 restricted share units and, for the chairman of the board of directors, 5,000 restricted share units with the following terms: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restricted share units will be granted as of the date of the Company’s Meeting and on the date of each annual general meeting thereafter;</w:t>
      </w:r>
    </w:p>
    <w:p>
      <w:pPr>
        <w:spacing w:after="0" w:line="46" w:lineRule="exact"/>
        <w:rPr>
          <w:rFonts w:ascii="Arial" w:cs="Arial" w:eastAsia="Arial" w:hAnsi="Arial"/>
          <w:sz w:val="16"/>
          <w:szCs w:val="16"/>
          <w:color w:val="auto"/>
        </w:rPr>
      </w:pPr>
    </w:p>
    <w:p>
      <w:pPr>
        <w:ind w:left="130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restricted share units will vest on the first anniversary of the grant, provided the director continues to serve as a director of our Company at such anniversary;</w:t>
      </w:r>
    </w:p>
    <w:p>
      <w:pPr>
        <w:ind w:left="1300" w:right="60" w:hanging="320"/>
        <w:spacing w:after="0" w:line="25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restricted share units, to the extent then unvested, shall become fully vested (a) immediately prior to the consummation of a Change of Control, in which the director is required to resign from or is otherwise terminated from the service as a director, or (b) upon termination of service of such director occurring after the consummation of a Change of Control;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restricted share units will otherwise be subject to the terms of the 2015 Plan.</w:t>
      </w:r>
    </w:p>
    <w:p>
      <w:pPr>
        <w:spacing w:after="0" w:line="211" w:lineRule="exact"/>
        <w:rPr>
          <w:sz w:val="20"/>
          <w:szCs w:val="20"/>
          <w:color w:val="auto"/>
        </w:rPr>
      </w:pPr>
    </w:p>
    <w:p>
      <w:pPr>
        <w:ind w:right="220" w:firstLine="638"/>
        <w:spacing w:after="0" w:line="277" w:lineRule="auto"/>
        <w:rPr>
          <w:sz w:val="20"/>
          <w:szCs w:val="20"/>
          <w:color w:val="auto"/>
        </w:rPr>
      </w:pPr>
      <w:r>
        <w:rPr>
          <w:rFonts w:ascii="Arial" w:cs="Arial" w:eastAsia="Arial" w:hAnsi="Arial"/>
          <w:sz w:val="18"/>
          <w:szCs w:val="18"/>
          <w:color w:val="auto"/>
        </w:rPr>
        <w:t>The approval of the Equity Compensation for each the directors who is nominated for election under Proposals 1-3 shall be contingent upon his or her election or re-election to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annual grant of Equity Compensation to each of the non-employee directors of the Company upon the terms described in Proposal 6 of the proxy statement relating to the Meeting, be, and the same hereby is, approved.”</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100" w:firstLine="638"/>
        <w:spacing w:after="0" w:line="277" w:lineRule="auto"/>
        <w:rPr>
          <w:sz w:val="20"/>
          <w:szCs w:val="20"/>
          <w:color w:val="auto"/>
        </w:rPr>
      </w:pPr>
      <w:r>
        <w:rPr>
          <w:rFonts w:ascii="Arial" w:cs="Arial" w:eastAsia="Arial" w:hAnsi="Arial"/>
          <w:sz w:val="18"/>
          <w:szCs w:val="18"/>
          <w:color w:val="auto"/>
        </w:rPr>
        <w:t>The vote required for approval of the Equity Compensation is the affirmative vote of the holders of a majority of the voting power present in person or represented by proxy at the Meeting and voting on this Proposal 6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unanimously recommends a vote “FOR” the foregoing resolution approving the Equity Compensation.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0"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the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Company’s annual report on Form 20-F, filed with the SEC on March 20, 2018, is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under the Investor Relations section of the Company’s website at </w:t>
      </w:r>
      <w:r>
        <w:rPr>
          <w:rFonts w:ascii="Arial" w:cs="Arial" w:eastAsia="Arial" w:hAnsi="Arial"/>
          <w:sz w:val="18"/>
          <w:szCs w:val="18"/>
          <w:u w:val="single" w:color="auto"/>
          <w:color w:val="auto"/>
        </w:rPr>
        <w:t>http://ir.kornit.com</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2018</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3" w:name="page24"/>
    <w:bookmarkEnd w:id="23"/>
    <w:p>
      <w:pPr>
        <w:ind w:left="10440"/>
        <w:spacing w:after="0"/>
        <w:rPr>
          <w:sz w:val="20"/>
          <w:szCs w:val="20"/>
          <w:color w:val="auto"/>
        </w:rPr>
      </w:pPr>
      <w:r>
        <w:rPr>
          <w:rFonts w:ascii="Arial" w:cs="Arial" w:eastAsia="Arial" w:hAnsi="Arial"/>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2018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14,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of record in the name of the undersigned at the close of business on Monday, May 14, 2018, at the 2018 Annual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to be held at the executive offices of the Company, 12 Ha’Amal Street, Park Afek, Rosh Ha’Ayin, Israel, on Thursday June 14, 2018 at 12:00 p.m. (Israel time), and at any and all adjournments or postponements thereof, on the matters listed on the reverse side, which are more fully described in the Notice of 2018 Annual General Meeting of Shareholders of the Company and Proxy Statement relating to the Meeting.</w:t>
      </w:r>
    </w:p>
    <w:p>
      <w:pPr>
        <w:spacing w:after="0" w:line="165" w:lineRule="exact"/>
        <w:rPr>
          <w:sz w:val="20"/>
          <w:szCs w:val="20"/>
          <w:color w:val="auto"/>
        </w:rPr>
      </w:pPr>
    </w:p>
    <w:p>
      <w:pPr>
        <w:jc w:val="both"/>
        <w:ind w:right="20" w:firstLine="383"/>
        <w:spacing w:after="0" w:line="277" w:lineRule="auto"/>
        <w:rPr>
          <w:sz w:val="20"/>
          <w:szCs w:val="20"/>
          <w:color w:val="auto"/>
        </w:rPr>
      </w:pPr>
      <w:r>
        <w:rPr>
          <w:rFonts w:ascii="Arial" w:cs="Arial" w:eastAsia="Arial" w:hAnsi="Arial"/>
          <w:sz w:val="18"/>
          <w:szCs w:val="18"/>
          <w:color w:val="auto"/>
        </w:rPr>
        <w:t>The undersigned acknowledges receipt of the Notice of 2018 Annual General Meeting of Shareholders and Proxy Statement of the Company (the “</w:t>
      </w:r>
      <w:r>
        <w:rPr>
          <w:rFonts w:ascii="Arial" w:cs="Arial" w:eastAsia="Arial" w:hAnsi="Arial"/>
          <w:sz w:val="18"/>
          <w:szCs w:val="18"/>
          <w:b w:val="1"/>
          <w:bCs w:val="1"/>
          <w:color w:val="auto"/>
        </w:rPr>
        <w:t>Proxy Statement</w:t>
      </w:r>
      <w:r>
        <w:rPr>
          <w:rFonts w:ascii="Arial" w:cs="Arial" w:eastAsia="Arial" w:hAnsi="Arial"/>
          <w:sz w:val="18"/>
          <w:szCs w:val="18"/>
          <w:color w:val="auto"/>
        </w:rPr>
        <w:t>”) relating to the Meeting.</w:t>
      </w:r>
    </w:p>
    <w:p>
      <w:pPr>
        <w:spacing w:after="0" w:line="170" w:lineRule="exact"/>
        <w:rPr>
          <w:sz w:val="20"/>
          <w:szCs w:val="20"/>
          <w:color w:val="auto"/>
        </w:rPr>
      </w:pPr>
    </w:p>
    <w:p>
      <w:pPr>
        <w:jc w:val="both"/>
        <w:ind w:firstLine="383"/>
        <w:spacing w:after="0" w:line="279"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made with respect to any proposal (other than Proposals 2 and 3),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2 or Proposal 3, the undersigned will be deemed to have not participated in the voting on such proposal.</w:t>
      </w:r>
    </w:p>
    <w:p>
      <w:pPr>
        <w:spacing w:after="0" w:line="167" w:lineRule="exact"/>
        <w:rPr>
          <w:sz w:val="20"/>
          <w:szCs w:val="20"/>
          <w:color w:val="auto"/>
        </w:rPr>
      </w:pPr>
    </w:p>
    <w:p>
      <w:pPr>
        <w:jc w:val="both"/>
        <w:ind w:firstLine="383"/>
        <w:spacing w:after="0" w:line="303" w:lineRule="auto"/>
        <w:rPr>
          <w:sz w:val="20"/>
          <w:szCs w:val="20"/>
          <w:color w:val="auto"/>
        </w:rPr>
      </w:pPr>
      <w:r>
        <w:rPr>
          <w:rFonts w:ascii="Arial" w:cs="Arial" w:eastAsia="Arial" w:hAnsi="Arial"/>
          <w:sz w:val="16"/>
          <w:szCs w:val="16"/>
          <w:b w:val="1"/>
          <w:bCs w:val="1"/>
          <w:color w:val="auto"/>
        </w:rPr>
        <w:t>IMPORTANT NOTE: The vote under this proxy will not be counted towards or against the majority required for the approval of Proposal 2 or Proposal 3 unless the undersigned indicates that (i) he, she or it is NOT a controlling shareholder and DOES NOT have a conflict of interest in the approval of Proposal 2 or Proposal 3 by checking the box “FOR” Items 2A and 3A on the reverse side, or (ii) he, she or it is a controlling shareholder or has a conflict of interest in the approval of Proposal 2 or Proposal 3 by checking the box “AGAINST” Items 2A and 3A on the reverse side.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2018 ANNUAL GENERAL MEETING OF SHAREHOLDERS OF</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14, 2018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date, sign and mail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proxy card in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envelope provided as soon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possible.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detach along perforated line and mail in envelope.↓</w:t>
      </w:r>
    </w:p>
    <w:p>
      <w:pPr>
        <w:spacing w:after="0" w:line="1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OF DIRECTORS RECOMMENDS A VOTE “FOR” EACH PROPOSAL LISTED BELOW.</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SIGN, DATE AND RETURN PROMPTLY IN THE ENCLOSED ENVELOPE. PLEASE MARK YOUR VOTE IN BLUE OR BLACK INK AS</w:t>
      </w:r>
    </w:p>
    <w:p>
      <w:pPr>
        <w:spacing w:after="0" w:line="7"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 xml:space="preserve">SHOWN HERE </w:t>
      </w:r>
      <w:r>
        <w:rPr>
          <w:rFonts w:ascii="MS PGothic" w:cs="MS PGothic" w:eastAsia="MS PGothic" w:hAnsi="MS PGothic"/>
          <w:sz w:val="17"/>
          <w:szCs w:val="17"/>
          <w:color w:val="auto"/>
          <w:highlight w:val="black"/>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right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color w:val="auto"/>
                <w:w w:val="89"/>
              </w:rPr>
              <w:t>FOR</w:t>
            </w:r>
          </w:p>
        </w:tc>
        <w:tc>
          <w:tcPr>
            <w:tcW w:w="940" w:type="dxa"/>
            <w:vAlign w:val="bottom"/>
            <w:tcBorders>
              <w:top w:val="single" w:sz="8" w:color="auto"/>
            </w:tcBorders>
            <w:gridSpan w:val="2"/>
          </w:tcPr>
          <w:p>
            <w:pPr>
              <w:ind w:left="140"/>
              <w:spacing w:after="0" w:line="163" w:lineRule="exact"/>
              <w:rPr>
                <w:sz w:val="20"/>
                <w:szCs w:val="20"/>
                <w:color w:val="auto"/>
              </w:rPr>
            </w:pPr>
            <w:r>
              <w:rPr>
                <w:rFonts w:ascii="Arial" w:cs="Arial" w:eastAsia="Arial" w:hAnsi="Arial"/>
                <w:sz w:val="17"/>
                <w:szCs w:val="17"/>
                <w:color w:val="auto"/>
              </w:rPr>
              <w:t>AGAINST</w:t>
            </w:r>
          </w:p>
        </w:tc>
        <w:tc>
          <w:tcPr>
            <w:tcW w:w="820" w:type="dxa"/>
            <w:vAlign w:val="bottom"/>
            <w:tcBorders>
              <w:top w:val="single" w:sz="8" w:color="auto"/>
            </w:tcBorders>
          </w:tcPr>
          <w:p>
            <w:pPr>
              <w:jc w:val="center"/>
              <w:spacing w:after="0" w:line="163" w:lineRule="exact"/>
              <w:rPr>
                <w:sz w:val="20"/>
                <w:szCs w:val="20"/>
                <w:color w:val="auto"/>
              </w:rPr>
            </w:pPr>
            <w:r>
              <w:rPr>
                <w:rFonts w:ascii="Arial" w:cs="Arial" w:eastAsia="Arial" w:hAnsi="Arial"/>
                <w:sz w:val="17"/>
                <w:szCs w:val="17"/>
                <w:color w:val="auto"/>
                <w:w w:val="98"/>
              </w:rPr>
              <w:t>ABSTAIN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40" w:type="dxa"/>
            <w:vAlign w:val="bottom"/>
            <w:tcBorders>
              <w:bottom w:val="single" w:sz="8" w:color="auto"/>
            </w:tcBorders>
            <w:gridSpan w:val="6"/>
          </w:tcPr>
          <w:p>
            <w:pPr>
              <w:spacing w:after="0" w:line="176" w:lineRule="exact"/>
              <w:rPr>
                <w:sz w:val="20"/>
                <w:szCs w:val="20"/>
                <w:color w:val="auto"/>
              </w:rPr>
            </w:pPr>
            <w:r>
              <w:rPr>
                <w:rFonts w:ascii="Arial" w:cs="Arial" w:eastAsia="Arial" w:hAnsi="Arial"/>
                <w:sz w:val="17"/>
                <w:szCs w:val="17"/>
                <w:color w:val="auto"/>
                <w:w w:val="90"/>
              </w:rPr>
              <w:t>Important Instructions for Items 2A and 3A relating to</w:t>
            </w:r>
          </w:p>
        </w:tc>
        <w:tc>
          <w:tcPr>
            <w:tcW w:w="180" w:type="dxa"/>
            <w:vAlign w:val="bottom"/>
            <w:tcBorders>
              <w:right w:val="single" w:sz="8" w:color="auto"/>
            </w:tcBorders>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1.</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3"/>
              </w:rPr>
              <w:t>(a) To re-elect Mr. Yuval Cohen for a three-year term as a Class III</w:t>
            </w:r>
          </w:p>
        </w:tc>
        <w:tc>
          <w:tcPr>
            <w:tcW w:w="5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4"/>
          </w:tcPr>
          <w:p>
            <w:pPr>
              <w:spacing w:after="0" w:line="183" w:lineRule="exact"/>
              <w:rPr>
                <w:sz w:val="20"/>
                <w:szCs w:val="20"/>
                <w:color w:val="auto"/>
              </w:rPr>
            </w:pPr>
            <w:r>
              <w:rPr>
                <w:rFonts w:ascii="Arial" w:cs="Arial" w:eastAsia="Arial" w:hAnsi="Arial"/>
                <w:sz w:val="17"/>
                <w:szCs w:val="17"/>
                <w:color w:val="auto"/>
              </w:rPr>
              <w:t>Proposals 2 and 3, respectively:</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0" w:type="dxa"/>
            <w:vAlign w:val="bottom"/>
            <w:gridSpan w:val="5"/>
          </w:tcPr>
          <w:p>
            <w:pPr>
              <w:ind w:left="120"/>
              <w:spacing w:after="0" w:line="183" w:lineRule="exact"/>
              <w:rPr>
                <w:sz w:val="20"/>
                <w:szCs w:val="20"/>
                <w:color w:val="auto"/>
              </w:rPr>
            </w:pPr>
            <w:r>
              <w:rPr>
                <w:rFonts w:ascii="Arial" w:cs="Arial" w:eastAsia="Arial" w:hAnsi="Arial"/>
                <w:sz w:val="17"/>
                <w:szCs w:val="17"/>
                <w:color w:val="auto"/>
              </w:rPr>
              <w:t>director of the Company, until the Company’s annual general</w:t>
            </w: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0" w:type="dxa"/>
            <w:vAlign w:val="bottom"/>
            <w:gridSpan w:val="5"/>
            <w:vMerge w:val="restart"/>
          </w:tcPr>
          <w:p>
            <w:pPr>
              <w:ind w:left="120"/>
              <w:spacing w:after="0"/>
              <w:rPr>
                <w:sz w:val="20"/>
                <w:szCs w:val="20"/>
                <w:color w:val="auto"/>
              </w:rPr>
            </w:pPr>
            <w:r>
              <w:rPr>
                <w:rFonts w:ascii="Arial" w:cs="Arial" w:eastAsia="Arial" w:hAnsi="Arial"/>
                <w:sz w:val="17"/>
                <w:szCs w:val="17"/>
                <w:color w:val="auto"/>
                <w:w w:val="98"/>
              </w:rPr>
              <w:t>meeting of shareholders in 2021 and until his successor is duly</w:t>
            </w: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20" w:type="dxa"/>
            <w:vAlign w:val="bottom"/>
            <w:tcBorders>
              <w:right w:val="single" w:sz="8" w:color="auto"/>
            </w:tcBorders>
            <w:gridSpan w:val="7"/>
            <w:vMerge w:val="restart"/>
          </w:tcPr>
          <w:p>
            <w:pPr>
              <w:jc w:val="right"/>
              <w:ind w:right="100"/>
              <w:spacing w:after="0"/>
              <w:rPr>
                <w:sz w:val="20"/>
                <w:szCs w:val="20"/>
                <w:color w:val="auto"/>
              </w:rPr>
            </w:pPr>
            <w:r>
              <w:rPr>
                <w:rFonts w:ascii="Arial" w:cs="Arial" w:eastAsia="Arial" w:hAnsi="Arial"/>
                <w:sz w:val="17"/>
                <w:szCs w:val="17"/>
                <w:b w:val="1"/>
                <w:bCs w:val="1"/>
                <w:color w:val="auto"/>
                <w:w w:val="90"/>
              </w:rPr>
              <w:t>Under the Companies Law, you cannot be counted</w:t>
            </w:r>
          </w:p>
        </w:tc>
        <w:tc>
          <w:tcPr>
            <w:tcW w:w="420" w:type="dxa"/>
            <w:vAlign w:val="bottom"/>
          </w:tcPr>
          <w:p>
            <w:pPr>
              <w:spacing w:after="0"/>
              <w:rPr>
                <w:sz w:val="18"/>
                <w:szCs w:val="18"/>
                <w:color w:val="auto"/>
              </w:rPr>
            </w:pPr>
          </w:p>
        </w:tc>
        <w:tc>
          <w:tcPr>
            <w:tcW w:w="4800" w:type="dxa"/>
            <w:vAlign w:val="bottom"/>
            <w:gridSpan w:val="5"/>
            <w:vMerge w:val="continue"/>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vMerge w:val="continue"/>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elected and qualified.</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w w:val="96"/>
              </w:rPr>
              <w:t>towards or against the majority required for the</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(b) To re-elect Mr. Eli Blatt for a three-year term as a Class III</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w w:val="94"/>
              </w:rPr>
              <w:t>approval of Proposal 2 or Proposal 3 unless you</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director of the Company, until the Company’s annual general</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4"/>
          </w:tcPr>
          <w:p>
            <w:pPr>
              <w:jc w:val="right"/>
              <w:ind w:right="60"/>
              <w:spacing w:after="0"/>
              <w:rPr>
                <w:sz w:val="20"/>
                <w:szCs w:val="20"/>
                <w:color w:val="auto"/>
              </w:rPr>
            </w:pPr>
            <w:r>
              <w:rPr>
                <w:rFonts w:ascii="Arial" w:cs="Arial" w:eastAsia="Arial" w:hAnsi="Arial"/>
                <w:sz w:val="17"/>
                <w:szCs w:val="17"/>
                <w:b w:val="1"/>
                <w:bCs w:val="1"/>
                <w:color w:val="auto"/>
                <w:w w:val="88"/>
              </w:rPr>
              <w:t>complete Items 2A and 3A, respectively.</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8"/>
              </w:rPr>
              <w:t>meeting of shareholders in 2021 and until his successor is duly</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ACCORDINGLY,  PLEASE  BE  CERTAIN  TO</w:t>
            </w:r>
          </w:p>
        </w:tc>
        <w:tc>
          <w:tcPr>
            <w:tcW w:w="420" w:type="dxa"/>
            <w:vAlign w:val="bottom"/>
          </w:tcPr>
          <w:p>
            <w:pPr>
              <w:spacing w:after="0"/>
              <w:rPr>
                <w:sz w:val="18"/>
                <w:szCs w:val="18"/>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elected and qualified.</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CHECK THE BOXES MARKED "FOR" WITH</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2"/>
              </w:rPr>
              <w:t>(c) To re-elect Mr. Marc Lesnick for a three-year term as a Class III</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RESPECT  TO  ITEM  2A  AND  ITEM  3A</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director of the Company, until the Company’s annual general</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w w:val="99"/>
              </w:rPr>
              <w:t>OPPOSITE TO CONFIRM THAT YOU ARE NOT</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8"/>
              </w:rPr>
              <w:t>meeting of shareholders in 2021 and until his successor is duly</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A CONTROLLING SHAREHOLDER AND DO</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elected and qualified.</w:t>
            </w:r>
          </w:p>
        </w:tc>
        <w:tc>
          <w:tcPr>
            <w:tcW w:w="5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gridSpan w:val="2"/>
            <w:vMerge w:val="restart"/>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NOT HAVE A CONFLICT OF INTEREST IN</w:t>
            </w:r>
          </w:p>
        </w:tc>
        <w:tc>
          <w:tcPr>
            <w:tcW w:w="420" w:type="dxa"/>
            <w:vAlign w:val="bottom"/>
          </w:tcPr>
          <w:p>
            <w:pPr>
              <w:ind w:left="60"/>
              <w:spacing w:after="0"/>
              <w:rPr>
                <w:sz w:val="20"/>
                <w:szCs w:val="20"/>
                <w:color w:val="auto"/>
              </w:rPr>
            </w:pPr>
            <w:r>
              <w:rPr>
                <w:rFonts w:ascii="Arial" w:cs="Arial" w:eastAsia="Arial" w:hAnsi="Arial"/>
                <w:sz w:val="17"/>
                <w:szCs w:val="17"/>
                <w:color w:val="auto"/>
              </w:rPr>
              <w:t>2.</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To re-elect Ms. Lauri Hanover as an external director of the</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rPr>
              <w:t>THE  APPROVAL  OF  PROPOSAL  2  OR</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5"/>
              </w:rPr>
              <w:t>Company, subject to and in accordance with the provisions of the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20" w:type="dxa"/>
            <w:vAlign w:val="bottom"/>
            <w:tcBorders>
              <w:right w:val="single" w:sz="8" w:color="auto"/>
            </w:tcBorders>
            <w:gridSpan w:val="7"/>
          </w:tcPr>
          <w:p>
            <w:pPr>
              <w:jc w:val="right"/>
              <w:ind w:right="100"/>
              <w:spacing w:after="0"/>
              <w:rPr>
                <w:sz w:val="20"/>
                <w:szCs w:val="20"/>
                <w:color w:val="auto"/>
              </w:rPr>
            </w:pPr>
            <w:r>
              <w:rPr>
                <w:rFonts w:ascii="Arial" w:cs="Arial" w:eastAsia="Arial" w:hAnsi="Arial"/>
                <w:sz w:val="17"/>
                <w:szCs w:val="17"/>
                <w:b w:val="1"/>
                <w:bCs w:val="1"/>
                <w:color w:val="auto"/>
                <w:w w:val="94"/>
              </w:rPr>
              <w:t xml:space="preserve">PROPOSAL 3, RESPECTIVELY. </w:t>
            </w:r>
            <w:r>
              <w:rPr>
                <w:rFonts w:ascii="Arial" w:cs="Arial" w:eastAsia="Arial" w:hAnsi="Arial"/>
                <w:sz w:val="17"/>
                <w:szCs w:val="17"/>
                <w:color w:val="auto"/>
                <w:w w:val="94"/>
              </w:rPr>
              <w:t>If you believe that</w:t>
            </w: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Israeli Companies Law, 5759-1999, or the Companies Law.</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7"/>
                <w:szCs w:val="17"/>
                <w:color w:val="auto"/>
                <w:w w:val="99"/>
              </w:rPr>
              <w:t>you,</w:t>
            </w:r>
          </w:p>
        </w:tc>
        <w:tc>
          <w:tcPr>
            <w:tcW w:w="2600" w:type="dxa"/>
            <w:vAlign w:val="bottom"/>
            <w:gridSpan w:val="3"/>
          </w:tcPr>
          <w:p>
            <w:pPr>
              <w:jc w:val="right"/>
              <w:ind w:right="60"/>
              <w:spacing w:after="0"/>
              <w:rPr>
                <w:sz w:val="20"/>
                <w:szCs w:val="20"/>
                <w:color w:val="auto"/>
              </w:rPr>
            </w:pPr>
            <w:r>
              <w:rPr>
                <w:rFonts w:ascii="Arial" w:cs="Arial" w:eastAsia="Arial" w:hAnsi="Arial"/>
                <w:sz w:val="17"/>
                <w:szCs w:val="17"/>
                <w:color w:val="auto"/>
              </w:rPr>
              <w:t>or a related party of yours, is a</w:t>
            </w:r>
          </w:p>
        </w:tc>
        <w:tc>
          <w:tcPr>
            <w:tcW w:w="88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7"/>
                <w:szCs w:val="17"/>
                <w:color w:val="auto"/>
                <w:w w:val="98"/>
              </w:rPr>
              <w:t>controlling</w:t>
            </w:r>
          </w:p>
        </w:tc>
        <w:tc>
          <w:tcPr>
            <w:tcW w:w="420" w:type="dxa"/>
            <w:vAlign w:val="bottom"/>
          </w:tcPr>
          <w:p>
            <w:pPr>
              <w:ind w:left="60"/>
              <w:spacing w:after="0"/>
              <w:rPr>
                <w:sz w:val="20"/>
                <w:szCs w:val="20"/>
                <w:color w:val="auto"/>
              </w:rPr>
            </w:pPr>
            <w:r>
              <w:rPr>
                <w:rFonts w:ascii="Arial" w:cs="Arial" w:eastAsia="Arial" w:hAnsi="Arial"/>
                <w:sz w:val="17"/>
                <w:szCs w:val="17"/>
                <w:color w:val="auto"/>
              </w:rPr>
              <w:t>2A.</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By checking the box marked "FOR", the undersigned hereby</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20" w:type="dxa"/>
            <w:vAlign w:val="bottom"/>
            <w:tcBorders>
              <w:right w:val="single" w:sz="8" w:color="auto"/>
            </w:tcBorders>
            <w:gridSpan w:val="7"/>
            <w:vMerge w:val="restart"/>
          </w:tcPr>
          <w:p>
            <w:pPr>
              <w:jc w:val="right"/>
              <w:ind w:right="100"/>
              <w:spacing w:after="0"/>
              <w:rPr>
                <w:sz w:val="20"/>
                <w:szCs w:val="20"/>
                <w:color w:val="auto"/>
              </w:rPr>
            </w:pPr>
            <w:r>
              <w:rPr>
                <w:rFonts w:ascii="Arial" w:cs="Arial" w:eastAsia="Arial" w:hAnsi="Arial"/>
                <w:sz w:val="17"/>
                <w:szCs w:val="17"/>
                <w:color w:val="auto"/>
                <w:w w:val="92"/>
              </w:rPr>
              <w:t>shareholder or has such a conflict of interest and you</w:t>
            </w:r>
          </w:p>
        </w:tc>
        <w:tc>
          <w:tcPr>
            <w:tcW w:w="420" w:type="dxa"/>
            <w:vAlign w:val="bottom"/>
          </w:tcPr>
          <w:p>
            <w:pPr>
              <w:spacing w:after="0"/>
              <w:rPr>
                <w:sz w:val="16"/>
                <w:szCs w:val="16"/>
                <w:color w:val="auto"/>
              </w:rPr>
            </w:pPr>
          </w:p>
        </w:tc>
        <w:tc>
          <w:tcPr>
            <w:tcW w:w="4800" w:type="dxa"/>
            <w:vAlign w:val="bottom"/>
            <w:gridSpan w:val="5"/>
          </w:tcPr>
          <w:p>
            <w:pPr>
              <w:ind w:left="120"/>
              <w:spacing w:after="0" w:line="188" w:lineRule="exact"/>
              <w:rPr>
                <w:sz w:val="20"/>
                <w:szCs w:val="20"/>
                <w:color w:val="auto"/>
              </w:rPr>
            </w:pPr>
            <w:r>
              <w:rPr>
                <w:rFonts w:ascii="Arial" w:cs="Arial" w:eastAsia="Arial" w:hAnsi="Arial"/>
                <w:sz w:val="17"/>
                <w:szCs w:val="17"/>
                <w:color w:val="auto"/>
                <w:w w:val="94"/>
              </w:rPr>
              <w:t>confirms that he, she or it is not a “controlling shareholder” (under</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20" w:type="dxa"/>
            <w:vAlign w:val="bottom"/>
            <w:tcBorders>
              <w:right w:val="single" w:sz="8" w:color="auto"/>
            </w:tcBorders>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4800" w:type="dxa"/>
            <w:vAlign w:val="bottom"/>
            <w:gridSpan w:val="5"/>
            <w:vMerge w:val="restart"/>
          </w:tcPr>
          <w:p>
            <w:pPr>
              <w:ind w:left="120"/>
              <w:spacing w:after="0"/>
              <w:rPr>
                <w:sz w:val="20"/>
                <w:szCs w:val="20"/>
                <w:color w:val="auto"/>
              </w:rPr>
            </w:pPr>
            <w:r>
              <w:rPr>
                <w:rFonts w:ascii="Arial" w:cs="Arial" w:eastAsia="Arial" w:hAnsi="Arial"/>
                <w:sz w:val="17"/>
                <w:szCs w:val="17"/>
                <w:color w:val="auto"/>
                <w:w w:val="90"/>
              </w:rPr>
              <w:t>the Companies Law, as described in the Proxy Statement) and does</w:t>
            </w: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tcBorders>
              <w:right w:val="single" w:sz="8" w:color="auto"/>
            </w:tcBorders>
            <w:gridSpan w:val="7"/>
            <w:vMerge w:val="restart"/>
          </w:tcPr>
          <w:p>
            <w:pPr>
              <w:jc w:val="right"/>
              <w:ind w:right="100"/>
              <w:spacing w:after="0"/>
              <w:rPr>
                <w:sz w:val="20"/>
                <w:szCs w:val="20"/>
                <w:color w:val="auto"/>
              </w:rPr>
            </w:pPr>
            <w:r>
              <w:rPr>
                <w:rFonts w:ascii="Arial" w:cs="Arial" w:eastAsia="Arial" w:hAnsi="Arial"/>
                <w:sz w:val="17"/>
                <w:szCs w:val="17"/>
                <w:color w:val="auto"/>
                <w:w w:val="92"/>
              </w:rPr>
              <w:t>wish to participate in the vote on Proposal 2 or 3, you</w:t>
            </w:r>
          </w:p>
        </w:tc>
        <w:tc>
          <w:tcPr>
            <w:tcW w:w="420" w:type="dxa"/>
            <w:vAlign w:val="bottom"/>
          </w:tcPr>
          <w:p>
            <w:pPr>
              <w:spacing w:after="0"/>
              <w:rPr>
                <w:sz w:val="12"/>
                <w:szCs w:val="12"/>
                <w:color w:val="auto"/>
              </w:rPr>
            </w:pPr>
          </w:p>
        </w:tc>
        <w:tc>
          <w:tcPr>
            <w:tcW w:w="480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20" w:type="dxa"/>
            <w:vAlign w:val="bottom"/>
            <w:tcBorders>
              <w:right w:val="single" w:sz="8" w:color="auto"/>
            </w:tcBorders>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4800" w:type="dxa"/>
            <w:vAlign w:val="bottom"/>
            <w:gridSpan w:val="5"/>
            <w:vMerge w:val="restart"/>
          </w:tcPr>
          <w:p>
            <w:pPr>
              <w:ind w:left="120"/>
              <w:spacing w:after="0"/>
              <w:rPr>
                <w:sz w:val="20"/>
                <w:szCs w:val="20"/>
                <w:color w:val="auto"/>
              </w:rPr>
            </w:pPr>
            <w:r>
              <w:rPr>
                <w:rFonts w:ascii="Arial" w:cs="Arial" w:eastAsia="Arial" w:hAnsi="Arial"/>
                <w:sz w:val="17"/>
                <w:szCs w:val="17"/>
                <w:color w:val="auto"/>
                <w:w w:val="96"/>
              </w:rPr>
              <w:t>not have a conflict of interest (referred to as a “personal interest”</w:t>
            </w: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tcBorders>
              <w:right w:val="single" w:sz="8" w:color="auto"/>
            </w:tcBorders>
            <w:gridSpan w:val="7"/>
            <w:vMerge w:val="restart"/>
          </w:tcPr>
          <w:p>
            <w:pPr>
              <w:jc w:val="right"/>
              <w:ind w:right="100"/>
              <w:spacing w:after="0"/>
              <w:rPr>
                <w:sz w:val="20"/>
                <w:szCs w:val="20"/>
                <w:color w:val="auto"/>
              </w:rPr>
            </w:pPr>
            <w:r>
              <w:rPr>
                <w:rFonts w:ascii="Arial" w:cs="Arial" w:eastAsia="Arial" w:hAnsi="Arial"/>
                <w:sz w:val="17"/>
                <w:szCs w:val="17"/>
                <w:color w:val="auto"/>
                <w:w w:val="93"/>
              </w:rPr>
              <w:t>should check the box “AGAINST” on Item 2A or Item</w:t>
            </w:r>
          </w:p>
        </w:tc>
        <w:tc>
          <w:tcPr>
            <w:tcW w:w="420" w:type="dxa"/>
            <w:vAlign w:val="bottom"/>
          </w:tcPr>
          <w:p>
            <w:pPr>
              <w:spacing w:after="0"/>
              <w:rPr>
                <w:sz w:val="12"/>
                <w:szCs w:val="12"/>
                <w:color w:val="auto"/>
              </w:rPr>
            </w:pPr>
          </w:p>
        </w:tc>
        <w:tc>
          <w:tcPr>
            <w:tcW w:w="480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20" w:type="dxa"/>
            <w:vAlign w:val="bottom"/>
            <w:tcBorders>
              <w:right w:val="single" w:sz="8" w:color="auto"/>
            </w:tcBorders>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4800" w:type="dxa"/>
            <w:vAlign w:val="bottom"/>
            <w:gridSpan w:val="5"/>
            <w:vMerge w:val="restart"/>
          </w:tcPr>
          <w:p>
            <w:pPr>
              <w:ind w:left="120"/>
              <w:spacing w:after="0"/>
              <w:rPr>
                <w:sz w:val="20"/>
                <w:szCs w:val="20"/>
                <w:color w:val="auto"/>
              </w:rPr>
            </w:pPr>
            <w:r>
              <w:rPr>
                <w:rFonts w:ascii="Arial" w:cs="Arial" w:eastAsia="Arial" w:hAnsi="Arial"/>
                <w:sz w:val="17"/>
                <w:szCs w:val="17"/>
                <w:color w:val="auto"/>
                <w:w w:val="92"/>
              </w:rPr>
              <w:t>under the Companies Law, as described in the Proxy Statement) in</w:t>
            </w: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7"/>
                <w:szCs w:val="17"/>
                <w:color w:val="auto"/>
              </w:rPr>
              <w:t>3A.</w:t>
            </w: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80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800" w:type="dxa"/>
            <w:vAlign w:val="bottom"/>
            <w:gridSpan w:val="5"/>
            <w:vMerge w:val="restart"/>
          </w:tcPr>
          <w:p>
            <w:pPr>
              <w:ind w:left="120"/>
              <w:spacing w:after="0"/>
              <w:rPr>
                <w:sz w:val="20"/>
                <w:szCs w:val="20"/>
                <w:color w:val="auto"/>
              </w:rPr>
            </w:pPr>
            <w:r>
              <w:rPr>
                <w:rFonts w:ascii="Arial" w:cs="Arial" w:eastAsia="Arial" w:hAnsi="Arial"/>
                <w:sz w:val="17"/>
                <w:szCs w:val="17"/>
                <w:color w:val="auto"/>
                <w:w w:val="93"/>
              </w:rPr>
              <w:t>the approval of Proposal 2. If the undersigned or a related party of</w:t>
            </w: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80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4"/>
              </w:rPr>
              <w:t>the undersigned is a controlling shareholder or has such a conflict</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of interest, check the box “AGAINST”.</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3.</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7"/>
              </w:rPr>
              <w:t>To elect Mr. Yehoshua (Shuki) Nir as an external director of the</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5"/>
              </w:rPr>
              <w:t>Company, subject to and in accordance with the provisions of the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Companies Law.</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3A.</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By checking the box marked "FOR", the undersigned hereby</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8"/>
              </w:rPr>
              <w:t>confirms that he, she or it is not a “controlling shareholder” and</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3"/>
              </w:rPr>
              <w:t>does not have a conflict of interest in the approval of Proposal 3. If</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7"/>
              </w:rPr>
              <w:t>the  undersigned  or  a  related  party  of  the  undersigned  is  a</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3"/>
              </w:rPr>
              <w:t>controlling shareholder or has such a conflict of interest, check the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box “AGAINST”.</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4.</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5"/>
              </w:rPr>
              <w:t>To approve the re-appointment of Kost Forer Gabbay &amp; Kasierer,</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3"/>
              </w:rPr>
              <w:t>registered public accounting firm, a member firm of Ernst &amp; Young</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1"/>
              </w:rPr>
              <w:t>Global, as the Company’s independent registered public accounting</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8"/>
              </w:rPr>
              <w:t>firm  for  the  year  ending  December  31,  2018  and  until  the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5"/>
              </w:rPr>
              <w:t>Company’s 2019 annual general meeting of shareholders, and to</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4"/>
              </w:rPr>
              <w:t>authorize the Company’s board of directors to fix such accounting</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firm’s annual compensation.</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5.</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2"/>
              </w:rPr>
              <w:t>To approve the terms of the annual cash compensation of the non-</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9"/>
              </w:rPr>
              <w:t>employee directors of the Company, as described in the Proxy</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rPr>
              <w:t>Statement.</w:t>
            </w:r>
          </w:p>
        </w:tc>
        <w:tc>
          <w:tcPr>
            <w:tcW w:w="54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940" w:type="dxa"/>
            <w:vAlign w:val="bottom"/>
            <w:gridSpan w:val="2"/>
            <w:vMerge w:val="restart"/>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820" w:type="dxa"/>
            <w:vAlign w:val="bottom"/>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7"/>
                <w:szCs w:val="17"/>
                <w:color w:val="auto"/>
              </w:rPr>
              <w:t>6.</w:t>
            </w: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1"/>
              </w:rPr>
              <w:t>To approve annual grants of options to purchase ordinary shares of</w:t>
            </w:r>
          </w:p>
        </w:tc>
        <w:tc>
          <w:tcPr>
            <w:tcW w:w="5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0"/>
              </w:rPr>
              <w:t>the Company and restricted share units to each of the non-employee</w:t>
            </w: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0" w:type="dxa"/>
            <w:vAlign w:val="bottom"/>
            <w:gridSpan w:val="5"/>
          </w:tcPr>
          <w:p>
            <w:pPr>
              <w:ind w:left="120"/>
              <w:spacing w:after="0"/>
              <w:rPr>
                <w:sz w:val="20"/>
                <w:szCs w:val="20"/>
                <w:color w:val="auto"/>
              </w:rPr>
            </w:pPr>
            <w:r>
              <w:rPr>
                <w:rFonts w:ascii="Arial" w:cs="Arial" w:eastAsia="Arial" w:hAnsi="Arial"/>
                <w:sz w:val="17"/>
                <w:szCs w:val="17"/>
                <w:color w:val="auto"/>
                <w:w w:val="97"/>
              </w:rPr>
              <w:t>directors of the Company, as described in the Proxy Statement.</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80" w:type="dxa"/>
            <w:vAlign w:val="bottom"/>
            <w:tcBorders>
              <w:top w:val="single" w:sz="8" w:color="auto"/>
            </w:tcBorders>
            <w:gridSpan w:val="8"/>
          </w:tcPr>
          <w:p>
            <w:pPr>
              <w:spacing w:after="0" w:line="188" w:lineRule="exact"/>
              <w:rPr>
                <w:sz w:val="20"/>
                <w:szCs w:val="20"/>
                <w:color w:val="auto"/>
              </w:rPr>
            </w:pPr>
            <w:r>
              <w:rPr>
                <w:rFonts w:ascii="Arial" w:cs="Arial" w:eastAsia="Arial" w:hAnsi="Arial"/>
                <w:sz w:val="17"/>
                <w:szCs w:val="17"/>
                <w:color w:val="auto"/>
                <w:w w:val="87"/>
              </w:rPr>
              <w:t>To change the address on your account, please check the</w:t>
            </w:r>
          </w:p>
        </w:tc>
        <w:tc>
          <w:tcPr>
            <w:tcW w:w="420" w:type="dxa"/>
            <w:vAlign w:val="bottom"/>
            <w:tcBorders>
              <w:top w:val="single" w:sz="8" w:color="auto"/>
            </w:tcBorders>
          </w:tcPr>
          <w:p>
            <w:pPr>
              <w:ind w:left="80"/>
              <w:spacing w:after="0" w:line="188" w:lineRule="exact"/>
              <w:rPr>
                <w:sz w:val="20"/>
                <w:szCs w:val="20"/>
                <w:color w:val="auto"/>
              </w:rPr>
            </w:pPr>
            <w:r>
              <w:rPr>
                <w:rFonts w:ascii="Arial" w:cs="Arial" w:eastAsia="Arial" w:hAnsi="Arial"/>
                <w:sz w:val="17"/>
                <w:szCs w:val="17"/>
                <w:color w:val="auto"/>
              </w:rPr>
              <w:t>box</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10"/>
          </w:tcPr>
          <w:p>
            <w:pPr>
              <w:spacing w:after="0"/>
              <w:rPr>
                <w:sz w:val="20"/>
                <w:szCs w:val="20"/>
                <w:color w:val="auto"/>
              </w:rPr>
            </w:pPr>
            <w:r>
              <w:rPr>
                <w:rFonts w:ascii="Arial" w:cs="Arial" w:eastAsia="Arial" w:hAnsi="Arial"/>
                <w:sz w:val="17"/>
                <w:szCs w:val="17"/>
                <w:color w:val="auto"/>
                <w:w w:val="90"/>
              </w:rPr>
              <w:t>at the right and indicate your new address in the address space</w:t>
            </w:r>
          </w:p>
        </w:tc>
        <w:tc>
          <w:tcPr>
            <w:tcW w:w="2900" w:type="dxa"/>
            <w:vAlign w:val="bottom"/>
            <w:tcBorders>
              <w:right w:val="single" w:sz="8" w:color="auto"/>
            </w:tcBorders>
            <w:gridSpan w:val="3"/>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gridSpan w:val="10"/>
          </w:tcPr>
          <w:p>
            <w:pPr>
              <w:spacing w:after="0" w:line="189" w:lineRule="exact"/>
              <w:rPr>
                <w:sz w:val="20"/>
                <w:szCs w:val="20"/>
                <w:color w:val="auto"/>
              </w:rPr>
            </w:pPr>
            <w:r>
              <w:rPr>
                <w:rFonts w:ascii="Arial" w:cs="Arial" w:eastAsia="Arial" w:hAnsi="Arial"/>
                <w:sz w:val="17"/>
                <w:szCs w:val="17"/>
                <w:color w:val="auto"/>
                <w:w w:val="92"/>
              </w:rPr>
              <w:t>above. Please note that changes to the registered name(s) on</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gridSpan w:val="9"/>
          </w:tcPr>
          <w:p>
            <w:pPr>
              <w:spacing w:after="0"/>
              <w:rPr>
                <w:sz w:val="20"/>
                <w:szCs w:val="20"/>
                <w:color w:val="auto"/>
              </w:rPr>
            </w:pPr>
            <w:r>
              <w:rPr>
                <w:rFonts w:ascii="Arial" w:cs="Arial" w:eastAsia="Arial" w:hAnsi="Arial"/>
                <w:sz w:val="17"/>
                <w:szCs w:val="17"/>
                <w:color w:val="auto"/>
              </w:rPr>
              <w:t>the account may not be submitted via this method.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4"/>
            <w:vMerge w:val="restart"/>
          </w:tcPr>
          <w:p>
            <w:pPr>
              <w:spacing w:after="0"/>
              <w:rPr>
                <w:sz w:val="20"/>
                <w:szCs w:val="20"/>
                <w:color w:val="auto"/>
              </w:rPr>
            </w:pPr>
            <w:r>
              <w:rPr>
                <w:rFonts w:ascii="Arial" w:cs="Arial" w:eastAsia="Arial" w:hAnsi="Arial"/>
                <w:sz w:val="17"/>
                <w:szCs w:val="17"/>
                <w:color w:val="auto"/>
                <w:w w:val="98"/>
              </w:rPr>
              <w:t>Signature of shareholder</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gridSpan w:val="3"/>
            <w:vMerge w:val="restart"/>
          </w:tcPr>
          <w:p>
            <w:pPr>
              <w:ind w:left="40"/>
              <w:spacing w:after="0"/>
              <w:rPr>
                <w:sz w:val="20"/>
                <w:szCs w:val="20"/>
                <w:color w:val="auto"/>
              </w:rPr>
            </w:pPr>
            <w:r>
              <w:rPr>
                <w:rFonts w:ascii="Arial" w:cs="Arial" w:eastAsia="Arial" w:hAnsi="Arial"/>
                <w:sz w:val="17"/>
                <w:szCs w:val="17"/>
                <w:color w:val="auto"/>
              </w:rPr>
              <w:t>Date</w:t>
            </w:r>
          </w:p>
        </w:tc>
        <w:tc>
          <w:tcPr>
            <w:tcW w:w="140" w:type="dxa"/>
            <w:vAlign w:val="bottom"/>
            <w:vMerge w:val="restart"/>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7"/>
                <w:szCs w:val="17"/>
                <w:color w:val="auto"/>
                <w:w w:val="95"/>
              </w:rPr>
              <w:t>Signature of shareholder</w:t>
            </w:r>
          </w:p>
        </w:tc>
        <w:tc>
          <w:tcPr>
            <w:tcW w:w="1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vMerge w:val="restart"/>
          </w:tcPr>
          <w:p>
            <w:pPr>
              <w:ind w:left="40"/>
              <w:spacing w:after="0"/>
              <w:rPr>
                <w:sz w:val="20"/>
                <w:szCs w:val="20"/>
                <w:color w:val="auto"/>
              </w:rPr>
            </w:pPr>
            <w:r>
              <w:rPr>
                <w:rFonts w:ascii="Arial" w:cs="Arial" w:eastAsia="Arial" w:hAnsi="Arial"/>
                <w:sz w:val="17"/>
                <w:szCs w:val="17"/>
                <w:color w:val="auto"/>
              </w:rPr>
              <w:t>Date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80" w:type="dxa"/>
            <w:vAlign w:val="bottom"/>
            <w:gridSpan w:val="4"/>
            <w:vMerge w:val="continue"/>
          </w:tcPr>
          <w:p>
            <w:pPr>
              <w:spacing w:after="0"/>
              <w:rPr>
                <w:sz w:val="16"/>
                <w:szCs w:val="16"/>
                <w:color w:val="auto"/>
              </w:rPr>
            </w:pPr>
          </w:p>
        </w:tc>
        <w:tc>
          <w:tcPr>
            <w:tcW w:w="280" w:type="dxa"/>
            <w:vAlign w:val="bottom"/>
            <w:tcBorders>
              <w:left w:val="single" w:sz="8" w:color="auto"/>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tcBorders>
              <w:left w:val="single" w:sz="8" w:color="auto"/>
              <w:bottom w:val="single" w:sz="8" w:color="auto"/>
              <w:right w:val="single" w:sz="8" w:color="auto"/>
            </w:tcBorders>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40" w:type="dxa"/>
            <w:vAlign w:val="bottom"/>
            <w:tcBorders>
              <w:left w:val="single" w:sz="8" w:color="auto"/>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Borders>
              <w:left w:val="single" w:sz="8" w:color="auto"/>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 w:type="dxa"/>
            <w:vAlign w:val="bottom"/>
            <w:gridSpan w:val="3"/>
          </w:tcPr>
          <w:p>
            <w:pPr>
              <w:spacing w:after="0" w:line="188" w:lineRule="exact"/>
              <w:rPr>
                <w:sz w:val="20"/>
                <w:szCs w:val="20"/>
                <w:color w:val="auto"/>
              </w:rPr>
            </w:pPr>
            <w:r>
              <w:rPr>
                <w:rFonts w:ascii="Arial" w:cs="Arial" w:eastAsia="Arial" w:hAnsi="Arial"/>
                <w:sz w:val="17"/>
                <w:szCs w:val="17"/>
                <w:color w:val="auto"/>
                <w:w w:val="98"/>
              </w:rPr>
              <w:t>Note:</w:t>
            </w:r>
          </w:p>
        </w:tc>
        <w:tc>
          <w:tcPr>
            <w:tcW w:w="1460" w:type="dxa"/>
            <w:vAlign w:val="bottom"/>
          </w:tcPr>
          <w:p>
            <w:pPr>
              <w:ind w:left="160"/>
              <w:spacing w:after="0" w:line="188" w:lineRule="exact"/>
              <w:rPr>
                <w:sz w:val="20"/>
                <w:szCs w:val="20"/>
                <w:color w:val="auto"/>
              </w:rPr>
            </w:pPr>
            <w:r>
              <w:rPr>
                <w:rFonts w:ascii="Arial" w:cs="Arial" w:eastAsia="Arial" w:hAnsi="Arial"/>
                <w:sz w:val="17"/>
                <w:szCs w:val="17"/>
                <w:color w:val="auto"/>
                <w:w w:val="86"/>
              </w:rPr>
              <w:t>Please sign exactly</w:t>
            </w:r>
          </w:p>
        </w:tc>
        <w:tc>
          <w:tcPr>
            <w:tcW w:w="2580" w:type="dxa"/>
            <w:vAlign w:val="bottom"/>
            <w:gridSpan w:val="7"/>
          </w:tcPr>
          <w:p>
            <w:pPr>
              <w:ind w:left="20"/>
              <w:spacing w:after="0" w:line="188" w:lineRule="exact"/>
              <w:rPr>
                <w:sz w:val="20"/>
                <w:szCs w:val="20"/>
                <w:color w:val="auto"/>
              </w:rPr>
            </w:pPr>
            <w:r>
              <w:rPr>
                <w:rFonts w:ascii="Arial" w:cs="Arial" w:eastAsia="Arial" w:hAnsi="Arial"/>
                <w:sz w:val="17"/>
                <w:szCs w:val="17"/>
                <w:color w:val="auto"/>
                <w:w w:val="86"/>
              </w:rPr>
              <w:t>as your name or names appear on this</w:t>
            </w:r>
          </w:p>
        </w:tc>
        <w:tc>
          <w:tcPr>
            <w:tcW w:w="960" w:type="dxa"/>
            <w:vAlign w:val="bottom"/>
          </w:tcPr>
          <w:p>
            <w:pPr>
              <w:spacing w:after="0" w:line="188" w:lineRule="exact"/>
              <w:rPr>
                <w:sz w:val="20"/>
                <w:szCs w:val="20"/>
                <w:color w:val="auto"/>
              </w:rPr>
            </w:pPr>
            <w:r>
              <w:rPr>
                <w:rFonts w:ascii="Arial" w:cs="Arial" w:eastAsia="Arial" w:hAnsi="Arial"/>
                <w:sz w:val="17"/>
                <w:szCs w:val="17"/>
                <w:color w:val="auto"/>
                <w:w w:val="94"/>
              </w:rPr>
              <w:t>Proxy. When</w:t>
            </w:r>
          </w:p>
        </w:tc>
        <w:tc>
          <w:tcPr>
            <w:tcW w:w="1860" w:type="dxa"/>
            <w:vAlign w:val="bottom"/>
            <w:gridSpan w:val="2"/>
          </w:tcPr>
          <w:p>
            <w:pPr>
              <w:spacing w:after="0" w:line="188" w:lineRule="exact"/>
              <w:rPr>
                <w:sz w:val="20"/>
                <w:szCs w:val="20"/>
                <w:color w:val="auto"/>
              </w:rPr>
            </w:pPr>
            <w:r>
              <w:rPr>
                <w:rFonts w:ascii="Arial" w:cs="Arial" w:eastAsia="Arial" w:hAnsi="Arial"/>
                <w:sz w:val="17"/>
                <w:szCs w:val="17"/>
                <w:color w:val="auto"/>
                <w:w w:val="85"/>
              </w:rPr>
              <w:t>shares are held jointly, each</w:t>
            </w:r>
          </w:p>
        </w:tc>
        <w:tc>
          <w:tcPr>
            <w:tcW w:w="2380" w:type="dxa"/>
            <w:vAlign w:val="bottom"/>
            <w:gridSpan w:val="2"/>
          </w:tcPr>
          <w:p>
            <w:pPr>
              <w:ind w:left="40"/>
              <w:spacing w:after="0" w:line="188" w:lineRule="exact"/>
              <w:rPr>
                <w:sz w:val="20"/>
                <w:szCs w:val="20"/>
                <w:color w:val="auto"/>
              </w:rPr>
            </w:pPr>
            <w:r>
              <w:rPr>
                <w:rFonts w:ascii="Arial" w:cs="Arial" w:eastAsia="Arial" w:hAnsi="Arial"/>
                <w:sz w:val="17"/>
                <w:szCs w:val="17"/>
                <w:color w:val="auto"/>
                <w:w w:val="92"/>
              </w:rPr>
              <w:t>owner should sign. When signing</w:t>
            </w:r>
          </w:p>
        </w:tc>
        <w:tc>
          <w:tcPr>
            <w:tcW w:w="800" w:type="dxa"/>
            <w:vAlign w:val="bottom"/>
          </w:tcPr>
          <w:p>
            <w:pPr>
              <w:spacing w:after="0" w:line="188" w:lineRule="exact"/>
              <w:rPr>
                <w:sz w:val="20"/>
                <w:szCs w:val="20"/>
                <w:color w:val="auto"/>
              </w:rPr>
            </w:pPr>
            <w:r>
              <w:rPr>
                <w:rFonts w:ascii="Arial" w:cs="Arial" w:eastAsia="Arial" w:hAnsi="Arial"/>
                <w:sz w:val="17"/>
                <w:szCs w:val="17"/>
                <w:color w:val="auto"/>
                <w:w w:val="82"/>
              </w:rPr>
              <w:t>as executor,</w:t>
            </w:r>
          </w:p>
        </w:tc>
        <w:tc>
          <w:tcPr>
            <w:tcW w:w="960" w:type="dxa"/>
            <w:vAlign w:val="bottom"/>
            <w:gridSpan w:val="2"/>
          </w:tcPr>
          <w:p>
            <w:pPr>
              <w:ind w:left="20"/>
              <w:spacing w:after="0" w:line="188" w:lineRule="exact"/>
              <w:rPr>
                <w:sz w:val="20"/>
                <w:szCs w:val="20"/>
                <w:color w:val="auto"/>
              </w:rPr>
            </w:pPr>
            <w:r>
              <w:rPr>
                <w:rFonts w:ascii="Arial" w:cs="Arial" w:eastAsia="Arial" w:hAnsi="Arial"/>
                <w:sz w:val="17"/>
                <w:szCs w:val="17"/>
                <w:color w:val="auto"/>
                <w:w w:val="87"/>
              </w:rPr>
              <w:t>administrator,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0" w:type="dxa"/>
            <w:vAlign w:val="bottom"/>
            <w:gridSpan w:val="16"/>
          </w:tcPr>
          <w:p>
            <w:pPr>
              <w:ind w:left="160"/>
              <w:spacing w:after="0"/>
              <w:rPr>
                <w:sz w:val="20"/>
                <w:szCs w:val="20"/>
                <w:color w:val="auto"/>
              </w:rPr>
            </w:pPr>
            <w:r>
              <w:rPr>
                <w:rFonts w:ascii="Arial" w:cs="Arial" w:eastAsia="Arial" w:hAnsi="Arial"/>
                <w:sz w:val="17"/>
                <w:szCs w:val="17"/>
                <w:color w:val="auto"/>
                <w:w w:val="91"/>
              </w:rPr>
              <w:t>attorney, trustee or guardian, please give full title as such. If the signer is a corporation, please sign full corporate name by a duly authorized officer, giving full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00" w:type="dxa"/>
            <w:vAlign w:val="bottom"/>
            <w:gridSpan w:val="12"/>
          </w:tcPr>
          <w:p>
            <w:pPr>
              <w:ind w:left="160"/>
              <w:spacing w:after="0"/>
              <w:rPr>
                <w:sz w:val="20"/>
                <w:szCs w:val="20"/>
                <w:color w:val="auto"/>
              </w:rPr>
            </w:pPr>
            <w:r>
              <w:rPr>
                <w:rFonts w:ascii="Arial" w:cs="Arial" w:eastAsia="Arial" w:hAnsi="Arial"/>
                <w:sz w:val="17"/>
                <w:szCs w:val="17"/>
                <w:color w:val="auto"/>
              </w:rPr>
              <w:t>title as such. If the signer is a partnership, please sign in partnership name by authorized person.</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92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5"/>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upperLetter"/>
      <w:start w:val="6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3"/>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2019-12-08T12:25:54Z</dcterms:created>
  <dcterms:modified xsi:type="dcterms:W3CDTF">2019-12-08T12:25:54Z</dcterms:modified>
</cp:coreProperties>
</file>