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September 2017</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001-36903</w:t>
      </w:r>
    </w:p>
    <w:p>
      <w:pPr>
        <w:spacing w:after="0" w:line="198" w:lineRule="exact"/>
        <w:rPr>
          <w:sz w:val="24"/>
          <w:szCs w:val="24"/>
          <w:color w:val="auto"/>
        </w:rPr>
      </w:pPr>
    </w:p>
    <w:p>
      <w:pPr>
        <w:ind w:left="3920"/>
        <w:spacing w:after="0"/>
        <w:rPr>
          <w:sz w:val="20"/>
          <w:szCs w:val="20"/>
          <w:color w:val="auto"/>
        </w:rPr>
      </w:pPr>
      <w:r>
        <w:rPr>
          <w:rFonts w:ascii="Arial" w:cs="Arial" w:eastAsia="Arial" w:hAnsi="Arial"/>
          <w:sz w:val="32"/>
          <w:szCs w:val="32"/>
          <w:b w:val="1"/>
          <w:bCs w:val="1"/>
          <w:color w:val="auto"/>
        </w:rPr>
        <w:t>KORNIT DIGITAL LTD.</w:t>
      </w:r>
    </w:p>
    <w:p>
      <w:pPr>
        <w:spacing w:after="0" w:line="40"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(Translation of Registrant’s name into English)</w:t>
      </w:r>
    </w:p>
    <w:p>
      <w:pPr>
        <w:spacing w:after="0" w:line="200" w:lineRule="exact"/>
        <w:rPr>
          <w:sz w:val="24"/>
          <w:szCs w:val="24"/>
          <w:color w:val="auto"/>
        </w:rPr>
      </w:pPr>
    </w:p>
    <w:p>
      <w:pPr>
        <w:spacing w:after="0" w:line="22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4660" w:right="1719" w:hanging="4647"/>
        <w:spacing w:after="0" w:line="233"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18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535305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96"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This Report of Foreign Private Issuer on Form 6-K (this “</w:t>
      </w:r>
      <w:r>
        <w:rPr>
          <w:rFonts w:ascii="Arial" w:cs="Arial" w:eastAsia="Arial" w:hAnsi="Arial"/>
          <w:sz w:val="18"/>
          <w:szCs w:val="18"/>
          <w:b w:val="1"/>
          <w:bCs w:val="1"/>
          <w:color w:val="auto"/>
        </w:rPr>
        <w:t>Form 6-K</w:t>
      </w:r>
      <w:r>
        <w:rPr>
          <w:rFonts w:ascii="Arial" w:cs="Arial" w:eastAsia="Arial" w:hAnsi="Arial"/>
          <w:sz w:val="18"/>
          <w:szCs w:val="18"/>
          <w:color w:val="auto"/>
        </w:rPr>
        <w:t>”) is being furnished by Kornit Digital Ltd. (“</w:t>
      </w:r>
      <w:r>
        <w:rPr>
          <w:rFonts w:ascii="Arial" w:cs="Arial" w:eastAsia="Arial" w:hAnsi="Arial"/>
          <w:sz w:val="18"/>
          <w:szCs w:val="18"/>
          <w:b w:val="1"/>
          <w:bCs w:val="1"/>
          <w:color w:val="auto"/>
        </w:rPr>
        <w:t>Kornit Digital</w:t>
      </w:r>
      <w:r>
        <w:rPr>
          <w:rFonts w:ascii="Arial" w:cs="Arial" w:eastAsia="Arial" w:hAnsi="Arial"/>
          <w:sz w:val="18"/>
          <w:szCs w:val="18"/>
          <w:color w:val="auto"/>
        </w:rPr>
        <w:t>”) to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xml:space="preserve">”) for the sole purposes of: (i) furnishing,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to this Form 6-K, unaudited interim consolidated financial statements of Kornit Digital as of, and for the six month period ended June 30, 2017 (the “</w:t>
      </w:r>
      <w:r>
        <w:rPr>
          <w:rFonts w:ascii="Arial" w:cs="Arial" w:eastAsia="Arial" w:hAnsi="Arial"/>
          <w:sz w:val="18"/>
          <w:szCs w:val="18"/>
          <w:b w:val="1"/>
          <w:bCs w:val="1"/>
          <w:color w:val="auto"/>
        </w:rPr>
        <w:t>Financial Statements</w:t>
      </w:r>
      <w:r>
        <w:rPr>
          <w:rFonts w:ascii="Arial" w:cs="Arial" w:eastAsia="Arial" w:hAnsi="Arial"/>
          <w:sz w:val="18"/>
          <w:szCs w:val="18"/>
          <w:color w:val="auto"/>
        </w:rPr>
        <w:t xml:space="preserve">”); and (ii) furnishing, as </w:t>
      </w:r>
      <w:r>
        <w:rPr>
          <w:rFonts w:ascii="Arial" w:cs="Arial" w:eastAsia="Arial" w:hAnsi="Arial"/>
          <w:sz w:val="18"/>
          <w:szCs w:val="18"/>
          <w:u w:val="single" w:color="auto"/>
          <w:color w:val="auto"/>
        </w:rPr>
        <w:t>Exhibit 99.2</w:t>
      </w:r>
      <w:r>
        <w:rPr>
          <w:rFonts w:ascii="Arial" w:cs="Arial" w:eastAsia="Arial" w:hAnsi="Arial"/>
          <w:sz w:val="18"/>
          <w:szCs w:val="18"/>
          <w:color w:val="auto"/>
        </w:rPr>
        <w:t xml:space="preserve"> to this Form 6-K, Management’s Discussion and Analysis of Financial Condition and Results of Operations, which discusses and analyzes Kornit Digital’s financial condition and results of operations as of, and for, the six month period ended June 30, 2017.</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foregoing six-month unaudited condensed interim consolidated financial statements of Kornit Digital, together with the Management’s Discussion and Analysis of Financial Condition and Results of Operations covering that six month period, are incorporated by reference into Kornit Digital’s registration statement on Form F-3 (File No. 333-215404) and Kornit Digital’s registration statements on Form S-8 (File Nos. 333-203970, 333-214015 and 333-217039).</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101</w:t>
      </w:r>
      <w:r>
        <w:rPr>
          <w:rFonts w:ascii="Arial" w:cs="Arial" w:eastAsia="Arial" w:hAnsi="Arial"/>
          <w:sz w:val="18"/>
          <w:szCs w:val="18"/>
          <w:color w:val="auto"/>
        </w:rPr>
        <w:t xml:space="preserve"> are the Financial Statements, formatted in XBRL (eXtensible Business Reporting Language), consisting of the following sub-exhibits: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340" w:type="dxa"/>
            <w:vAlign w:val="bottom"/>
          </w:tcPr>
          <w:p>
            <w:pPr>
              <w:spacing w:after="0"/>
              <w:rPr>
                <w:sz w:val="18"/>
                <w:szCs w:val="18"/>
                <w:color w:val="auto"/>
              </w:rPr>
            </w:pPr>
          </w:p>
        </w:tc>
      </w:tr>
      <w:tr>
        <w:trPr>
          <w:trHeight w:val="234"/>
        </w:trPr>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03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Document Description</w:t>
            </w:r>
          </w:p>
        </w:tc>
      </w:tr>
      <w:tr>
        <w:trPr>
          <w:trHeight w:val="21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EX-101.INS</w:t>
            </w:r>
          </w:p>
        </w:tc>
        <w:tc>
          <w:tcPr>
            <w:tcW w:w="10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XBRL Taxonomy Instance Document</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EX-101.SCH</w:t>
            </w:r>
          </w:p>
        </w:tc>
        <w:tc>
          <w:tcPr>
            <w:tcW w:w="1034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EX-101.CAL</w:t>
            </w:r>
          </w:p>
        </w:tc>
        <w:tc>
          <w:tcPr>
            <w:tcW w:w="10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XBRL Taxonomy Calculation Linkbase Document</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EX-101.DEF</w:t>
            </w:r>
          </w:p>
        </w:tc>
        <w:tc>
          <w:tcPr>
            <w:tcW w:w="10340" w:type="dxa"/>
            <w:vAlign w:val="bottom"/>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EX-101.LAB</w:t>
            </w:r>
          </w:p>
        </w:tc>
        <w:tc>
          <w:tcPr>
            <w:tcW w:w="10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XBRL Taxonomy Label Linkbase Document</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EX-101.PRE</w:t>
            </w:r>
          </w:p>
        </w:tc>
        <w:tc>
          <w:tcPr>
            <w:tcW w:w="10340" w:type="dxa"/>
            <w:vAlign w:val="bottom"/>
          </w:tcPr>
          <w:p>
            <w:pPr>
              <w:ind w:left="10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XBRL related information in Exhibit 101 to this Form 6-K shall not deemed “filed” for purposes of Section 18 of the Securities Exchange Act of 1934, as amended, or otherwise subject to liability under that section and shall not be incorporated by reference into any filing or other document pursuant to the Securities Act of 1933, as amended, except as shall be expressly set forth by specific reference in such filing or document.</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700" w:type="dxa"/>
            <w:vAlign w:val="bottom"/>
            <w:gridSpan w:val="2"/>
          </w:tcPr>
          <w:p>
            <w:pPr>
              <w:ind w:left="1920"/>
              <w:spacing w:after="0"/>
              <w:rPr>
                <w:sz w:val="20"/>
                <w:szCs w:val="20"/>
                <w:color w:val="auto"/>
              </w:rPr>
            </w:pPr>
            <w:r>
              <w:rPr>
                <w:rFonts w:ascii="Arial" w:cs="Arial" w:eastAsia="Arial" w:hAnsi="Arial"/>
                <w:sz w:val="18"/>
                <w:szCs w:val="18"/>
                <w:color w:val="auto"/>
              </w:rPr>
              <w:t>KORNIT DIGITAL LTD.</w:t>
            </w: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 :September 5, 2017</w:t>
            </w:r>
          </w:p>
        </w:tc>
        <w:tc>
          <w:tcPr>
            <w:tcW w:w="2500" w:type="dxa"/>
            <w:vAlign w:val="bottom"/>
          </w:tcPr>
          <w:p>
            <w:pPr>
              <w:ind w:left="192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Avidan</w:t>
            </w:r>
          </w:p>
        </w:tc>
      </w:tr>
      <w:tr>
        <w:trPr>
          <w:trHeight w:val="182"/>
        </w:trPr>
        <w:tc>
          <w:tcPr>
            <w:tcW w:w="3720" w:type="dxa"/>
            <w:vAlign w:val="bottom"/>
          </w:tcPr>
          <w:p>
            <w:pPr>
              <w:spacing w:after="0"/>
              <w:rPr>
                <w:sz w:val="15"/>
                <w:szCs w:val="15"/>
                <w:color w:val="auto"/>
              </w:rPr>
            </w:pPr>
          </w:p>
        </w:tc>
        <w:tc>
          <w:tcPr>
            <w:tcW w:w="2500" w:type="dxa"/>
            <w:vAlign w:val="bottom"/>
          </w:tcPr>
          <w:p>
            <w:pPr>
              <w:ind w:left="1920"/>
              <w:spacing w:after="0" w:line="182" w:lineRule="exact"/>
              <w:rPr>
                <w:sz w:val="20"/>
                <w:szCs w:val="20"/>
                <w:color w:val="auto"/>
              </w:rPr>
            </w:pPr>
            <w:r>
              <w:rPr>
                <w:rFonts w:ascii="Arial" w:cs="Arial" w:eastAsia="Arial" w:hAnsi="Arial"/>
                <w:sz w:val="18"/>
                <w:szCs w:val="18"/>
                <w:color w:val="auto"/>
              </w:rPr>
              <w:t>Name:</w:t>
            </w:r>
          </w:p>
        </w:tc>
        <w:tc>
          <w:tcPr>
            <w:tcW w:w="5200" w:type="dxa"/>
            <w:vAlign w:val="bottom"/>
          </w:tcPr>
          <w:p>
            <w:pPr>
              <w:spacing w:after="0" w:line="182" w:lineRule="exact"/>
              <w:rPr>
                <w:sz w:val="20"/>
                <w:szCs w:val="20"/>
                <w:color w:val="auto"/>
              </w:rPr>
            </w:pPr>
            <w:r>
              <w:rPr>
                <w:rFonts w:ascii="Arial" w:cs="Arial" w:eastAsia="Arial" w:hAnsi="Arial"/>
                <w:sz w:val="18"/>
                <w:szCs w:val="18"/>
                <w:color w:val="auto"/>
              </w:rPr>
              <w:t>Guy Avidan</w:t>
            </w:r>
          </w:p>
        </w:tc>
      </w:tr>
      <w:tr>
        <w:trPr>
          <w:trHeight w:val="244"/>
        </w:trPr>
        <w:tc>
          <w:tcPr>
            <w:tcW w:w="3720" w:type="dxa"/>
            <w:vAlign w:val="bottom"/>
          </w:tcPr>
          <w:p>
            <w:pPr>
              <w:spacing w:after="0"/>
              <w:rPr>
                <w:sz w:val="21"/>
                <w:szCs w:val="21"/>
                <w:color w:val="auto"/>
              </w:rPr>
            </w:pPr>
          </w:p>
        </w:tc>
        <w:tc>
          <w:tcPr>
            <w:tcW w:w="2500" w:type="dxa"/>
            <w:vAlign w:val="bottom"/>
          </w:tcPr>
          <w:p>
            <w:pPr>
              <w:ind w:left="1920"/>
              <w:spacing w:after="0"/>
              <w:rPr>
                <w:sz w:val="20"/>
                <w:szCs w:val="20"/>
                <w:color w:val="auto"/>
              </w:rPr>
            </w:pPr>
            <w:r>
              <w:rPr>
                <w:rFonts w:ascii="Arial" w:cs="Arial" w:eastAsia="Arial" w:hAnsi="Arial"/>
                <w:sz w:val="18"/>
                <w:szCs w:val="18"/>
                <w:color w:val="auto"/>
              </w:rPr>
              <w:t>Title:</w:t>
            </w:r>
          </w:p>
        </w:tc>
        <w:tc>
          <w:tcPr>
            <w:tcW w:w="52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47"/>
        </w:trPr>
        <w:tc>
          <w:tcPr>
            <w:tcW w:w="37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3</w:t>
            </w: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200" w:type="dxa"/>
            <w:vAlign w:val="bottom"/>
            <w:gridSpan w:val="3"/>
          </w:tcPr>
          <w:p>
            <w:pPr>
              <w:ind w:left="96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172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200" w:type="dxa"/>
            <w:vAlign w:val="bottom"/>
            <w:gridSpan w:val="3"/>
          </w:tcPr>
          <w:p>
            <w:pPr>
              <w:ind w:left="1900"/>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1720" w:type="dxa"/>
            <w:vAlign w:val="bottom"/>
          </w:tcPr>
          <w:p>
            <w:pPr>
              <w:spacing w:after="0" w:line="190" w:lineRule="exact"/>
              <w:rPr>
                <w:sz w:val="20"/>
                <w:szCs w:val="20"/>
                <w:color w:val="auto"/>
              </w:rPr>
            </w:pPr>
            <w:r>
              <w:rPr>
                <w:rFonts w:ascii="Arial" w:cs="Arial" w:eastAsia="Arial" w:hAnsi="Arial"/>
                <w:sz w:val="18"/>
                <w:szCs w:val="18"/>
                <w:color w:val="auto"/>
              </w:rPr>
              <w:t>99.1</w:t>
            </w:r>
          </w:p>
        </w:tc>
        <w:tc>
          <w:tcPr>
            <w:tcW w:w="9700" w:type="dxa"/>
            <w:vAlign w:val="bottom"/>
            <w:gridSpan w:val="5"/>
          </w:tcPr>
          <w:p>
            <w:pPr>
              <w:spacing w:after="0" w:line="190" w:lineRule="exact"/>
              <w:rPr>
                <w:sz w:val="20"/>
                <w:szCs w:val="20"/>
                <w:color w:val="auto"/>
              </w:rPr>
            </w:pPr>
            <w:r>
              <w:rPr>
                <w:rFonts w:ascii="Arial" w:cs="Arial" w:eastAsia="Arial" w:hAnsi="Arial"/>
                <w:sz w:val="18"/>
                <w:szCs w:val="18"/>
                <w:color w:val="0000EE"/>
                <w:w w:val="92"/>
              </w:rPr>
              <w:t>Unaudited condensed interim consolidated financial statements of the registrant as of, and for, the six month period ended June 30,</w:t>
            </w:r>
          </w:p>
        </w:tc>
      </w:tr>
      <w:tr>
        <w:trPr>
          <w:trHeight w:val="196"/>
        </w:trPr>
        <w:tc>
          <w:tcPr>
            <w:tcW w:w="17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2017</w:t>
            </w:r>
          </w:p>
        </w:tc>
        <w:tc>
          <w:tcPr>
            <w:tcW w:w="2140" w:type="dxa"/>
            <w:vAlign w:val="bottom"/>
            <w:tcBorders>
              <w:top w:val="single" w:sz="8" w:color="0000EE"/>
            </w:tcBorders>
          </w:tcPr>
          <w:p>
            <w:pPr>
              <w:spacing w:after="0"/>
              <w:rPr>
                <w:sz w:val="17"/>
                <w:szCs w:val="17"/>
                <w:color w:val="auto"/>
              </w:rPr>
            </w:pPr>
          </w:p>
        </w:tc>
        <w:tc>
          <w:tcPr>
            <w:tcW w:w="67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99.2</w:t>
            </w:r>
          </w:p>
        </w:tc>
        <w:tc>
          <w:tcPr>
            <w:tcW w:w="92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0"/>
              </w:rPr>
              <w:t>Management’s Discussion and Analysis of Financial Condition and Results of Operations of the registrant as of, and for, the six</w:t>
            </w:r>
          </w:p>
        </w:tc>
        <w:tc>
          <w:tcPr>
            <w:tcW w:w="500" w:type="dxa"/>
            <w:vAlign w:val="bottom"/>
            <w:gridSpan w:val="2"/>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5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8"/>
              </w:rPr>
              <w:t>month period ended June 30, 2017</w:t>
            </w:r>
          </w:p>
        </w:tc>
        <w:tc>
          <w:tcPr>
            <w:tcW w:w="7200" w:type="dxa"/>
            <w:vAlign w:val="bottom"/>
            <w:gridSpan w:val="3"/>
          </w:tcPr>
          <w:p>
            <w:pPr>
              <w:spacing w:after="0"/>
              <w:rPr>
                <w:sz w:val="17"/>
                <w:szCs w:val="17"/>
                <w:color w:val="auto"/>
              </w:rPr>
            </w:pPr>
          </w:p>
        </w:tc>
      </w:tr>
      <w:tr>
        <w:trPr>
          <w:trHeight w:val="222"/>
        </w:trPr>
        <w:tc>
          <w:tcPr>
            <w:tcW w:w="1720" w:type="dxa"/>
            <w:vAlign w:val="bottom"/>
          </w:tcPr>
          <w:p>
            <w:pPr>
              <w:spacing w:after="0"/>
              <w:rPr>
                <w:sz w:val="20"/>
                <w:szCs w:val="20"/>
                <w:color w:val="auto"/>
              </w:rPr>
            </w:pPr>
            <w:r>
              <w:rPr>
                <w:rFonts w:ascii="Arial" w:cs="Arial" w:eastAsia="Arial" w:hAnsi="Arial"/>
                <w:sz w:val="18"/>
                <w:szCs w:val="18"/>
                <w:color w:val="auto"/>
              </w:rPr>
              <w:t>EX-101.INS</w:t>
            </w:r>
          </w:p>
        </w:tc>
        <w:tc>
          <w:tcPr>
            <w:tcW w:w="9700" w:type="dxa"/>
            <w:vAlign w:val="bottom"/>
            <w:gridSpan w:val="5"/>
          </w:tcPr>
          <w:p>
            <w:pPr>
              <w:spacing w:after="0"/>
              <w:rPr>
                <w:sz w:val="20"/>
                <w:szCs w:val="20"/>
                <w:color w:val="auto"/>
              </w:rPr>
            </w:pPr>
            <w:r>
              <w:rPr>
                <w:rFonts w:ascii="Arial" w:cs="Arial" w:eastAsia="Arial" w:hAnsi="Arial"/>
                <w:sz w:val="18"/>
                <w:szCs w:val="18"/>
                <w:color w:val="auto"/>
              </w:rPr>
              <w:t>XBRL Taxonomy Instance Document</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EX-101.SCH</w:t>
            </w:r>
          </w:p>
        </w:tc>
        <w:tc>
          <w:tcPr>
            <w:tcW w:w="970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EX-101.CAL</w:t>
            </w:r>
          </w:p>
        </w:tc>
        <w:tc>
          <w:tcPr>
            <w:tcW w:w="9700" w:type="dxa"/>
            <w:vAlign w:val="bottom"/>
            <w:gridSpan w:val="5"/>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EX-101.DEF</w:t>
            </w:r>
          </w:p>
        </w:tc>
        <w:tc>
          <w:tcPr>
            <w:tcW w:w="970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EX-101.LAB</w:t>
            </w:r>
          </w:p>
        </w:tc>
        <w:tc>
          <w:tcPr>
            <w:tcW w:w="9700" w:type="dxa"/>
            <w:vAlign w:val="bottom"/>
            <w:gridSpan w:val="5"/>
          </w:tcPr>
          <w:p>
            <w:pPr>
              <w:spacing w:after="0"/>
              <w:rPr>
                <w:sz w:val="20"/>
                <w:szCs w:val="20"/>
                <w:color w:val="auto"/>
              </w:rPr>
            </w:pPr>
            <w:r>
              <w:rPr>
                <w:rFonts w:ascii="Arial" w:cs="Arial" w:eastAsia="Arial" w:hAnsi="Arial"/>
                <w:sz w:val="18"/>
                <w:szCs w:val="18"/>
                <w:color w:val="auto"/>
              </w:rPr>
              <w:t>XBRL Taxonomy Label Linkbase Document</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EX-101.PRE</w:t>
            </w:r>
          </w:p>
        </w:tc>
        <w:tc>
          <w:tcPr>
            <w:tcW w:w="9700" w:type="dxa"/>
            <w:vAlign w:val="bottom"/>
            <w:gridSpan w:val="5"/>
          </w:tcPr>
          <w:p>
            <w:pPr>
              <w:spacing w:after="0"/>
              <w:rPr>
                <w:sz w:val="20"/>
                <w:szCs w:val="20"/>
                <w:color w:val="auto"/>
              </w:rPr>
            </w:pPr>
            <w:r>
              <w:rPr>
                <w:rFonts w:ascii="Arial" w:cs="Arial" w:eastAsia="Arial" w:hAnsi="Arial"/>
                <w:sz w:val="18"/>
                <w:szCs w:val="18"/>
                <w:color w:val="auto"/>
              </w:rPr>
              <w:t>XBRL Taxonomy Presentation Linkbase Document</w:t>
            </w:r>
          </w:p>
        </w:tc>
      </w:tr>
      <w:tr>
        <w:trPr>
          <w:trHeight w:val="547"/>
        </w:trPr>
        <w:tc>
          <w:tcPr>
            <w:tcW w:w="172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gridSpan w:val="3"/>
          </w:tcPr>
          <w:p>
            <w:pPr>
              <w:ind w:left="3920"/>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013"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260" w:type="dxa"/>
            <w:vAlign w:val="bottom"/>
          </w:tcPr>
          <w:p>
            <w:pPr>
              <w:spacing w:after="0"/>
              <w:rPr>
                <w:sz w:val="20"/>
                <w:szCs w:val="20"/>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w w:val="91"/>
              </w:rPr>
              <w:t>Exhibit 99.1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260" w:type="dxa"/>
            <w:vAlign w:val="bottom"/>
          </w:tcPr>
          <w:p>
            <w:pPr>
              <w:jc w:val="center"/>
              <w:ind w:left="1030"/>
              <w:spacing w:after="0"/>
              <w:rPr>
                <w:sz w:val="20"/>
                <w:szCs w:val="20"/>
                <w:color w:val="auto"/>
              </w:rPr>
            </w:pPr>
            <w:r>
              <w:rPr>
                <w:rFonts w:ascii="Arial" w:cs="Arial" w:eastAsia="Arial" w:hAnsi="Arial"/>
                <w:sz w:val="18"/>
                <w:szCs w:val="18"/>
                <w:b w:val="1"/>
                <w:bCs w:val="1"/>
                <w:color w:val="auto"/>
              </w:rPr>
              <w:t>KORNIT DIGITAL LTD. AND ITS SUBSIDIARIES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260" w:type="dxa"/>
            <w:vAlign w:val="bottom"/>
          </w:tcPr>
          <w:p>
            <w:pPr>
              <w:jc w:val="center"/>
              <w:ind w:left="1030"/>
              <w:spacing w:after="0"/>
              <w:rPr>
                <w:sz w:val="20"/>
                <w:szCs w:val="20"/>
                <w:color w:val="auto"/>
              </w:rPr>
            </w:pPr>
            <w:r>
              <w:rPr>
                <w:rFonts w:ascii="Arial" w:cs="Arial" w:eastAsia="Arial" w:hAnsi="Arial"/>
                <w:sz w:val="18"/>
                <w:szCs w:val="18"/>
                <w:b w:val="1"/>
                <w:bCs w:val="1"/>
                <w:color w:val="auto"/>
              </w:rPr>
              <w:t>INTERIM CONSOLIDATED FINANCIAL STATEMENTS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260" w:type="dxa"/>
            <w:vAlign w:val="bottom"/>
          </w:tcPr>
          <w:p>
            <w:pPr>
              <w:jc w:val="center"/>
              <w:ind w:left="1050"/>
              <w:spacing w:after="0"/>
              <w:rPr>
                <w:sz w:val="20"/>
                <w:szCs w:val="20"/>
                <w:color w:val="auto"/>
              </w:rPr>
            </w:pPr>
            <w:r>
              <w:rPr>
                <w:rFonts w:ascii="Arial" w:cs="Arial" w:eastAsia="Arial" w:hAnsi="Arial"/>
                <w:sz w:val="18"/>
                <w:szCs w:val="18"/>
                <w:b w:val="1"/>
                <w:bCs w:val="1"/>
                <w:color w:val="auto"/>
                <w:w w:val="93"/>
              </w:rPr>
              <w:t>AS OF JUNE 30, 2017</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260" w:type="dxa"/>
            <w:vAlign w:val="bottom"/>
          </w:tcPr>
          <w:p>
            <w:pPr>
              <w:jc w:val="center"/>
              <w:ind w:left="1030"/>
              <w:spacing w:after="0"/>
              <w:rPr>
                <w:sz w:val="20"/>
                <w:szCs w:val="20"/>
                <w:color w:val="auto"/>
              </w:rPr>
            </w:pPr>
            <w:r>
              <w:rPr>
                <w:rFonts w:ascii="Arial" w:cs="Arial" w:eastAsia="Arial" w:hAnsi="Arial"/>
                <w:sz w:val="18"/>
                <w:szCs w:val="18"/>
                <w:b w:val="1"/>
                <w:bCs w:val="1"/>
                <w:color w:val="auto"/>
              </w:rPr>
              <w:t>UNAUDITED</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260" w:type="dxa"/>
            <w:vAlign w:val="bottom"/>
          </w:tcPr>
          <w:p>
            <w:pPr>
              <w:jc w:val="center"/>
              <w:ind w:left="1050"/>
              <w:spacing w:after="0"/>
              <w:rPr>
                <w:sz w:val="20"/>
                <w:szCs w:val="20"/>
                <w:color w:val="auto"/>
              </w:rPr>
            </w:pPr>
            <w:r>
              <w:rPr>
                <w:rFonts w:ascii="Arial" w:cs="Arial" w:eastAsia="Arial" w:hAnsi="Arial"/>
                <w:sz w:val="18"/>
                <w:szCs w:val="18"/>
                <w:b w:val="1"/>
                <w:bCs w:val="1"/>
                <w:color w:val="auto"/>
                <w:w w:val="98"/>
              </w:rPr>
              <w:t>U.S. DOLLARS IN THOUSANDS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260" w:type="dxa"/>
            <w:vAlign w:val="bottom"/>
          </w:tcPr>
          <w:p>
            <w:pPr>
              <w:jc w:val="center"/>
              <w:ind w:left="1030"/>
              <w:spacing w:after="0"/>
              <w:rPr>
                <w:sz w:val="20"/>
                <w:szCs w:val="20"/>
                <w:color w:val="auto"/>
              </w:rPr>
            </w:pPr>
            <w:r>
              <w:rPr>
                <w:rFonts w:ascii="Arial" w:cs="Arial" w:eastAsia="Arial" w:hAnsi="Arial"/>
                <w:sz w:val="18"/>
                <w:szCs w:val="18"/>
                <w:b w:val="1"/>
                <w:bCs w:val="1"/>
                <w:color w:val="auto"/>
              </w:rPr>
              <w:t>INDEX</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260" w:type="dxa"/>
            <w:vAlign w:val="bottom"/>
          </w:tcPr>
          <w:p>
            <w:pPr>
              <w:spacing w:after="0"/>
              <w:rPr>
                <w:sz w:val="24"/>
                <w:szCs w:val="24"/>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Comprehensive Income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to Consolidated Interim Financial Statements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736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240" w:type="dxa"/>
            <w:vAlign w:val="bottom"/>
            <w:gridSpan w:val="2"/>
          </w:tcPr>
          <w:p>
            <w:pPr>
              <w:jc w:val="right"/>
              <w:ind w:right="4300"/>
              <w:spacing w:after="0"/>
              <w:rPr>
                <w:sz w:val="20"/>
                <w:szCs w:val="20"/>
                <w:color w:val="auto"/>
              </w:rPr>
            </w:pPr>
            <w:r>
              <w:rPr>
                <w:rFonts w:ascii="Arial" w:cs="Arial" w:eastAsia="Arial" w:hAnsi="Arial"/>
                <w:sz w:val="18"/>
                <w:szCs w:val="18"/>
                <w:color w:val="auto"/>
              </w:rPr>
              <w:t>ASSETS</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5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25,707</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2,657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receivables, net</w:t>
            </w:r>
          </w:p>
        </w:tc>
        <w:tc>
          <w:tcPr>
            <w:tcW w:w="5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29,193</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32,880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Other accounts receivable and prepaid expenses</w:t>
            </w:r>
          </w:p>
        </w:tc>
        <w:tc>
          <w:tcPr>
            <w:tcW w:w="5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2,991</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50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72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Total current assets</w:t>
            </w:r>
          </w:p>
        </w:tc>
        <w:tc>
          <w:tcPr>
            <w:tcW w:w="5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8"/>
                <w:szCs w:val="18"/>
                <w:color w:val="auto"/>
              </w:rPr>
              <w:t>93,428</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98,784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50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5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60,955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Severance pay fund</w:t>
            </w:r>
          </w:p>
        </w:tc>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11,204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5,092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5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2,658</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1,041</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720" w:type="dxa"/>
            <w:vAlign w:val="bottom"/>
            <w:gridSpan w:val="2"/>
          </w:tcPr>
          <w:p>
            <w:pPr>
              <w:spacing w:after="0" w:line="156" w:lineRule="exact"/>
              <w:rPr>
                <w:sz w:val="20"/>
                <w:szCs w:val="20"/>
                <w:color w:val="auto"/>
              </w:rPr>
            </w:pPr>
            <w:r>
              <w:rPr>
                <w:rFonts w:ascii="Arial" w:cs="Arial" w:eastAsia="Arial" w:hAnsi="Arial"/>
                <w:sz w:val="18"/>
                <w:szCs w:val="18"/>
                <w:color w:val="auto"/>
              </w:rPr>
              <w:t>Total long-term assets</w:t>
            </w:r>
          </w:p>
        </w:tc>
        <w:tc>
          <w:tcPr>
            <w:tcW w:w="5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20"/>
              <w:spacing w:after="0" w:line="156" w:lineRule="exact"/>
              <w:rPr>
                <w:sz w:val="20"/>
                <w:szCs w:val="20"/>
                <w:color w:val="auto"/>
              </w:rPr>
            </w:pPr>
            <w:r>
              <w:rPr>
                <w:rFonts w:ascii="Arial" w:cs="Arial" w:eastAsia="Arial" w:hAnsi="Arial"/>
                <w:sz w:val="18"/>
                <w:szCs w:val="18"/>
                <w:color w:val="auto"/>
              </w:rPr>
              <w:t>81,549</w:t>
            </w:r>
          </w:p>
        </w:tc>
        <w:tc>
          <w:tcPr>
            <w:tcW w:w="240" w:type="dxa"/>
            <w:vAlign w:val="bottom"/>
          </w:tcPr>
          <w:p>
            <w:pPr>
              <w:spacing w:after="0"/>
              <w:rPr>
                <w:sz w:val="15"/>
                <w:szCs w:val="15"/>
                <w:color w:val="auto"/>
              </w:rPr>
            </w:pPr>
          </w:p>
        </w:tc>
        <w:tc>
          <w:tcPr>
            <w:tcW w:w="900" w:type="dxa"/>
            <w:vAlign w:val="bottom"/>
          </w:tcPr>
          <w:p>
            <w:pPr>
              <w:jc w:val="right"/>
              <w:spacing w:after="0" w:line="156" w:lineRule="exact"/>
              <w:rPr>
                <w:sz w:val="20"/>
                <w:szCs w:val="20"/>
                <w:color w:val="auto"/>
              </w:rPr>
            </w:pPr>
            <w:r>
              <w:rPr>
                <w:rFonts w:ascii="Arial" w:cs="Arial" w:eastAsia="Arial" w:hAnsi="Arial"/>
                <w:sz w:val="18"/>
                <w:szCs w:val="18"/>
                <w:color w:val="auto"/>
              </w:rPr>
              <w:t>41,262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60" w:type="dxa"/>
            <w:vAlign w:val="bottom"/>
            <w:tcBorders>
              <w:top w:val="single" w:sz="8" w:color="auto"/>
              <w:bottom w:val="single" w:sz="8" w:color="CCEEFF"/>
            </w:tcBorders>
          </w:tcPr>
          <w:p>
            <w:pPr>
              <w:spacing w:after="0"/>
              <w:rPr>
                <w:sz w:val="3"/>
                <w:szCs w:val="3"/>
                <w:color w:val="auto"/>
              </w:rPr>
            </w:pPr>
          </w:p>
        </w:tc>
        <w:tc>
          <w:tcPr>
            <w:tcW w:w="3360" w:type="dxa"/>
            <w:vAlign w:val="bottom"/>
            <w:tcBorders>
              <w:bottom w:val="single" w:sz="8" w:color="CCEEFF"/>
            </w:tcBorders>
          </w:tcPr>
          <w:p>
            <w:pPr>
              <w:spacing w:after="0"/>
              <w:rPr>
                <w:sz w:val="3"/>
                <w:szCs w:val="3"/>
                <w:color w:val="auto"/>
              </w:rPr>
            </w:pPr>
          </w:p>
        </w:tc>
        <w:tc>
          <w:tcPr>
            <w:tcW w:w="50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5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174,977</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140,046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unaudited interim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160" w:type="dxa"/>
            <w:vAlign w:val="bottom"/>
          </w:tcPr>
          <w:p>
            <w:pPr>
              <w:jc w:val="right"/>
              <w:ind w:right="2430"/>
              <w:spacing w:after="0"/>
              <w:rPr>
                <w:sz w:val="20"/>
                <w:szCs w:val="20"/>
                <w:color w:val="auto"/>
              </w:rPr>
            </w:pPr>
            <w:r>
              <w:rPr>
                <w:rFonts w:ascii="Arial" w:cs="Arial" w:eastAsia="Arial" w:hAnsi="Arial"/>
                <w:sz w:val="18"/>
                <w:szCs w:val="18"/>
                <w:color w:val="auto"/>
              </w:rPr>
              <w:t>LIABILITIES AND SHAREHOLDERS’ EQUITY</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20" w:type="dxa"/>
            <w:vAlign w:val="bottom"/>
            <w:gridSpan w:val="5"/>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4"/>
          </w:tcPr>
          <w:p>
            <w:pPr>
              <w:spacing w:after="0"/>
              <w:rPr>
                <w:sz w:val="20"/>
                <w:szCs w:val="20"/>
                <w:color w:val="auto"/>
              </w:rPr>
            </w:pPr>
            <w:r>
              <w:rPr>
                <w:rFonts w:ascii="Arial" w:cs="Arial" w:eastAsia="Arial" w:hAnsi="Arial"/>
                <w:sz w:val="18"/>
                <w:szCs w:val="18"/>
                <w:color w:val="auto"/>
              </w:rPr>
              <w:t>Employees and payroll accruals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revenues and advances from customers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00" w:type="dxa"/>
            <w:vAlign w:val="bottom"/>
            <w:gridSpan w:val="4"/>
          </w:tcPr>
          <w:p>
            <w:pPr>
              <w:spacing w:after="0"/>
              <w:rPr>
                <w:sz w:val="20"/>
                <w:szCs w:val="20"/>
                <w:color w:val="auto"/>
              </w:rPr>
            </w:pPr>
            <w:r>
              <w:rPr>
                <w:rFonts w:ascii="Arial" w:cs="Arial" w:eastAsia="Arial" w:hAnsi="Arial"/>
                <w:sz w:val="18"/>
                <w:szCs w:val="18"/>
                <w:color w:val="auto"/>
              </w:rPr>
              <w:t>Other payables and accrued expenses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00" w:type="dxa"/>
            <w:vAlign w:val="bottom"/>
            <w:gridSpan w:val="4"/>
          </w:tcPr>
          <w:p>
            <w:pPr>
              <w:spacing w:after="0" w:line="156" w:lineRule="exact"/>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26,201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30,133</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60" w:type="dxa"/>
            <w:vAlign w:val="bottom"/>
            <w:tcBorders>
              <w:top w:val="single" w:sz="8" w:color="auto"/>
              <w:bottom w:val="single" w:sz="8" w:color="CCEEFF"/>
            </w:tcBorders>
          </w:tcPr>
          <w:p>
            <w:pPr>
              <w:spacing w:after="0"/>
              <w:rPr>
                <w:sz w:val="3"/>
                <w:szCs w:val="3"/>
                <w:color w:val="auto"/>
              </w:rPr>
            </w:pPr>
          </w:p>
        </w:tc>
        <w:tc>
          <w:tcPr>
            <w:tcW w:w="200" w:type="dxa"/>
            <w:vAlign w:val="bottom"/>
            <w:tcBorders>
              <w:top w:val="single" w:sz="8" w:color="auto"/>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1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4"/>
          </w:tcPr>
          <w:p>
            <w:pPr>
              <w:spacing w:after="0"/>
              <w:rPr>
                <w:sz w:val="20"/>
                <w:szCs w:val="20"/>
                <w:color w:val="auto"/>
              </w:rPr>
            </w:pPr>
            <w:r>
              <w:rPr>
                <w:rFonts w:ascii="Arial" w:cs="Arial" w:eastAsia="Arial" w:hAnsi="Arial"/>
                <w:sz w:val="18"/>
                <w:szCs w:val="18"/>
                <w:color w:val="auto"/>
              </w:rPr>
              <w:t>LONG TERM 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4"/>
          </w:tcPr>
          <w:p>
            <w:pPr>
              <w:spacing w:after="0"/>
              <w:rPr>
                <w:sz w:val="20"/>
                <w:szCs w:val="20"/>
                <w:color w:val="auto"/>
              </w:rPr>
            </w:pPr>
            <w:r>
              <w:rPr>
                <w:rFonts w:ascii="Arial" w:cs="Arial" w:eastAsia="Arial" w:hAnsi="Arial"/>
                <w:sz w:val="18"/>
                <w:szCs w:val="18"/>
                <w:color w:val="auto"/>
              </w:rPr>
              <w:t>Payment obligation related to acquisition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70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color w:val="auto"/>
              </w:rPr>
              <w:t>Total long-term liabilities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2,197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gridSpan w:val="4"/>
          </w:tcPr>
          <w:p>
            <w:pPr>
              <w:ind w:left="160"/>
              <w:spacing w:after="0" w:line="201" w:lineRule="exact"/>
              <w:rPr>
                <w:sz w:val="20"/>
                <w:szCs w:val="20"/>
                <w:color w:val="auto"/>
              </w:rPr>
            </w:pPr>
            <w:r>
              <w:rPr>
                <w:rFonts w:ascii="Arial" w:cs="Arial" w:eastAsia="Arial" w:hAnsi="Arial"/>
                <w:sz w:val="18"/>
                <w:szCs w:val="18"/>
                <w:color w:val="auto"/>
                <w:w w:val="90"/>
              </w:rPr>
              <w:t>Ordinary shares of NIS 0.01 par value – Authorized: 200,000,000 shares as of December 31, 2016 and June 30, 2017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540" w:type="dxa"/>
            <w:vAlign w:val="bottom"/>
            <w:gridSpan w:val="3"/>
          </w:tcPr>
          <w:p>
            <w:pPr>
              <w:ind w:left="180"/>
              <w:spacing w:after="0"/>
              <w:rPr>
                <w:sz w:val="20"/>
                <w:szCs w:val="20"/>
                <w:color w:val="auto"/>
              </w:rPr>
            </w:pPr>
            <w:r>
              <w:rPr>
                <w:rFonts w:ascii="Arial" w:cs="Arial" w:eastAsia="Arial" w:hAnsi="Arial"/>
                <w:sz w:val="18"/>
                <w:szCs w:val="18"/>
                <w:color w:val="auto"/>
                <w:w w:val="89"/>
              </w:rPr>
              <w:t>(Unaudited); Issued and Outstanding: 30,989,873 shares and 33,735,038 shares as of December 31, 2016 and June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540" w:type="dxa"/>
            <w:vAlign w:val="bottom"/>
            <w:gridSpan w:val="3"/>
          </w:tcPr>
          <w:p>
            <w:pPr>
              <w:ind w:left="180"/>
              <w:spacing w:after="0"/>
              <w:rPr>
                <w:sz w:val="20"/>
                <w:szCs w:val="20"/>
                <w:color w:val="auto"/>
              </w:rPr>
            </w:pPr>
            <w:r>
              <w:rPr>
                <w:rFonts w:ascii="Arial" w:cs="Arial" w:eastAsia="Arial" w:hAnsi="Arial"/>
                <w:sz w:val="18"/>
                <w:szCs w:val="18"/>
                <w:color w:val="auto"/>
              </w:rPr>
              <w:t>30, 2017 (Unaudited), respectively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Additional paid in capital</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4"/>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00" w:type="dxa"/>
            <w:vAlign w:val="bottom"/>
            <w:gridSpan w:val="4"/>
            <w:shd w:val="clear" w:color="auto" w:fill="CCEEFF"/>
          </w:tcPr>
          <w:p>
            <w:pPr>
              <w:ind w:left="160"/>
              <w:spacing w:after="0" w:line="156" w:lineRule="exact"/>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146,579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107,188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Borders>
              <w:bottom w:val="single" w:sz="8" w:color="CCEEFF"/>
            </w:tcBorders>
            <w:vMerge w:val="restart"/>
            <w:shd w:val="clear" w:color="auto" w:fill="CCEEFF"/>
          </w:tcPr>
          <w:p>
            <w:pPr>
              <w:spacing w:after="0"/>
              <w:rPr>
                <w:sz w:val="15"/>
                <w:szCs w:val="15"/>
                <w:color w:val="auto"/>
              </w:rPr>
            </w:pPr>
          </w:p>
        </w:tc>
        <w:tc>
          <w:tcPr>
            <w:tcW w:w="38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89"/>
              </w:rPr>
              <w:t>Total</w:t>
            </w:r>
          </w:p>
        </w:tc>
        <w:tc>
          <w:tcPr>
            <w:tcW w:w="8160" w:type="dxa"/>
            <w:vAlign w:val="bottom"/>
            <w:tcBorders>
              <w:bottom w:val="single" w:sz="8" w:color="CCEEFF"/>
            </w:tcBorders>
            <w:vMerge w:val="restart"/>
            <w:shd w:val="clear" w:color="auto" w:fill="CCEEFF"/>
          </w:tcPr>
          <w:p>
            <w:pPr>
              <w:jc w:val="right"/>
              <w:ind w:right="5550"/>
              <w:spacing w:after="0"/>
              <w:rPr>
                <w:sz w:val="20"/>
                <w:szCs w:val="20"/>
                <w:color w:val="auto"/>
              </w:rPr>
            </w:pPr>
            <w:r>
              <w:rPr>
                <w:rFonts w:ascii="Arial" w:cs="Arial" w:eastAsia="Arial" w:hAnsi="Arial"/>
                <w:sz w:val="18"/>
                <w:szCs w:val="18"/>
                <w:color w:val="auto"/>
                <w:w w:val="92"/>
              </w:rPr>
              <w:t>liabilities and shareholders’ equity</w:t>
            </w:r>
          </w:p>
        </w:tc>
        <w:tc>
          <w:tcPr>
            <w:tcW w:w="260" w:type="dxa"/>
            <w:vAlign w:val="bottom"/>
            <w:tcBorders>
              <w:bottom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174,977</w:t>
            </w:r>
          </w:p>
        </w:tc>
        <w:tc>
          <w:tcPr>
            <w:tcW w:w="360" w:type="dxa"/>
            <w:vAlign w:val="bottom"/>
            <w:tcBorders>
              <w:bottom w:val="single" w:sz="8" w:color="CCEEFF"/>
            </w:tcBorders>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140,046</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380" w:type="dxa"/>
            <w:vAlign w:val="bottom"/>
            <w:gridSpan w:val="2"/>
            <w:shd w:val="clear" w:color="auto" w:fill="CCEEFF"/>
          </w:tcPr>
          <w:p>
            <w:pPr>
              <w:spacing w:after="0"/>
              <w:rPr>
                <w:sz w:val="5"/>
                <w:szCs w:val="5"/>
                <w:color w:val="auto"/>
              </w:rPr>
            </w:pPr>
          </w:p>
        </w:tc>
        <w:tc>
          <w:tcPr>
            <w:tcW w:w="8160" w:type="dxa"/>
            <w:vAlign w:val="bottom"/>
            <w:vMerge w:val="continue"/>
            <w:shd w:val="clear" w:color="auto" w:fill="CCEEFF"/>
          </w:tcPr>
          <w:p>
            <w:pPr>
              <w:spacing w:after="0"/>
              <w:rPr>
                <w:sz w:val="5"/>
                <w:szCs w:val="5"/>
                <w:color w:val="auto"/>
              </w:rPr>
            </w:pPr>
          </w:p>
        </w:tc>
        <w:tc>
          <w:tcPr>
            <w:tcW w:w="260" w:type="dxa"/>
            <w:vAlign w:val="bottom"/>
            <w:gridSpan w:val="2"/>
            <w:vMerge w:val="continue"/>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360" w:type="dxa"/>
            <w:vAlign w:val="bottom"/>
            <w:gridSpan w:val="2"/>
            <w:vMerge w:val="continue"/>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8720" w:type="dxa"/>
            <w:vAlign w:val="bottom"/>
            <w:gridSpan w:val="5"/>
            <w:vMerge w:val="restart"/>
          </w:tcPr>
          <w:p>
            <w:pPr>
              <w:spacing w:after="0"/>
              <w:rPr>
                <w:sz w:val="20"/>
                <w:szCs w:val="20"/>
                <w:color w:val="auto"/>
              </w:rPr>
            </w:pPr>
            <w:r>
              <w:rPr>
                <w:rFonts w:ascii="Arial" w:cs="Arial" w:eastAsia="Arial" w:hAnsi="Arial"/>
                <w:sz w:val="18"/>
                <w:szCs w:val="18"/>
                <w:color w:val="auto"/>
              </w:rPr>
              <w:t>The accompanying notes are an integral part of the unaudited interim consolidated financial statements.</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72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8700" w:type="dxa"/>
            <w:vAlign w:val="bottom"/>
            <w:tcBorders>
              <w:bottom w:val="single" w:sz="8" w:color="auto"/>
            </w:tcBorders>
            <w:gridSpan w:val="4"/>
          </w:tcPr>
          <w:p>
            <w:pPr>
              <w:jc w:val="right"/>
              <w:ind w:right="287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per share data</w:t>
      </w:r>
    </w:p>
    <w:p>
      <w:pPr>
        <w:spacing w:after="0" w:line="225"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55,691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45,787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30,631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23,625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7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25,060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22,162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7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ind w:left="160"/>
              <w:spacing w:after="0"/>
              <w:rPr>
                <w:sz w:val="20"/>
                <w:szCs w:val="20"/>
                <w:color w:val="auto"/>
              </w:rPr>
            </w:pPr>
            <w:r>
              <w:rPr>
                <w:rFonts w:ascii="Arial" w:cs="Arial" w:eastAsia="Arial" w:hAnsi="Arial"/>
                <w:sz w:val="18"/>
                <w:szCs w:val="18"/>
                <w:color w:val="auto"/>
              </w:rPr>
              <w:t>Selling and marketing</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10,829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20" w:type="dxa"/>
            <w:vAlign w:val="bottom"/>
            <w:gridSpan w:val="2"/>
          </w:tcPr>
          <w:p>
            <w:pPr>
              <w:ind w:left="160"/>
              <w:spacing w:after="0"/>
              <w:rPr>
                <w:sz w:val="20"/>
                <w:szCs w:val="20"/>
                <w:color w:val="auto"/>
              </w:rPr>
            </w:pPr>
            <w:r>
              <w:rPr>
                <w:rFonts w:ascii="Arial" w:cs="Arial" w:eastAsia="Arial" w:hAnsi="Arial"/>
                <w:sz w:val="18"/>
                <w:szCs w:val="18"/>
                <w:color w:val="auto"/>
              </w:rPr>
              <w:t>Restructuring expenses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7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120" w:type="dxa"/>
            <w:vAlign w:val="bottom"/>
            <w:gridSpan w:val="2"/>
          </w:tcPr>
          <w:p>
            <w:pPr>
              <w:spacing w:after="0" w:line="156" w:lineRule="exact"/>
              <w:rPr>
                <w:sz w:val="20"/>
                <w:szCs w:val="20"/>
                <w:color w:val="auto"/>
              </w:rPr>
            </w:pPr>
            <w:r>
              <w:rPr>
                <w:rFonts w:ascii="Arial" w:cs="Arial" w:eastAsia="Arial" w:hAnsi="Arial"/>
                <w:sz w:val="18"/>
                <w:szCs w:val="18"/>
                <w:color w:val="auto"/>
              </w:rPr>
              <w:t>Total operating expenses</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140"/>
              <w:spacing w:after="0" w:line="156" w:lineRule="exact"/>
              <w:rPr>
                <w:sz w:val="20"/>
                <w:szCs w:val="20"/>
                <w:color w:val="auto"/>
              </w:rPr>
            </w:pPr>
            <w:r>
              <w:rPr>
                <w:rFonts w:ascii="Arial" w:cs="Arial" w:eastAsia="Arial" w:hAnsi="Arial"/>
                <w:sz w:val="18"/>
                <w:szCs w:val="18"/>
                <w:color w:val="auto"/>
              </w:rPr>
              <w:t>26,402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22,196</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60" w:type="dxa"/>
            <w:vAlign w:val="bottom"/>
            <w:tcBorders>
              <w:top w:val="single" w:sz="8" w:color="auto"/>
              <w:bottom w:val="single" w:sz="8" w:color="CCEEFF"/>
            </w:tcBorders>
          </w:tcPr>
          <w:p>
            <w:pPr>
              <w:spacing w:after="0"/>
              <w:rPr>
                <w:sz w:val="3"/>
                <w:szCs w:val="3"/>
                <w:color w:val="auto"/>
              </w:rPr>
            </w:pPr>
          </w:p>
        </w:tc>
        <w:tc>
          <w:tcPr>
            <w:tcW w:w="776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(1,342)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7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Finance income, net</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7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Income (loss) before taxes on income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(1,249)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(1,522</w:t>
            </w:r>
            <w:r>
              <w:rPr>
                <w:rFonts w:ascii="Arial" w:cs="Arial" w:eastAsia="Arial" w:hAnsi="Arial"/>
                <w:sz w:val="29"/>
                <w:szCs w:val="29"/>
                <w:color w:val="auto"/>
                <w:vertAlign w:val="superscript"/>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(353</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7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(0.05</w:t>
            </w:r>
            <w:r>
              <w:rPr>
                <w:rFonts w:ascii="Arial" w:cs="Arial" w:eastAsia="Arial" w:hAnsi="Arial"/>
                <w:sz w:val="29"/>
                <w:szCs w:val="29"/>
                <w:color w:val="auto"/>
                <w:vertAlign w:val="superscript"/>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(0.01</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7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8140" w:type="dxa"/>
            <w:vAlign w:val="bottom"/>
            <w:gridSpan w:val="3"/>
            <w:vMerge w:val="restart"/>
          </w:tcPr>
          <w:p>
            <w:pPr>
              <w:spacing w:after="0"/>
              <w:rPr>
                <w:sz w:val="20"/>
                <w:szCs w:val="20"/>
                <w:color w:val="auto"/>
              </w:rPr>
            </w:pPr>
            <w:r>
              <w:rPr>
                <w:rFonts w:ascii="Arial" w:cs="Arial" w:eastAsia="Arial" w:hAnsi="Arial"/>
                <w:sz w:val="18"/>
                <w:szCs w:val="18"/>
                <w:color w:val="auto"/>
                <w:w w:val="98"/>
              </w:rPr>
              <w:t>The accompanying notes are an integral part of the unaudited interim consolidated financial statements.</w:t>
            </w: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14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8120" w:type="dxa"/>
            <w:vAlign w:val="bottom"/>
            <w:tcBorders>
              <w:bottom w:val="single" w:sz="8" w:color="auto"/>
            </w:tcBorders>
            <w:gridSpan w:val="2"/>
          </w:tcPr>
          <w:p>
            <w:pPr>
              <w:ind w:left="5660"/>
              <w:spacing w:after="0"/>
              <w:rPr>
                <w:sz w:val="20"/>
                <w:szCs w:val="20"/>
                <w:color w:val="auto"/>
              </w:rPr>
            </w:pPr>
            <w:r>
              <w:rPr>
                <w:rFonts w:ascii="Arial" w:cs="Arial" w:eastAsia="Arial" w:hAnsi="Arial"/>
                <w:sz w:val="18"/>
                <w:szCs w:val="18"/>
                <w:color w:val="auto"/>
              </w:rPr>
              <w:t>4</w:t>
            </w: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76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 (loss):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Marketable securities: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Unrealized gains arising during the period</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 adjustments for gain included in net loss</w:t>
            </w:r>
          </w:p>
        </w:tc>
        <w:tc>
          <w:tcPr>
            <w:tcW w:w="1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w:t>
            </w:r>
          </w:p>
        </w:tc>
        <w:tc>
          <w:tcPr>
            <w:tcW w:w="1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flow hedges: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Unrealized gains arising during the period</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 adjustments for gain included in net loss</w:t>
            </w:r>
          </w:p>
        </w:tc>
        <w:tc>
          <w:tcPr>
            <w:tcW w:w="1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change</w:t>
            </w:r>
          </w:p>
        </w:tc>
        <w:tc>
          <w:tcPr>
            <w:tcW w:w="1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1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w:t>
            </w:r>
          </w:p>
        </w:tc>
        <w:tc>
          <w:tcPr>
            <w:tcW w:w="1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(1,334</w:t>
            </w:r>
            <w:r>
              <w:rPr>
                <w:rFonts w:ascii="Arial" w:cs="Arial" w:eastAsia="Arial" w:hAnsi="Arial"/>
                <w:sz w:val="29"/>
                <w:szCs w:val="29"/>
                <w:color w:val="auto"/>
                <w:vertAlign w:val="superscript"/>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 unaudited interim financial statements</w:t>
            </w:r>
          </w:p>
        </w:tc>
        <w:tc>
          <w:tcPr>
            <w:tcW w:w="1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64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7620" w:type="dxa"/>
            <w:vAlign w:val="bottom"/>
            <w:tcBorders>
              <w:bottom w:val="single" w:sz="8" w:color="auto"/>
            </w:tcBorders>
          </w:tcPr>
          <w:p>
            <w:pPr>
              <w:ind w:left="5660"/>
              <w:spacing w:after="0"/>
              <w:rPr>
                <w:sz w:val="20"/>
                <w:szCs w:val="20"/>
                <w:color w:val="auto"/>
              </w:rPr>
            </w:pPr>
            <w:r>
              <w:rPr>
                <w:rFonts w:ascii="Arial" w:cs="Arial" w:eastAsia="Arial" w:hAnsi="Arial"/>
                <w:sz w:val="18"/>
                <w:szCs w:val="18"/>
                <w:color w:val="auto"/>
              </w:rPr>
              <w:t>5</w:t>
            </w: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140" w:type="dxa"/>
            <w:vAlign w:val="bottom"/>
            <w:gridSpan w:val="5"/>
          </w:tcPr>
          <w:p>
            <w:pPr>
              <w:spacing w:after="0" w:line="189" w:lineRule="exact"/>
              <w:rPr>
                <w:sz w:val="20"/>
                <w:szCs w:val="20"/>
                <w:color w:val="auto"/>
              </w:rPr>
            </w:pPr>
            <w:r>
              <w:rPr>
                <w:rFonts w:ascii="Arial" w:cs="Arial" w:eastAsia="Arial" w:hAnsi="Arial"/>
                <w:sz w:val="18"/>
                <w:szCs w:val="18"/>
                <w:color w:val="auto"/>
              </w:rPr>
              <w:t>Cash flows used in operating activities:</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8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Customer incentive warrants deducted from revenues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Amortization of premium and accretion of discount on marketable securities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Realized gain on sale of marketable securities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Increase (decrease) in accrued severance pay, net</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Decrease (increase) in trade receivables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Decrease in other receivables and prepaid expenses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Increase in inventories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Change in deferred taxes, net</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Decrease (increase) in other assets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Decrease in trade payables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Decrease in employees and payroll accruals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Increase (decrease) in deferred revenues and advances from customers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Increase in other payables and accrued expenses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Increase (decrease) in other long-term liabilities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Loss from sale of property and equipment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Foreign currency translation loss on inter company balances with foreign subsidiaries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(595)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Net cash used in operating activities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(3,178)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(6,792)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120" w:type="dxa"/>
            <w:vAlign w:val="bottom"/>
            <w:gridSpan w:val="4"/>
          </w:tcPr>
          <w:p>
            <w:pPr>
              <w:spacing w:after="0" w:line="176" w:lineRule="exact"/>
              <w:rPr>
                <w:sz w:val="20"/>
                <w:szCs w:val="20"/>
                <w:color w:val="auto"/>
              </w:rPr>
            </w:pPr>
            <w:r>
              <w:rPr>
                <w:rFonts w:ascii="Arial" w:cs="Arial" w:eastAsia="Arial" w:hAnsi="Arial"/>
                <w:sz w:val="18"/>
                <w:szCs w:val="18"/>
                <w:color w:val="auto"/>
              </w:rPr>
              <w:t>Cash flows used in investing activities:</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Purchase of property and equipment</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(3,431)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Proceeds from bank deposits, net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Proceeds from maturity of marketable securities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6,740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Proceeds from sale of marketable securities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Purchase of marketable securities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(70,648)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(7,131)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Net cash used in investing activities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(29,027)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120" w:type="dxa"/>
            <w:vAlign w:val="bottom"/>
            <w:gridSpan w:val="4"/>
          </w:tcPr>
          <w:p>
            <w:pPr>
              <w:spacing w:after="0" w:line="176" w:lineRule="exact"/>
              <w:rPr>
                <w:sz w:val="20"/>
                <w:szCs w:val="20"/>
                <w:color w:val="auto"/>
              </w:rPr>
            </w:pPr>
            <w:r>
              <w:rPr>
                <w:rFonts w:ascii="Arial" w:cs="Arial" w:eastAsia="Arial" w:hAnsi="Arial"/>
                <w:sz w:val="18"/>
                <w:szCs w:val="18"/>
                <w:color w:val="auto"/>
              </w:rPr>
              <w:t>Cash flows provided by financing activities:</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8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Proceeds from issuance of ordinary shares in a follow on offering, net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Exercise of employee stock options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Payment of contingent consideration</w:t>
            </w: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9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35,024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9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Foreign currency translation adjustments on cash and cash equivalents</w:t>
            </w: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9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(7,161)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22,789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18,464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8120" w:type="dxa"/>
            <w:vAlign w:val="bottom"/>
            <w:gridSpan w:val="4"/>
          </w:tcPr>
          <w:p>
            <w:pPr>
              <w:spacing w:after="0"/>
              <w:rPr>
                <w:sz w:val="20"/>
                <w:szCs w:val="20"/>
                <w:color w:val="auto"/>
              </w:rPr>
            </w:pPr>
            <w:r>
              <w:rPr>
                <w:rFonts w:ascii="Arial" w:cs="Arial" w:eastAsia="Arial" w:hAnsi="Arial"/>
                <w:sz w:val="18"/>
                <w:szCs w:val="18"/>
                <w:color w:val="auto"/>
              </w:rPr>
              <w:t>Cash and cash equivalents at the end of the period</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25,707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11,309</w:t>
            </w:r>
          </w:p>
        </w:tc>
        <w:tc>
          <w:tcPr>
            <w:tcW w:w="0" w:type="dxa"/>
            <w:vAlign w:val="bottom"/>
          </w:tcPr>
          <w:p>
            <w:pPr>
              <w:spacing w:after="0"/>
              <w:rPr>
                <w:sz w:val="1"/>
                <w:szCs w:val="1"/>
                <w:color w:val="auto"/>
              </w:rPr>
            </w:pPr>
          </w:p>
        </w:tc>
      </w:tr>
      <w:tr>
        <w:trPr>
          <w:trHeight w:val="21"/>
        </w:trPr>
        <w:tc>
          <w:tcPr>
            <w:tcW w:w="8140" w:type="dxa"/>
            <w:vAlign w:val="bottom"/>
            <w:gridSpan w:val="5"/>
            <w:vMerge w:val="restart"/>
          </w:tcPr>
          <w:p>
            <w:pPr>
              <w:spacing w:after="0"/>
              <w:rPr>
                <w:sz w:val="20"/>
                <w:szCs w:val="20"/>
                <w:color w:val="auto"/>
              </w:rPr>
            </w:pPr>
            <w:r>
              <w:rPr>
                <w:rFonts w:ascii="Arial" w:cs="Arial" w:eastAsia="Arial" w:hAnsi="Arial"/>
                <w:sz w:val="18"/>
                <w:szCs w:val="18"/>
                <w:color w:val="auto"/>
                <w:w w:val="98"/>
              </w:rPr>
              <w:t>The accompanying notes are an integral part of the unaudited interim consolidated financial statements.</w:t>
            </w: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140" w:type="dxa"/>
            <w:vAlign w:val="bottom"/>
            <w:gridSpan w:val="5"/>
            <w:vMerge w:val="continue"/>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8120" w:type="dxa"/>
            <w:vAlign w:val="bottom"/>
            <w:tcBorders>
              <w:bottom w:val="single" w:sz="8" w:color="auto"/>
            </w:tcBorders>
            <w:gridSpan w:val="4"/>
          </w:tcPr>
          <w:p>
            <w:pPr>
              <w:jc w:val="right"/>
              <w:ind w:right="2380"/>
              <w:spacing w:after="0"/>
              <w:rPr>
                <w:sz w:val="20"/>
                <w:szCs w:val="20"/>
                <w:color w:val="auto"/>
              </w:rPr>
            </w:pPr>
            <w:r>
              <w:rPr>
                <w:rFonts w:ascii="Arial" w:cs="Arial" w:eastAsia="Arial" w:hAnsi="Arial"/>
                <w:sz w:val="18"/>
                <w:szCs w:val="18"/>
                <w:color w:val="auto"/>
              </w:rPr>
              <w:t>6</w:t>
            </w: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3"/>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8140" w:type="dxa"/>
            <w:vAlign w:val="bottom"/>
            <w:gridSpan w:val="3"/>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120" w:type="dxa"/>
            <w:vAlign w:val="bottom"/>
            <w:tcBorders>
              <w:top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acquired in credit</w:t>
            </w:r>
          </w:p>
        </w:tc>
        <w:tc>
          <w:tcPr>
            <w:tcW w:w="14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 transferred to be used as property and equipment</w:t>
            </w:r>
          </w:p>
        </w:tc>
        <w:tc>
          <w:tcPr>
            <w:tcW w:w="14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8140" w:type="dxa"/>
            <w:vAlign w:val="bottom"/>
            <w:gridSpan w:val="3"/>
            <w:vMerge w:val="restart"/>
          </w:tcPr>
          <w:p>
            <w:pPr>
              <w:spacing w:after="0"/>
              <w:rPr>
                <w:sz w:val="20"/>
                <w:szCs w:val="20"/>
                <w:color w:val="auto"/>
              </w:rPr>
            </w:pPr>
            <w:r>
              <w:rPr>
                <w:rFonts w:ascii="Arial" w:cs="Arial" w:eastAsia="Arial" w:hAnsi="Arial"/>
                <w:sz w:val="18"/>
                <w:szCs w:val="18"/>
                <w:color w:val="auto"/>
                <w:w w:val="98"/>
              </w:rPr>
              <w:t>The accompanying notes are an integral part of the unaudited interim consolidated financial statements.</w:t>
            </w:r>
          </w:p>
        </w:tc>
        <w:tc>
          <w:tcPr>
            <w:tcW w:w="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14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8120" w:type="dxa"/>
            <w:vAlign w:val="bottom"/>
            <w:tcBorders>
              <w:bottom w:val="single" w:sz="8" w:color="auto"/>
            </w:tcBorders>
            <w:gridSpan w:val="2"/>
          </w:tcPr>
          <w:p>
            <w:pPr>
              <w:jc w:val="right"/>
              <w:ind w:right="2380"/>
              <w:spacing w:after="0"/>
              <w:rPr>
                <w:sz w:val="20"/>
                <w:szCs w:val="20"/>
                <w:color w:val="auto"/>
              </w:rPr>
            </w:pPr>
            <w:r>
              <w:rPr>
                <w:rFonts w:ascii="Arial" w:cs="Arial" w:eastAsia="Arial" w:hAnsi="Arial"/>
                <w:sz w:val="18"/>
                <w:szCs w:val="18"/>
                <w:color w:val="auto"/>
              </w:rPr>
              <w:t>7</w:t>
            </w:r>
          </w:p>
        </w:tc>
        <w:tc>
          <w:tcPr>
            <w:tcW w:w="6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1" w:name="page12"/>
    <w:bookmarkEnd w:id="11"/>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w:t>
        <w:tab/>
        <w:t>GENERAL</w:t>
      </w:r>
    </w:p>
    <w:p>
      <w:pPr>
        <w:spacing w:after="0" w:line="229" w:lineRule="exact"/>
        <w:rPr>
          <w:sz w:val="20"/>
          <w:szCs w:val="20"/>
          <w:color w:val="auto"/>
        </w:rPr>
      </w:pPr>
    </w:p>
    <w:p>
      <w:pPr>
        <w:jc w:val="both"/>
        <w:ind w:left="1360" w:hanging="380"/>
        <w:spacing w:after="0" w:line="312" w:lineRule="auto"/>
        <w:tabs>
          <w:tab w:leader="none" w:pos="1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Kornit Digital Ltd. (the “Company”) was incorporated in 2002 under the laws of the State of Israel. The Company and its subsidiaries develop, design and market digital printing solutions for the global printed textile industry. The Company’s and its subsidiaries’ solutions are based on their proprietary digital textile printing systems, ink and other consumables, associated software and value added services.</w:t>
      </w:r>
    </w:p>
    <w:p>
      <w:pPr>
        <w:spacing w:after="0" w:line="173" w:lineRule="exact"/>
        <w:rPr>
          <w:rFonts w:ascii="Arial" w:cs="Arial" w:eastAsia="Arial" w:hAnsi="Arial"/>
          <w:sz w:val="16"/>
          <w:szCs w:val="16"/>
          <w:color w:val="auto"/>
        </w:rPr>
      </w:pPr>
    </w:p>
    <w:p>
      <w:pPr>
        <w:jc w:val="both"/>
        <w:ind w:left="1360" w:hanging="380"/>
        <w:spacing w:after="0" w:line="264" w:lineRule="auto"/>
        <w:tabs>
          <w:tab w:leader="none" w:pos="1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has established wholly-owned subsidiaries in Israel, the United States, Germany and Hong Kong. The Company’s subsidiaries are engaged primarily in sales, and marketing, except for the Israeli subsidiary which is engaged primarily in research and development and manufacturing.</w:t>
      </w:r>
    </w:p>
    <w:p>
      <w:pPr>
        <w:spacing w:after="0" w:line="181" w:lineRule="exact"/>
        <w:rPr>
          <w:rFonts w:ascii="Arial" w:cs="Arial" w:eastAsia="Arial" w:hAnsi="Arial"/>
          <w:sz w:val="18"/>
          <w:szCs w:val="18"/>
          <w:color w:val="auto"/>
        </w:rPr>
      </w:pPr>
    </w:p>
    <w:p>
      <w:pPr>
        <w:jc w:val="both"/>
        <w:ind w:left="1360" w:hanging="380"/>
        <w:spacing w:after="0" w:line="257" w:lineRule="auto"/>
        <w:tabs>
          <w:tab w:leader="none" w:pos="1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January 31, 2017 the Company closed a follow on and secondary offering where by 8,625,000 ordinary shares were sold in the transaction to the public, 2,300,000 were sold by the Company and 6,325,000 were sold by the Selling Shareholders (inclusive of 1,125,000 ordinary shares pursuant to the full exercise of an overallotment option granted to the underwriters). The gross proceeds received by the Company from the offering were $36,058, net of underwriting discounts and commissions, offering expenses to be paid by the Company were $981.</w:t>
      </w:r>
    </w:p>
    <w:p>
      <w:pPr>
        <w:spacing w:after="0" w:line="188" w:lineRule="exact"/>
        <w:rPr>
          <w:rFonts w:ascii="Arial" w:cs="Arial" w:eastAsia="Arial" w:hAnsi="Arial"/>
          <w:sz w:val="18"/>
          <w:szCs w:val="18"/>
          <w:color w:val="auto"/>
        </w:rPr>
      </w:pPr>
    </w:p>
    <w:p>
      <w:pPr>
        <w:ind w:left="1360" w:hanging="380"/>
        <w:spacing w:after="0" w:line="277" w:lineRule="auto"/>
        <w:tabs>
          <w:tab w:leader="none" w:pos="1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May 15, 2017 the Company made an underwritten secondary offering of 4,250,000 ordinary shares by the Company’s largest shareholder. The Company did not receive any of the proceeds from the sale of the ordinary shares.</w:t>
      </w:r>
    </w:p>
    <w:p>
      <w:pPr>
        <w:spacing w:after="0" w:line="170" w:lineRule="exact"/>
        <w:rPr>
          <w:rFonts w:ascii="Arial" w:cs="Arial" w:eastAsia="Arial" w:hAnsi="Arial"/>
          <w:sz w:val="18"/>
          <w:szCs w:val="18"/>
          <w:color w:val="auto"/>
        </w:rPr>
      </w:pPr>
    </w:p>
    <w:p>
      <w:pPr>
        <w:ind w:left="1360" w:hanging="380"/>
        <w:spacing w:after="0" w:line="277" w:lineRule="auto"/>
        <w:tabs>
          <w:tab w:leader="none" w:pos="1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During the six months ended June 30, 2017 and 2016, 29% and 48% of the Company's revenues were driven from two and three major customers, respectively.</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w:t>
      </w:r>
    </w:p>
    <w:p>
      <w:pPr>
        <w:spacing w:after="0" w:line="229" w:lineRule="exact"/>
        <w:rPr>
          <w:sz w:val="20"/>
          <w:szCs w:val="20"/>
          <w:color w:val="auto"/>
        </w:rPr>
      </w:pPr>
    </w:p>
    <w:p>
      <w:pPr>
        <w:ind w:left="1360" w:hanging="380"/>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Unaudited interim consolidated financial statements:</w:t>
      </w:r>
    </w:p>
    <w:p>
      <w:pPr>
        <w:spacing w:after="0" w:line="252" w:lineRule="exact"/>
        <w:rPr>
          <w:rFonts w:ascii="Arial" w:cs="Arial" w:eastAsia="Arial" w:hAnsi="Arial"/>
          <w:sz w:val="18"/>
          <w:szCs w:val="18"/>
          <w:color w:val="auto"/>
        </w:rPr>
      </w:pPr>
    </w:p>
    <w:p>
      <w:pPr>
        <w:jc w:val="both"/>
        <w:ind w:left="1360"/>
        <w:spacing w:after="0" w:line="259" w:lineRule="auto"/>
        <w:rPr>
          <w:rFonts w:ascii="Arial" w:cs="Arial" w:eastAsia="Arial" w:hAnsi="Arial"/>
          <w:sz w:val="18"/>
          <w:szCs w:val="18"/>
          <w:color w:val="auto"/>
        </w:rPr>
      </w:pPr>
      <w:r>
        <w:rPr>
          <w:rFonts w:ascii="Arial" w:cs="Arial" w:eastAsia="Arial" w:hAnsi="Arial"/>
          <w:sz w:val="18"/>
          <w:szCs w:val="18"/>
          <w:color w:val="auto"/>
        </w:rPr>
        <w:t>The accompanying unaudited interim consolidated financial statements have been prepared in accordance with U.S. generally accepted accounting principles (“U.S. GAAP”) for interim financial information. In the opinion of management, the unaudited interim consolidated financial statements include all adjustments of a normal recurring nature necessary for a fair presentation of the Company’s consolidated financial statements.</w:t>
      </w:r>
    </w:p>
    <w:p>
      <w:pPr>
        <w:spacing w:after="0" w:line="186" w:lineRule="exact"/>
        <w:rPr>
          <w:rFonts w:ascii="Arial" w:cs="Arial" w:eastAsia="Arial" w:hAnsi="Arial"/>
          <w:sz w:val="18"/>
          <w:szCs w:val="18"/>
          <w:color w:val="auto"/>
        </w:rPr>
      </w:pPr>
    </w:p>
    <w:p>
      <w:pPr>
        <w:ind w:left="1360"/>
        <w:spacing w:after="0" w:line="308" w:lineRule="auto"/>
        <w:rPr>
          <w:rFonts w:ascii="Arial" w:cs="Arial" w:eastAsia="Arial" w:hAnsi="Arial"/>
          <w:sz w:val="18"/>
          <w:szCs w:val="18"/>
          <w:color w:val="auto"/>
        </w:rPr>
      </w:pPr>
      <w:r>
        <w:rPr>
          <w:rFonts w:ascii="Arial" w:cs="Arial" w:eastAsia="Arial" w:hAnsi="Arial"/>
          <w:sz w:val="17"/>
          <w:szCs w:val="17"/>
          <w:color w:val="auto"/>
        </w:rPr>
        <w:t>The balance sheet at December 31, 2016 has been derived from the audited consolidated financial statements of the Company at that date but does not include all of information and footnotes required by U.S. GAAP for complete financial statements.</w:t>
      </w:r>
    </w:p>
    <w:p>
      <w:pPr>
        <w:spacing w:after="0" w:line="146" w:lineRule="exact"/>
        <w:rPr>
          <w:rFonts w:ascii="Arial" w:cs="Arial" w:eastAsia="Arial" w:hAnsi="Arial"/>
          <w:sz w:val="18"/>
          <w:szCs w:val="18"/>
          <w:color w:val="auto"/>
        </w:rPr>
      </w:pPr>
    </w:p>
    <w:p>
      <w:pPr>
        <w:jc w:val="both"/>
        <w:ind w:left="1360"/>
        <w:spacing w:after="0" w:line="279" w:lineRule="auto"/>
        <w:rPr>
          <w:rFonts w:ascii="Arial" w:cs="Arial" w:eastAsia="Arial" w:hAnsi="Arial"/>
          <w:sz w:val="18"/>
          <w:szCs w:val="18"/>
          <w:color w:val="auto"/>
        </w:rPr>
      </w:pPr>
      <w:r>
        <w:rPr>
          <w:rFonts w:ascii="Arial" w:cs="Arial" w:eastAsia="Arial" w:hAnsi="Arial"/>
          <w:sz w:val="17"/>
          <w:szCs w:val="17"/>
          <w:color w:val="auto"/>
        </w:rPr>
        <w:t>The accompanying unaudited interim consolidated financial statements should be read in conjunction with the audited consolidated financial statements and accompanying notes for the year ended December 31, 2016, included in the Company’s Annual Report on Form 20-F filed with the U.S. Securities and Exchange Commission (“SEC”) on March 30, 2017. Results for the six months ended June 30, 2017 are not necessarily indicative of results that may be expected for the year ending December 31, 2017.</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52" w:lineRule="exact"/>
        <w:rPr>
          <w:rFonts w:ascii="Arial" w:cs="Arial" w:eastAsia="Arial" w:hAnsi="Arial"/>
          <w:sz w:val="18"/>
          <w:szCs w:val="18"/>
          <w:color w:val="auto"/>
        </w:rPr>
      </w:pPr>
    </w:p>
    <w:p>
      <w:pPr>
        <w:jc w:val="both"/>
        <w:ind w:left="1360"/>
        <w:spacing w:after="0" w:line="257" w:lineRule="auto"/>
        <w:rPr>
          <w:rFonts w:ascii="Arial" w:cs="Arial" w:eastAsia="Arial" w:hAnsi="Arial"/>
          <w:sz w:val="18"/>
          <w:szCs w:val="18"/>
          <w:color w:val="auto"/>
        </w:rPr>
      </w:pPr>
      <w:r>
        <w:rPr>
          <w:rFonts w:ascii="Arial" w:cs="Arial" w:eastAsia="Arial" w:hAnsi="Arial"/>
          <w:sz w:val="18"/>
          <w:szCs w:val="18"/>
          <w:color w:val="auto"/>
        </w:rPr>
        <w:t>The preparation of the consolidated financial statements in conformity with U.S. GAAP requires management to make estimates, judgments and assumptions that affect the reported amounts of assets and liabilities and the disclosure of contingent assets and liabilities at the date of the consolidated financial statements and the reported amounts of revenues and expenses during the period. The Company’s management believes that the estimates, judgments and assumptions used are reasonable based upon information available at the time they are made. Actual results could differ from those estimates.</w:t>
      </w:r>
    </w:p>
    <w:p>
      <w:pPr>
        <w:spacing w:after="0" w:line="188" w:lineRule="exact"/>
        <w:rPr>
          <w:rFonts w:ascii="Arial" w:cs="Arial" w:eastAsia="Arial" w:hAnsi="Arial"/>
          <w:sz w:val="18"/>
          <w:szCs w:val="18"/>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Impact of recently issued accounting standard:</w:t>
      </w:r>
    </w:p>
    <w:p>
      <w:pPr>
        <w:spacing w:after="0" w:line="225" w:lineRule="exact"/>
        <w:rPr>
          <w:rFonts w:ascii="Arial" w:cs="Arial" w:eastAsia="Arial" w:hAnsi="Arial"/>
          <w:sz w:val="18"/>
          <w:szCs w:val="18"/>
          <w:color w:val="auto"/>
        </w:rPr>
      </w:pPr>
    </w:p>
    <w:p>
      <w:pPr>
        <w:jc w:val="both"/>
        <w:ind w:left="1740" w:hanging="381"/>
        <w:spacing w:after="0" w:line="270" w:lineRule="auto"/>
        <w:tabs>
          <w:tab w:leader="none" w:pos="1740" w:val="left"/>
        </w:tabs>
        <w:numPr>
          <w:ilvl w:val="1"/>
          <w:numId w:val="3"/>
        </w:numPr>
        <w:rPr>
          <w:rFonts w:ascii="Arial" w:cs="Arial" w:eastAsia="Arial" w:hAnsi="Arial"/>
          <w:sz w:val="17"/>
          <w:szCs w:val="17"/>
          <w:color w:val="auto"/>
        </w:rPr>
      </w:pPr>
      <w:r>
        <w:rPr>
          <w:rFonts w:ascii="Arial" w:cs="Arial" w:eastAsia="Arial" w:hAnsi="Arial"/>
          <w:sz w:val="17"/>
          <w:szCs w:val="17"/>
          <w:color w:val="auto"/>
        </w:rPr>
        <w:t>In January 2017, the FASB issued ASU No. 2017-04, “Intangibles - Goodwill and Other (Topic 350): Simplifying the Test for Goodwill Impairment.” This ASU eliminates the requirement to measure the implied fair value of goodwill by assigning the fair value of a reporting unit to all assets and liabilities within that unit (the “Step 2 test”) from the goodwill impairment test. Instead, if the carrying amount of a reporting unit exceeds its fair value, an impairment loss is recognized in an amount equal to that excess, limited by the amount of goodwill in that reporting unit. An entity still has the option to perform the qualitative assessment for a reporting unit to determine if the qualitative impairment test is necessary. This new standard should be applied on a prospective basis and the nature of and reason for the change in accounting principle should be disclosed upon transition. The amendments in this update should be adopted for annual or any interim goodwill impairment tests in fiscal years beginning after December 15, 2019. Early adoption is permitted on testing dates after January 1, 2017. The Company is currently evaluating the impact of adopting the new guidance on the consolidated financial statements and the timing of adoption.</w:t>
      </w:r>
    </w:p>
    <w:p>
      <w:pPr>
        <w:spacing w:after="0" w:line="177" w:lineRule="exact"/>
        <w:rPr>
          <w:rFonts w:ascii="Arial" w:cs="Arial" w:eastAsia="Arial" w:hAnsi="Arial"/>
          <w:sz w:val="17"/>
          <w:szCs w:val="17"/>
          <w:color w:val="auto"/>
        </w:rPr>
      </w:pPr>
    </w:p>
    <w:p>
      <w:pPr>
        <w:jc w:val="both"/>
        <w:ind w:left="1740" w:hanging="381"/>
        <w:spacing w:after="0" w:line="257" w:lineRule="auto"/>
        <w:tabs>
          <w:tab w:leader="none" w:pos="1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 January 2017, the FASB issued ASU No. 2017-01 Business Combinations (Topic 805): Clarifying the Definition of a Business. The update clarifies the definition of a business with the objective of adding guidance to assist entities with evaluating whether transactions should be accounted for as acquisitions (or disposals) of assets or businesses. The update is effective for fiscal years beginning after December 15, 2017, and interim periods within those fiscal years. The Company is currently evaluating the effect of this standard on future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740" w:hanging="381"/>
        <w:spacing w:after="0" w:line="290" w:lineRule="auto"/>
        <w:tabs>
          <w:tab w:leader="none" w:pos="1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March 2016, the Financial Accounting Standards Board (“FASB”) issued Accounting Standards Update (“ASU”) 2016-09— Compensation—Stock Compensation—Improvements to Employee Share-Based Payment Accounting. The new guidance changes the accounting for certain aspects of stock-based payments to employees and requires excess tax benefits and tax deficiencies to be recorded in the income statement when the awards vest or are settled. In addition, cash flows related to excess tax benefits will no longer be separately classified as a financing activity apart from other income tax cash flows. ASU 2016-09 also allows us to repurchase more of an employee’s shares for tax withholding purposes without triggering liability accounting, clarifies that all cash payments made on an employee’s behalf for withheld shares should be presented as a financing activity on our cash flows statement, and provides an accounting policy election to account for forfeitures as they occur.</w:t>
      </w:r>
    </w:p>
    <w:p>
      <w:pPr>
        <w:spacing w:after="0" w:line="166" w:lineRule="exact"/>
        <w:rPr>
          <w:sz w:val="20"/>
          <w:szCs w:val="20"/>
          <w:color w:val="auto"/>
        </w:rPr>
      </w:pPr>
    </w:p>
    <w:p>
      <w:pPr>
        <w:jc w:val="both"/>
        <w:ind w:left="1760"/>
        <w:spacing w:after="0" w:line="312" w:lineRule="auto"/>
        <w:rPr>
          <w:sz w:val="20"/>
          <w:szCs w:val="20"/>
          <w:color w:val="auto"/>
        </w:rPr>
      </w:pPr>
      <w:r>
        <w:rPr>
          <w:rFonts w:ascii="Arial" w:cs="Arial" w:eastAsia="Arial" w:hAnsi="Arial"/>
          <w:sz w:val="16"/>
          <w:szCs w:val="16"/>
          <w:color w:val="auto"/>
        </w:rPr>
        <w:t>We elected to adopt the new guidance on January 1, 2017. Under the new guidance, we have elected to change our policy and have started to recognize forfeitures of awards as they occur. The change in forfeiture policy use a modified retrospective transition method. We recorded a cumulative-effect adjustment to decrease retained earnings by $69 upon transition on January 1, 2017.</w:t>
      </w:r>
    </w:p>
    <w:p>
      <w:pPr>
        <w:spacing w:after="0" w:line="147" w:lineRule="exact"/>
        <w:rPr>
          <w:sz w:val="20"/>
          <w:szCs w:val="20"/>
          <w:color w:val="auto"/>
        </w:rPr>
      </w:pPr>
    </w:p>
    <w:p>
      <w:pPr>
        <w:jc w:val="both"/>
        <w:ind w:left="1740" w:hanging="381"/>
        <w:spacing w:after="0" w:line="255" w:lineRule="auto"/>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Leases - In February 2016, FASB issued Accounting Standard Update (“ASU”) No. 2016-02, “Leases”. The updated standard aims to increase transparency and comparability among organizations by requiring lessees to recognize lease assets and lease liabilities on the balance sheet and requiring disclosure of key information about leasing arrangements. This update is effective for annual periods beginning after December 15, 2018, and interim periods within those annual periods; early adoption is permitted and modified retrospective application is required. The Company is in the process of evaluating this guidance to determine the impact it will have on its consolidated financial statements.</w:t>
      </w:r>
    </w:p>
    <w:p>
      <w:pPr>
        <w:spacing w:after="0" w:line="193" w:lineRule="exact"/>
        <w:rPr>
          <w:rFonts w:ascii="Arial" w:cs="Arial" w:eastAsia="Arial" w:hAnsi="Arial"/>
          <w:sz w:val="18"/>
          <w:szCs w:val="18"/>
          <w:color w:val="auto"/>
        </w:rPr>
      </w:pPr>
    </w:p>
    <w:p>
      <w:pPr>
        <w:jc w:val="both"/>
        <w:ind w:left="1740" w:hanging="381"/>
        <w:spacing w:after="0" w:line="257" w:lineRule="auto"/>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Instruments - In January 2016, the FASB issued ASU No. 2016-01, Financial Instruments – Overall (Subtopic 825-10): Recognition and Measurement of Financial Assets and Financial Liabilities (“ASU 2016-01”), which updates certain aspects of recognition, measurement, presentation and disclosure of financial instruments. ASU 2016-01 will be effective for the Company beginning in its first quarter of 2019. The Company does not believe the adoption of ASU 2016-01 will have a material impact on its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740" w:hanging="381"/>
        <w:spacing w:after="0" w:line="270" w:lineRule="auto"/>
        <w:tabs>
          <w:tab w:leader="none" w:pos="1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Revenue Recognition - In May 2014, the FASB issued an ASU that provides a comprehensive model for recognizing revenue with customers. This update clarifies and replaces all existing revenue recognition guidance within U.S. GAAP and may be adopted retrospectively for all periods presented or adopted using a modified retrospective approach. This update is effective for annual and interim periods beginning after December 15, 2016. In July 2015, FASB deferred the effective date by one year to December 15, 2017 (beginning with the Company’s first quarter in 2018) and permitting early adoption of the standard, but not before the original effective date of December 15, 2016. The Company will adopt the new standard in the first quarter of 2018 and expects to apply the modified retrospective approach. The Company currently does not believe there will be a material impact to its revenues upon adoption. However, the Company continues to evaluate the impact to its revenues related to the pending adoption of Topic 606 and its preliminary assessments are subject to change.</w:t>
      </w:r>
    </w:p>
    <w:p>
      <w:pPr>
        <w:spacing w:after="0" w:line="181" w:lineRule="exact"/>
        <w:rPr>
          <w:rFonts w:ascii="Arial" w:cs="Arial" w:eastAsia="Arial" w:hAnsi="Arial"/>
          <w:sz w:val="17"/>
          <w:szCs w:val="17"/>
          <w:color w:val="auto"/>
        </w:rPr>
      </w:pPr>
    </w:p>
    <w:p>
      <w:pPr>
        <w:jc w:val="both"/>
        <w:ind w:left="1740" w:hanging="381"/>
        <w:spacing w:after="0" w:line="270" w:lineRule="auto"/>
        <w:tabs>
          <w:tab w:leader="none" w:pos="1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June 2016, the FASB issued ASU 2016-13 “Measurement of Credit Losses on Financial Instruments” requiring an allowance to be recorded for all expected credit losses for financial assets. The allowance for credit losses is based on historical information, current conditions and reasonable and supportable forecasts. The new standard also makes revisions to the other than temporary impairment model for available-for-sale debt securities. Disclosures of credit quality indicators in relation to the amortized cost of financing receivables are further disaggregated by year of origination. The new accounting guidance is effective for interim and annual periods beginning after December 15, 2019 with early adoption permitted for interim and annual periods beginning after December 15, 2018. The amendments will be applied through a cumulative-effect adjustment to retained earnings as of the beginning of the first reporting period in which the guidance is effective. The Company is analyzing the impact of this new standard and, at this time, cannot estimate the impact of adoption on its net income.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p>
      <w:pPr>
        <w:spacing w:after="0" w:line="13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3:-</w:t>
        <w:tab/>
        <w:t>MARKETABLE SECURITIES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following is a summary of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Matures within one year:</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Corporate debentures</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Matures after one year through three years:</w:t>
      </w:r>
    </w:p>
    <w:p>
      <w:pPr>
        <w:spacing w:after="0" w:line="3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Corporate debentures</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Government debentures</w:t>
      </w:r>
    </w:p>
    <w:p>
      <w:pPr>
        <w:spacing w:after="0" w:line="25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-127635</wp:posOffset>
            </wp:positionV>
            <wp:extent cx="6595110" cy="3422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95110" cy="3422015"/>
                    </a:xfrm>
                    <a:prstGeom prst="rect">
                      <a:avLst/>
                    </a:prstGeom>
                    <a:noFill/>
                  </pic:spPr>
                </pic:pic>
              </a:graphicData>
            </a:graphic>
          </wp:anchor>
        </w:drawing>
      </w:r>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center"/>
              <w:ind w:right="90"/>
              <w:spacing w:after="0" w:line="205"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center"/>
              <w:ind w:right="360"/>
              <w:spacing w:after="0" w:line="205" w:lineRule="exact"/>
              <w:rPr>
                <w:sz w:val="20"/>
                <w:szCs w:val="20"/>
                <w:color w:val="auto"/>
              </w:rPr>
            </w:pPr>
            <w:r>
              <w:rPr>
                <w:rFonts w:ascii="Arial" w:cs="Arial" w:eastAsia="Arial" w:hAnsi="Arial"/>
                <w:sz w:val="18"/>
                <w:szCs w:val="18"/>
                <w:b w:val="1"/>
                <w:bCs w:val="1"/>
                <w:color w:val="auto"/>
                <w:w w:val="88"/>
              </w:rPr>
              <w:t>Gross</w:t>
            </w: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r>
      <w:tr>
        <w:trPr>
          <w:trHeight w:val="216"/>
        </w:trPr>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Amortized</w:t>
            </w:r>
          </w:p>
        </w:tc>
        <w:tc>
          <w:tcPr>
            <w:tcW w:w="2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unrealized</w:t>
            </w:r>
          </w:p>
        </w:tc>
        <w:tc>
          <w:tcPr>
            <w:tcW w:w="180" w:type="dxa"/>
            <w:vAlign w:val="bottom"/>
          </w:tcPr>
          <w:p>
            <w:pPr>
              <w:spacing w:after="0"/>
              <w:rPr>
                <w:sz w:val="18"/>
                <w:szCs w:val="18"/>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unrealized</w:t>
            </w:r>
          </w:p>
        </w:tc>
        <w:tc>
          <w:tcPr>
            <w:tcW w:w="180" w:type="dxa"/>
            <w:vAlign w:val="bottom"/>
          </w:tcPr>
          <w:p>
            <w:pPr>
              <w:spacing w:after="0"/>
              <w:rPr>
                <w:sz w:val="18"/>
                <w:szCs w:val="18"/>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Fair</w:t>
            </w:r>
          </w:p>
        </w:tc>
      </w:tr>
      <w:tr>
        <w:trPr>
          <w:trHeight w:val="241"/>
        </w:trPr>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gain</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77"/>
              </w:rPr>
              <w:t>loss</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value</w:t>
            </w:r>
          </w:p>
        </w:tc>
      </w:tr>
      <w:tr>
        <w:trPr>
          <w:trHeight w:val="432"/>
        </w:trPr>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2,663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2,657</w:t>
            </w:r>
          </w:p>
        </w:tc>
      </w:tr>
      <w:tr>
        <w:trPr>
          <w:trHeight w:val="418"/>
        </w:trPr>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49,843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49,800</w:t>
            </w:r>
          </w:p>
        </w:tc>
      </w:tr>
      <w:tr>
        <w:trPr>
          <w:trHeight w:val="244"/>
        </w:trPr>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11,166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11,155</w:t>
            </w:r>
          </w:p>
        </w:tc>
      </w:tr>
      <w:tr>
        <w:trPr>
          <w:trHeight w:val="27"/>
        </w:trPr>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r>
      <w:tr>
        <w:trPr>
          <w:trHeight w:val="480"/>
        </w:trPr>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63,672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r>
              <w:rPr>
                <w:rFonts w:ascii="Arial" w:cs="Arial" w:eastAsia="Arial" w:hAnsi="Arial"/>
                <w:sz w:val="36"/>
                <w:szCs w:val="36"/>
                <w:color w:val="auto"/>
                <w:vertAlign w:val="superscript"/>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63,612</w:t>
            </w:r>
          </w:p>
        </w:tc>
      </w:tr>
      <w:tr>
        <w:trPr>
          <w:trHeight w:val="21"/>
        </w:trPr>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60" w:space="720"/>
            <w:col w:w="4340"/>
          </w:cols>
          <w:pgMar w:left="240" w:top="904" w:right="239" w:bottom="1440" w:gutter="0" w:footer="0" w:header="0"/>
          <w:type w:val="continuous"/>
        </w:sectPr>
      </w:pPr>
    </w:p>
    <w:p>
      <w:pPr>
        <w:spacing w:after="0" w:line="11" w:lineRule="exact"/>
        <w:rPr>
          <w:sz w:val="20"/>
          <w:szCs w:val="20"/>
          <w:color w:val="auto"/>
        </w:rPr>
      </w:pPr>
    </w:p>
    <w:tbl>
      <w:tblPr>
        <w:tblLayout w:type="fixed"/>
        <w:tblInd w:w="1040" w:type="dxa"/>
        <w:tblCellMar>
          <w:top w:w="0" w:type="dxa"/>
          <w:left w:w="0" w:type="dxa"/>
          <w:bottom w:w="0" w:type="dxa"/>
          <w:right w:w="0" w:type="dxa"/>
        </w:tblCellMar>
      </w:tblPr>
      <w:tr>
        <w:trPr>
          <w:trHeight w:val="241"/>
        </w:trPr>
        <w:tc>
          <w:tcPr>
            <w:tcW w:w="5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8"/>
                <w:szCs w:val="18"/>
                <w:b w:val="1"/>
                <w:bCs w:val="1"/>
                <w:color w:val="auto"/>
                <w:w w:val="96"/>
              </w:rPr>
              <w:t>December 31, 2016</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8"/>
              </w:rPr>
              <w:t>Gross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Amortized</w:t>
            </w:r>
          </w:p>
        </w:tc>
        <w:tc>
          <w:tcPr>
            <w:tcW w:w="2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unrealized</w:t>
            </w:r>
          </w:p>
        </w:tc>
        <w:tc>
          <w:tcPr>
            <w:tcW w:w="180" w:type="dxa"/>
            <w:vAlign w:val="bottom"/>
          </w:tcPr>
          <w:p>
            <w:pPr>
              <w:spacing w:after="0"/>
              <w:rPr>
                <w:sz w:val="18"/>
                <w:szCs w:val="18"/>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unrealized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Fair</w:t>
            </w:r>
          </w:p>
        </w:tc>
      </w:tr>
      <w:tr>
        <w:trPr>
          <w:trHeight w:val="241"/>
        </w:trPr>
        <w:tc>
          <w:tcPr>
            <w:tcW w:w="5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gain</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77"/>
              </w:rPr>
              <w:t>loss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value</w:t>
            </w:r>
          </w:p>
        </w:tc>
      </w:tr>
      <w:tr>
        <w:trPr>
          <w:trHeight w:val="216"/>
        </w:trPr>
        <w:tc>
          <w:tcPr>
            <w:tcW w:w="5060" w:type="dxa"/>
            <w:vAlign w:val="bottom"/>
          </w:tcPr>
          <w:p>
            <w:pPr>
              <w:ind w:left="960"/>
              <w:spacing w:after="0"/>
              <w:rPr>
                <w:sz w:val="20"/>
                <w:szCs w:val="20"/>
                <w:color w:val="auto"/>
              </w:rPr>
            </w:pPr>
            <w:r>
              <w:rPr>
                <w:rFonts w:ascii="Arial" w:cs="Arial" w:eastAsia="Arial" w:hAnsi="Arial"/>
                <w:sz w:val="18"/>
                <w:szCs w:val="18"/>
                <w:color w:val="auto"/>
              </w:rPr>
              <w:t>Matures within one year:</w:t>
            </w:r>
          </w:p>
        </w:tc>
        <w:tc>
          <w:tcPr>
            <w:tcW w:w="9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Corporate debentures</w:t>
            </w: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ind w:left="960"/>
              <w:spacing w:after="0"/>
              <w:rPr>
                <w:sz w:val="20"/>
                <w:szCs w:val="20"/>
                <w:color w:val="auto"/>
              </w:rPr>
            </w:pPr>
            <w:r>
              <w:rPr>
                <w:rFonts w:ascii="Arial" w:cs="Arial" w:eastAsia="Arial" w:hAnsi="Arial"/>
                <w:sz w:val="18"/>
                <w:szCs w:val="18"/>
                <w:color w:val="auto"/>
              </w:rPr>
              <w:t>Matures after one year through three years: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0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Corporate debentures</w:t>
            </w: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21,798</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21,724</w:t>
            </w:r>
          </w:p>
        </w:tc>
        <w:tc>
          <w:tcPr>
            <w:tcW w:w="100" w:type="dxa"/>
            <w:vAlign w:val="bottom"/>
            <w:shd w:val="clear" w:color="auto" w:fill="CCEEFF"/>
          </w:tcPr>
          <w:p>
            <w:pPr>
              <w:spacing w:after="0"/>
              <w:rPr>
                <w:sz w:val="20"/>
                <w:szCs w:val="20"/>
                <w:color w:val="auto"/>
              </w:rPr>
            </w:pPr>
          </w:p>
        </w:tc>
      </w:tr>
      <w:tr>
        <w:trPr>
          <w:trHeight w:val="216"/>
        </w:trPr>
        <w:tc>
          <w:tcPr>
            <w:tcW w:w="50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50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line="256" w:lineRule="exact"/>
              <w:rPr>
                <w:sz w:val="20"/>
                <w:szCs w:val="20"/>
                <w:color w:val="auto"/>
              </w:rPr>
            </w:pPr>
            <w:r>
              <w:rPr>
                <w:rFonts w:ascii="Arial" w:cs="Arial" w:eastAsia="Arial" w:hAnsi="Arial"/>
                <w:sz w:val="16"/>
                <w:szCs w:val="16"/>
                <w:color w:val="auto"/>
              </w:rPr>
              <w:t>(107</w:t>
            </w:r>
            <w:r>
              <w:rPr>
                <w:rFonts w:ascii="Arial" w:cs="Arial" w:eastAsia="Arial" w:hAnsi="Arial"/>
                <w:sz w:val="29"/>
                <w:szCs w:val="29"/>
                <w:color w:val="auto"/>
                <w:vertAlign w:val="superscript"/>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38,224</w:t>
            </w:r>
          </w:p>
        </w:tc>
        <w:tc>
          <w:tcPr>
            <w:tcW w:w="100" w:type="dxa"/>
            <w:vAlign w:val="bottom"/>
            <w:shd w:val="clear" w:color="auto" w:fill="CCEEFF"/>
          </w:tcPr>
          <w:p>
            <w:pPr>
              <w:spacing w:after="0"/>
              <w:rPr>
                <w:sz w:val="22"/>
                <w:szCs w:val="22"/>
                <w:color w:val="auto"/>
              </w:rPr>
            </w:pPr>
          </w:p>
        </w:tc>
      </w:tr>
      <w:tr>
        <w:trPr>
          <w:trHeight w:val="21"/>
        </w:trPr>
        <w:tc>
          <w:tcPr>
            <w:tcW w:w="5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 investments with an unrealized loss as of June 30, 2017 are with continuous unrealized losses for less than 12 months.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FAIR VALUE MEASUREMENTS</w:t>
      </w:r>
    </w:p>
    <w:p>
      <w:pPr>
        <w:spacing w:after="0" w:line="229"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color w:val="auto"/>
        </w:rPr>
        <w:t>FASB Accounting Standards Codification (“ASC”) No. 820, “Fair Value Measurements and Disclosures” defines fair value and establishes a framework for measuring fair value. According to ASC No. 820, fair value is an exit price, representing the amount that would be received for selling an asset or paid for the transfer of a liability in an orderly transaction between market participants. As such, fair value is a market-based measurement that should be determined based on assumptions that market participants would use in pricing an asset or a liability. A three-tier fair value hierarchy is established as a basis for considering such assumptions and for inputs used in the valuation methodologies in measuring fair value:</w:t>
      </w:r>
    </w:p>
    <w:p>
      <w:pPr>
        <w:spacing w:after="0" w:line="193" w:lineRule="exact"/>
        <w:rPr>
          <w:sz w:val="20"/>
          <w:szCs w:val="20"/>
          <w:color w:val="auto"/>
        </w:rPr>
      </w:pPr>
    </w:p>
    <w:p>
      <w:pPr>
        <w:jc w:val="both"/>
        <w:ind w:left="2060" w:hanging="1079"/>
        <w:spacing w:after="0" w:line="277" w:lineRule="auto"/>
        <w:tabs>
          <w:tab w:leader="none" w:pos="2040" w:val="left"/>
        </w:tabs>
        <w:rPr>
          <w:sz w:val="20"/>
          <w:szCs w:val="20"/>
          <w:color w:val="auto"/>
        </w:rPr>
      </w:pPr>
      <w:r>
        <w:rPr>
          <w:rFonts w:ascii="Arial" w:cs="Arial" w:eastAsia="Arial" w:hAnsi="Arial"/>
          <w:sz w:val="18"/>
          <w:szCs w:val="18"/>
          <w:color w:val="auto"/>
        </w:rPr>
        <w:t>Level I:</w:t>
      </w:r>
      <w:r>
        <w:rPr>
          <w:sz w:val="20"/>
          <w:szCs w:val="20"/>
          <w:color w:val="auto"/>
        </w:rPr>
        <w:tab/>
      </w:r>
      <w:r>
        <w:rPr>
          <w:rFonts w:ascii="Arial" w:cs="Arial" w:eastAsia="Arial" w:hAnsi="Arial"/>
          <w:sz w:val="18"/>
          <w:szCs w:val="18"/>
          <w:color w:val="auto"/>
        </w:rPr>
        <w:t>Unadjusted quoted prices in active markets that are accessible on the measurement date for identical, unrestricted assets or liabilities;</w:t>
      </w:r>
    </w:p>
    <w:p>
      <w:pPr>
        <w:spacing w:after="0" w:line="170" w:lineRule="exact"/>
        <w:rPr>
          <w:sz w:val="20"/>
          <w:szCs w:val="20"/>
          <w:color w:val="auto"/>
        </w:rPr>
      </w:pPr>
    </w:p>
    <w:p>
      <w:pPr>
        <w:jc w:val="both"/>
        <w:ind w:left="2060" w:right="20" w:hanging="1079"/>
        <w:spacing w:after="0" w:line="277" w:lineRule="auto"/>
        <w:tabs>
          <w:tab w:leader="none" w:pos="2040" w:val="left"/>
        </w:tabs>
        <w:rPr>
          <w:sz w:val="20"/>
          <w:szCs w:val="20"/>
          <w:color w:val="auto"/>
        </w:rPr>
      </w:pPr>
      <w:r>
        <w:rPr>
          <w:rFonts w:ascii="Arial" w:cs="Arial" w:eastAsia="Arial" w:hAnsi="Arial"/>
          <w:sz w:val="18"/>
          <w:szCs w:val="18"/>
          <w:color w:val="auto"/>
        </w:rPr>
        <w:t>Level II:</w:t>
      </w:r>
      <w:r>
        <w:rPr>
          <w:sz w:val="20"/>
          <w:szCs w:val="20"/>
          <w:color w:val="auto"/>
        </w:rPr>
        <w:tab/>
      </w:r>
      <w:r>
        <w:rPr>
          <w:rFonts w:ascii="Arial" w:cs="Arial" w:eastAsia="Arial" w:hAnsi="Arial"/>
          <w:sz w:val="18"/>
          <w:szCs w:val="18"/>
          <w:color w:val="auto"/>
        </w:rPr>
        <w:t>Quoted prices in markets that are not active, or inputs that are observable, either directly or indirectly, for substantially the full term of the asset or liability; and</w:t>
      </w:r>
    </w:p>
    <w:p>
      <w:pPr>
        <w:spacing w:after="0" w:line="170" w:lineRule="exact"/>
        <w:rPr>
          <w:sz w:val="20"/>
          <w:szCs w:val="20"/>
          <w:color w:val="auto"/>
        </w:rPr>
      </w:pPr>
    </w:p>
    <w:p>
      <w:pPr>
        <w:jc w:val="both"/>
        <w:ind w:left="2060" w:hanging="1079"/>
        <w:spacing w:after="0" w:line="277" w:lineRule="auto"/>
        <w:tabs>
          <w:tab w:leader="none" w:pos="2040" w:val="left"/>
        </w:tabs>
        <w:rPr>
          <w:sz w:val="20"/>
          <w:szCs w:val="20"/>
          <w:color w:val="auto"/>
        </w:rPr>
      </w:pPr>
      <w:r>
        <w:rPr>
          <w:rFonts w:ascii="Arial" w:cs="Arial" w:eastAsia="Arial" w:hAnsi="Arial"/>
          <w:sz w:val="18"/>
          <w:szCs w:val="18"/>
          <w:color w:val="auto"/>
        </w:rPr>
        <w:t>Level III:</w:t>
      </w:r>
      <w:r>
        <w:rPr>
          <w:sz w:val="20"/>
          <w:szCs w:val="20"/>
          <w:color w:val="auto"/>
        </w:rPr>
        <w:tab/>
      </w:r>
      <w:r>
        <w:rPr>
          <w:rFonts w:ascii="Arial" w:cs="Arial" w:eastAsia="Arial" w:hAnsi="Arial"/>
          <w:sz w:val="18"/>
          <w:szCs w:val="18"/>
          <w:color w:val="auto"/>
        </w:rPr>
        <w:t>Prices or valuation techniques that require inputs that are both significant to the fair value measurement and unobservable (supported by little or no market activity).</w:t>
      </w:r>
    </w:p>
    <w:p>
      <w:pPr>
        <w:spacing w:after="0" w:line="170"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The Company measures its marketable securities, foreign currency derivative contracts and the contingent payments obligation in connection with acquisition (the “Contingent Payments”) at fair value. Marketable securities and foreign currency derivative contracts are classified within Level II as the valuation inputs are based on quoted prices and market observable data of similar instruments. The Contingent Payments are classified within level III as the valuation inputs are based on significant inputs not observable in the market.</w:t>
      </w:r>
    </w:p>
    <w:p>
      <w:pPr>
        <w:spacing w:after="0" w:line="171"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The below table sets forth the Company’s assets and liabilities that were measured at fair value as of June 30, 2017 and December 31, 2016 by level within the fair value hierarchy.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Assets and liabilities are classified in their entirety based on the lowest level of input that is significant to the fair value measurement.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8"/>
                <w:szCs w:val="18"/>
                <w:b w:val="1"/>
                <w:bCs w:val="1"/>
                <w:color w:val="auto"/>
              </w:rPr>
              <w:t>As of June 30, 2017</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8"/>
                <w:szCs w:val="18"/>
                <w:b w:val="1"/>
                <w:bCs w:val="1"/>
                <w:color w:val="auto"/>
              </w:rPr>
              <w:t>Unaudited</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620" w:type="dxa"/>
            <w:vAlign w:val="bottom"/>
          </w:tcPr>
          <w:p>
            <w:pPr>
              <w:spacing w:after="0"/>
              <w:rPr>
                <w:sz w:val="20"/>
                <w:szCs w:val="20"/>
                <w:color w:val="auto"/>
              </w:rPr>
            </w:pPr>
          </w:p>
        </w:tc>
        <w:tc>
          <w:tcPr>
            <w:tcW w:w="860" w:type="dxa"/>
            <w:vAlign w:val="bottom"/>
          </w:tcPr>
          <w:p>
            <w:pPr>
              <w:ind w:left="22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980"/>
              <w:spacing w:after="0"/>
              <w:rPr>
                <w:sz w:val="20"/>
                <w:szCs w:val="20"/>
                <w:color w:val="auto"/>
              </w:rPr>
            </w:pPr>
            <w:r>
              <w:rPr>
                <w:rFonts w:ascii="Arial" w:cs="Arial" w:eastAsia="Arial" w:hAnsi="Arial"/>
                <w:sz w:val="18"/>
                <w:szCs w:val="18"/>
                <w:color w:val="auto"/>
              </w:rPr>
              <w:t>Assets:</w:t>
            </w: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Marketable securities</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63,612</w:t>
            </w:r>
          </w:p>
        </w:tc>
        <w:tc>
          <w:tcPr>
            <w:tcW w:w="0" w:type="dxa"/>
            <w:vAlign w:val="bottom"/>
          </w:tcPr>
          <w:p>
            <w:pPr>
              <w:spacing w:after="0"/>
              <w:rPr>
                <w:sz w:val="1"/>
                <w:szCs w:val="1"/>
                <w:color w:val="auto"/>
              </w:rPr>
            </w:pPr>
          </w:p>
        </w:tc>
      </w:tr>
      <w:tr>
        <w:trPr>
          <w:trHeight w:val="230"/>
        </w:trPr>
        <w:tc>
          <w:tcPr>
            <w:tcW w:w="6620" w:type="dxa"/>
            <w:vAlign w:val="bottom"/>
          </w:tcPr>
          <w:p>
            <w:pPr>
              <w:ind w:left="980"/>
              <w:spacing w:after="0"/>
              <w:rPr>
                <w:sz w:val="20"/>
                <w:szCs w:val="20"/>
                <w:color w:val="auto"/>
              </w:rPr>
            </w:pPr>
            <w:r>
              <w:rPr>
                <w:rFonts w:ascii="Arial" w:cs="Arial" w:eastAsia="Arial" w:hAnsi="Arial"/>
                <w:sz w:val="18"/>
                <w:szCs w:val="18"/>
                <w:color w:val="auto"/>
              </w:rPr>
              <w:t>Foreign currency derivative contracts</w:t>
            </w:r>
          </w:p>
        </w:tc>
        <w:tc>
          <w:tcPr>
            <w:tcW w:w="860" w:type="dxa"/>
            <w:vAlign w:val="bottom"/>
          </w:tcPr>
          <w:p>
            <w:pPr>
              <w:spacing w:after="0"/>
              <w:rPr>
                <w:sz w:val="19"/>
                <w:szCs w:val="19"/>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6620" w:type="dxa"/>
            <w:vAlign w:val="bottom"/>
            <w:vMerge w:val="restart"/>
            <w:shd w:val="clear" w:color="auto" w:fill="CCEEFF"/>
          </w:tcPr>
          <w:p>
            <w:pPr>
              <w:ind w:left="980"/>
              <w:spacing w:after="0"/>
              <w:rPr>
                <w:sz w:val="20"/>
                <w:szCs w:val="20"/>
                <w:color w:val="auto"/>
              </w:rPr>
            </w:pPr>
            <w:r>
              <w:rPr>
                <w:rFonts w:ascii="Arial" w:cs="Arial" w:eastAsia="Arial" w:hAnsi="Arial"/>
                <w:sz w:val="18"/>
                <w:szCs w:val="18"/>
                <w:color w:val="auto"/>
              </w:rPr>
              <w:t>Total financial assets</w:t>
            </w:r>
          </w:p>
        </w:tc>
        <w:tc>
          <w:tcPr>
            <w:tcW w:w="8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vMerge w:val="continue"/>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63,700</w:t>
            </w:r>
          </w:p>
        </w:tc>
        <w:tc>
          <w:tcPr>
            <w:tcW w:w="0" w:type="dxa"/>
            <w:vAlign w:val="bottom"/>
          </w:tcPr>
          <w:p>
            <w:pPr>
              <w:spacing w:after="0"/>
              <w:rPr>
                <w:sz w:val="1"/>
                <w:szCs w:val="1"/>
                <w:color w:val="auto"/>
              </w:rPr>
            </w:pPr>
          </w:p>
        </w:tc>
      </w:tr>
      <w:tr>
        <w:trPr>
          <w:trHeight w:val="21"/>
        </w:trPr>
        <w:tc>
          <w:tcPr>
            <w:tcW w:w="6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980"/>
              <w:spacing w:after="0"/>
              <w:rPr>
                <w:sz w:val="20"/>
                <w:szCs w:val="20"/>
                <w:color w:val="auto"/>
              </w:rPr>
            </w:pPr>
            <w:r>
              <w:rPr>
                <w:rFonts w:ascii="Arial" w:cs="Arial" w:eastAsia="Arial" w:hAnsi="Arial"/>
                <w:sz w:val="18"/>
                <w:szCs w:val="18"/>
                <w:color w:val="auto"/>
              </w:rPr>
              <w:t>Payment obligation related to acquisition</w:t>
            </w:r>
          </w:p>
        </w:tc>
        <w:tc>
          <w:tcPr>
            <w:tcW w:w="860" w:type="dxa"/>
            <w:vAlign w:val="bottom"/>
          </w:tcPr>
          <w:p>
            <w:pPr>
              <w:spacing w:after="0"/>
              <w:rPr>
                <w:sz w:val="19"/>
                <w:szCs w:val="19"/>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1,151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7"/>
        </w:trPr>
        <w:tc>
          <w:tcPr>
            <w:tcW w:w="6620" w:type="dxa"/>
            <w:vAlign w:val="bottom"/>
            <w:vMerge w:val="restart"/>
            <w:shd w:val="clear" w:color="auto" w:fill="CCEEFF"/>
          </w:tcPr>
          <w:p>
            <w:pPr>
              <w:ind w:left="980"/>
              <w:spacing w:after="0"/>
              <w:rPr>
                <w:sz w:val="20"/>
                <w:szCs w:val="20"/>
                <w:color w:val="auto"/>
              </w:rPr>
            </w:pPr>
            <w:r>
              <w:rPr>
                <w:rFonts w:ascii="Arial" w:cs="Arial" w:eastAsia="Arial" w:hAnsi="Arial"/>
                <w:sz w:val="18"/>
                <w:szCs w:val="18"/>
                <w:color w:val="auto"/>
              </w:rPr>
              <w:t>Total liabilities</w:t>
            </w:r>
          </w:p>
        </w:tc>
        <w:tc>
          <w:tcPr>
            <w:tcW w:w="8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vMerge w:val="continue"/>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
        </w:trPr>
        <w:tc>
          <w:tcPr>
            <w:tcW w:w="6620" w:type="dxa"/>
            <w:vAlign w:val="bottom"/>
            <w:tcBorders>
              <w:top w:val="single" w:sz="8" w:color="CCEEFF"/>
              <w:bottom w:val="single" w:sz="8" w:color="CCEEFF"/>
            </w:tcBorders>
            <w:vMerge w:val="restart"/>
          </w:tcPr>
          <w:p>
            <w:pPr>
              <w:ind w:left="5640"/>
              <w:spacing w:after="0"/>
              <w:rPr>
                <w:sz w:val="20"/>
                <w:szCs w:val="20"/>
                <w:color w:val="auto"/>
              </w:rPr>
            </w:pPr>
            <w:r>
              <w:rPr>
                <w:rFonts w:ascii="Arial" w:cs="Arial" w:eastAsia="Arial" w:hAnsi="Arial"/>
                <w:sz w:val="18"/>
                <w:szCs w:val="18"/>
                <w:color w:val="auto"/>
              </w:rPr>
              <w:t>13</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662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-2177415</wp:posOffset>
            </wp:positionV>
            <wp:extent cx="617220" cy="17240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220" cy="172402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FAIR VALUE MEASUREMENTS (Cont.)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8"/>
                <w:szCs w:val="18"/>
                <w:b w:val="1"/>
                <w:bCs w:val="1"/>
                <w:color w:val="auto"/>
                <w:w w:val="89"/>
              </w:rPr>
              <w:t>As of December 31, 2016</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20" w:type="dxa"/>
            <w:vAlign w:val="bottom"/>
          </w:tcPr>
          <w:p>
            <w:pPr>
              <w:spacing w:after="0"/>
              <w:rPr>
                <w:sz w:val="20"/>
                <w:szCs w:val="20"/>
                <w:color w:val="auto"/>
              </w:rPr>
            </w:pPr>
          </w:p>
        </w:tc>
        <w:tc>
          <w:tcPr>
            <w:tcW w:w="860" w:type="dxa"/>
            <w:vAlign w:val="bottom"/>
          </w:tcPr>
          <w:p>
            <w:pPr>
              <w:ind w:left="22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980"/>
              <w:spacing w:after="0"/>
              <w:rPr>
                <w:sz w:val="20"/>
                <w:szCs w:val="20"/>
                <w:color w:val="auto"/>
              </w:rPr>
            </w:pPr>
            <w:r>
              <w:rPr>
                <w:rFonts w:ascii="Arial" w:cs="Arial" w:eastAsia="Arial" w:hAnsi="Arial"/>
                <w:sz w:val="18"/>
                <w:szCs w:val="18"/>
                <w:color w:val="auto"/>
              </w:rPr>
              <w:t>Assets:</w:t>
            </w: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Marketable securities</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980"/>
              <w:spacing w:after="0"/>
              <w:rPr>
                <w:sz w:val="20"/>
                <w:szCs w:val="20"/>
                <w:color w:val="auto"/>
              </w:rPr>
            </w:pPr>
            <w:r>
              <w:rPr>
                <w:rFonts w:ascii="Arial" w:cs="Arial" w:eastAsia="Arial" w:hAnsi="Arial"/>
                <w:sz w:val="18"/>
                <w:szCs w:val="18"/>
                <w:color w:val="auto"/>
              </w:rPr>
              <w:t>Foreign currency derivative contracts</w:t>
            </w:r>
          </w:p>
        </w:tc>
        <w:tc>
          <w:tcPr>
            <w:tcW w:w="860" w:type="dxa"/>
            <w:vAlign w:val="bottom"/>
          </w:tcPr>
          <w:p>
            <w:pPr>
              <w:spacing w:after="0"/>
              <w:rPr>
                <w:sz w:val="19"/>
                <w:szCs w:val="19"/>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20" w:type="dxa"/>
            <w:vAlign w:val="bottom"/>
            <w:vMerge w:val="restart"/>
            <w:shd w:val="clear" w:color="auto" w:fill="CCEEFF"/>
          </w:tcPr>
          <w:p>
            <w:pPr>
              <w:ind w:left="980"/>
              <w:spacing w:after="0"/>
              <w:rPr>
                <w:sz w:val="20"/>
                <w:szCs w:val="20"/>
                <w:color w:val="auto"/>
              </w:rPr>
            </w:pPr>
            <w:r>
              <w:rPr>
                <w:rFonts w:ascii="Arial" w:cs="Arial" w:eastAsia="Arial" w:hAnsi="Arial"/>
                <w:sz w:val="18"/>
                <w:szCs w:val="18"/>
                <w:color w:val="auto"/>
              </w:rPr>
              <w:t>Total financial assets</w:t>
            </w:r>
          </w:p>
        </w:tc>
        <w:tc>
          <w:tcPr>
            <w:tcW w:w="8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vMerge w:val="continue"/>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38,227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980"/>
              <w:spacing w:after="0"/>
              <w:rPr>
                <w:sz w:val="20"/>
                <w:szCs w:val="20"/>
                <w:color w:val="auto"/>
              </w:rPr>
            </w:pPr>
            <w:r>
              <w:rPr>
                <w:rFonts w:ascii="Arial" w:cs="Arial" w:eastAsia="Arial" w:hAnsi="Arial"/>
                <w:sz w:val="18"/>
                <w:szCs w:val="18"/>
                <w:color w:val="auto"/>
              </w:rPr>
              <w:t>Payment obligation related to acquisition</w:t>
            </w:r>
          </w:p>
        </w:tc>
        <w:tc>
          <w:tcPr>
            <w:tcW w:w="860" w:type="dxa"/>
            <w:vAlign w:val="bottom"/>
          </w:tcPr>
          <w:p>
            <w:pPr>
              <w:spacing w:after="0"/>
              <w:rPr>
                <w:sz w:val="19"/>
                <w:szCs w:val="19"/>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1,070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20" w:type="dxa"/>
            <w:vAlign w:val="bottom"/>
            <w:vMerge w:val="restart"/>
            <w:shd w:val="clear" w:color="auto" w:fill="CCEEFF"/>
          </w:tcPr>
          <w:p>
            <w:pPr>
              <w:ind w:left="980"/>
              <w:spacing w:after="0"/>
              <w:rPr>
                <w:sz w:val="20"/>
                <w:szCs w:val="20"/>
                <w:color w:val="auto"/>
              </w:rPr>
            </w:pPr>
            <w:r>
              <w:rPr>
                <w:rFonts w:ascii="Arial" w:cs="Arial" w:eastAsia="Arial" w:hAnsi="Arial"/>
                <w:sz w:val="18"/>
                <w:szCs w:val="18"/>
                <w:color w:val="auto"/>
              </w:rPr>
              <w:t>Total liabilities</w:t>
            </w:r>
          </w:p>
        </w:tc>
        <w:tc>
          <w:tcPr>
            <w:tcW w:w="8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vMerge w:val="continue"/>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6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960" w:type="dxa"/>
            <w:vAlign w:val="bottom"/>
            <w:gridSpan w:val="8"/>
          </w:tcPr>
          <w:p>
            <w:pPr>
              <w:ind w:left="980"/>
              <w:spacing w:after="0"/>
              <w:rPr>
                <w:sz w:val="20"/>
                <w:szCs w:val="20"/>
                <w:color w:val="auto"/>
              </w:rPr>
            </w:pPr>
            <w:r>
              <w:rPr>
                <w:rFonts w:ascii="Arial" w:cs="Arial" w:eastAsia="Arial" w:hAnsi="Arial"/>
                <w:sz w:val="18"/>
                <w:szCs w:val="18"/>
                <w:color w:val="auto"/>
                <w:w w:val="97"/>
              </w:rPr>
              <w:t>The following table set forth the change of fair value measurements that are categorized within Level 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Total fair value as of January 1, 2017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80" w:type="dxa"/>
            <w:vAlign w:val="bottom"/>
            <w:gridSpan w:val="2"/>
          </w:tcPr>
          <w:p>
            <w:pPr>
              <w:ind w:left="980"/>
              <w:spacing w:after="0"/>
              <w:rPr>
                <w:sz w:val="20"/>
                <w:szCs w:val="20"/>
                <w:color w:val="auto"/>
              </w:rPr>
            </w:pPr>
            <w:r>
              <w:rPr>
                <w:rFonts w:ascii="Arial" w:cs="Arial" w:eastAsia="Arial" w:hAnsi="Arial"/>
                <w:sz w:val="18"/>
                <w:szCs w:val="18"/>
                <w:color w:val="auto"/>
              </w:rPr>
              <w:t>Accretion of payments obligation</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480" w:type="dxa"/>
            <w:vAlign w:val="bottom"/>
            <w:gridSpan w:val="2"/>
          </w:tcPr>
          <w:p>
            <w:pPr>
              <w:ind w:left="980"/>
              <w:spacing w:after="0"/>
              <w:rPr>
                <w:sz w:val="20"/>
                <w:szCs w:val="20"/>
                <w:color w:val="auto"/>
              </w:rPr>
            </w:pPr>
            <w:r>
              <w:rPr>
                <w:rFonts w:ascii="Arial" w:cs="Arial" w:eastAsia="Arial" w:hAnsi="Arial"/>
                <w:sz w:val="18"/>
                <w:szCs w:val="18"/>
                <w:color w:val="auto"/>
              </w:rPr>
              <w:t>Total fair value as of June 30, 2017 (Unaudited)</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-2649220</wp:posOffset>
            </wp:positionV>
            <wp:extent cx="617220" cy="15690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220" cy="15690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-642620</wp:posOffset>
            </wp:positionV>
            <wp:extent cx="617220" cy="6172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7220" cy="617220"/>
                    </a:xfrm>
                    <a:prstGeom prst="rect">
                      <a:avLst/>
                    </a:prstGeom>
                    <a:noFill/>
                  </pic:spPr>
                </pic:pic>
              </a:graphicData>
            </a:graphic>
          </wp:anchor>
        </w:drawing>
      </w:r>
    </w:p>
    <w:p>
      <w:pPr>
        <w:spacing w:after="0" w:line="182" w:lineRule="exact"/>
        <w:rPr>
          <w:sz w:val="20"/>
          <w:szCs w:val="20"/>
          <w:color w:val="auto"/>
        </w:rPr>
      </w:pPr>
    </w:p>
    <w:p>
      <w:pPr>
        <w:jc w:val="both"/>
        <w:ind w:left="980"/>
        <w:spacing w:after="0" w:line="291" w:lineRule="auto"/>
        <w:rPr>
          <w:sz w:val="20"/>
          <w:szCs w:val="20"/>
          <w:color w:val="auto"/>
        </w:rPr>
      </w:pPr>
      <w:r>
        <w:rPr>
          <w:rFonts w:ascii="Arial" w:cs="Arial" w:eastAsia="Arial" w:hAnsi="Arial"/>
          <w:sz w:val="16"/>
          <w:szCs w:val="16"/>
          <w:color w:val="auto"/>
        </w:rPr>
        <w:t>The fair value of the payment obligation related to acquisition was estimated based several factors of which the most significant is the Company’s revenue projections. The Company used a Monte Carlo Simulation of the triangular model with a discount rate of 15%. Payment obligation related to acquisition are revalued to current fair value at each reporting date. Any change in the fair value as a result of time passage is recognized in the financial expenses; any other changes in significant inputs such as the discount rate, the discount period or other factors used in the calculation, is recognized in operation expenses in the consolidated results of operations in the period the estimated fair value changes. Payment obligation related to acquisition will continue to be accounted for and measured at fair value until the contingencies are settled during fiscal years 2017 and 2018. Accretion of the payment obligation related to acquisition is included in financial expenses, net.</w:t>
      </w:r>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5:-</w:t>
        <w:tab/>
        <w:t>INVENTORIES</w:t>
      </w:r>
    </w:p>
    <w:p>
      <w:pPr>
        <w:spacing w:after="0" w:line="225" w:lineRule="exact"/>
        <w:rPr>
          <w:sz w:val="20"/>
          <w:szCs w:val="20"/>
          <w:color w:val="auto"/>
        </w:rPr>
      </w:pPr>
    </w:p>
    <w:p>
      <w:pPr>
        <w:ind w:left="9220"/>
        <w:spacing w:after="0"/>
        <w:tabs>
          <w:tab w:leader="none" w:pos="10260" w:val="left"/>
        </w:tabs>
        <w:rPr>
          <w:sz w:val="20"/>
          <w:szCs w:val="20"/>
          <w:color w:val="auto"/>
        </w:rPr>
      </w:pPr>
      <w:r>
        <w:rPr>
          <w:rFonts w:ascii="Arial" w:cs="Arial" w:eastAsia="Arial" w:hAnsi="Arial"/>
          <w:sz w:val="18"/>
          <w:szCs w:val="18"/>
          <w:b w:val="1"/>
          <w:bCs w:val="1"/>
          <w:color w:val="auto"/>
        </w:rPr>
        <w:t>June 30,</w:t>
      </w:r>
      <w:r>
        <w:rPr>
          <w:sz w:val="20"/>
          <w:szCs w:val="20"/>
          <w:color w:val="auto"/>
        </w:rPr>
        <w:tab/>
      </w: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17220" cy="12090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7220" cy="1209040"/>
                    </a:xfrm>
                    <a:prstGeom prst="rect">
                      <a:avLst/>
                    </a:prstGeom>
                    <a:noFill/>
                  </pic:spPr>
                </pic:pic>
              </a:graphicData>
            </a:graphic>
          </wp:anchor>
        </w:drawing>
      </w:r>
    </w:p>
    <w:p>
      <w:pPr>
        <w:spacing w:after="0" w:line="7" w:lineRule="exact"/>
        <w:rPr>
          <w:sz w:val="20"/>
          <w:szCs w:val="20"/>
          <w:color w:val="auto"/>
        </w:rPr>
      </w:pPr>
    </w:p>
    <w:p>
      <w:pPr>
        <w:ind w:left="9360"/>
        <w:spacing w:after="0"/>
        <w:tabs>
          <w:tab w:leader="none" w:pos="1060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14605</wp:posOffset>
            </wp:positionV>
            <wp:extent cx="14408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1" w:lineRule="exact"/>
        <w:rPr>
          <w:sz w:val="20"/>
          <w:szCs w:val="20"/>
          <w:color w:val="auto"/>
        </w:rPr>
      </w:pPr>
    </w:p>
    <w:p>
      <w:pPr>
        <w:ind w:left="9080"/>
        <w:spacing w:after="0"/>
        <w:rPr>
          <w:sz w:val="20"/>
          <w:szCs w:val="20"/>
          <w:color w:val="auto"/>
        </w:rPr>
      </w:pPr>
      <w:r>
        <w:rPr>
          <w:rFonts w:ascii="Arial" w:cs="Arial" w:eastAsia="Arial" w:hAnsi="Arial"/>
          <w:sz w:val="18"/>
          <w:szCs w:val="18"/>
          <w:b w:val="1"/>
          <w:bCs w:val="1"/>
          <w:u w:val="single" w:color="auto"/>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Raw materials and components</w:t>
            </w:r>
          </w:p>
        </w:tc>
        <w:tc>
          <w:tcPr>
            <w:tcW w:w="3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16,650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12,322</w:t>
            </w:r>
          </w:p>
        </w:tc>
        <w:tc>
          <w:tcPr>
            <w:tcW w:w="100" w:type="dxa"/>
            <w:vAlign w:val="bottom"/>
            <w:shd w:val="clear" w:color="auto" w:fill="CCEEFF"/>
          </w:tcPr>
          <w:p>
            <w:pPr>
              <w:spacing w:after="0"/>
              <w:rPr>
                <w:sz w:val="18"/>
                <w:szCs w:val="18"/>
                <w:color w:val="auto"/>
              </w:rPr>
            </w:pPr>
          </w:p>
        </w:tc>
      </w:tr>
      <w:tr>
        <w:trPr>
          <w:trHeight w:val="237"/>
        </w:trPr>
        <w:tc>
          <w:tcPr>
            <w:tcW w:w="6140" w:type="dxa"/>
            <w:vAlign w:val="bottom"/>
          </w:tcPr>
          <w:p>
            <w:pPr>
              <w:ind w:left="980"/>
              <w:spacing w:after="0"/>
              <w:rPr>
                <w:sz w:val="20"/>
                <w:szCs w:val="20"/>
                <w:color w:val="auto"/>
              </w:rPr>
            </w:pPr>
            <w:r>
              <w:rPr>
                <w:rFonts w:ascii="Arial" w:cs="Arial" w:eastAsia="Arial" w:hAnsi="Arial"/>
                <w:sz w:val="18"/>
                <w:szCs w:val="18"/>
                <w:color w:val="auto"/>
              </w:rPr>
              <w:t>Finished products (*)</w:t>
            </w:r>
          </w:p>
        </w:tc>
        <w:tc>
          <w:tcPr>
            <w:tcW w:w="2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16,230</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11,800</w:t>
            </w:r>
          </w:p>
        </w:tc>
        <w:tc>
          <w:tcPr>
            <w:tcW w:w="100" w:type="dxa"/>
            <w:vAlign w:val="bottom"/>
          </w:tcPr>
          <w:p>
            <w:pPr>
              <w:spacing w:after="0"/>
              <w:rPr>
                <w:sz w:val="20"/>
                <w:szCs w:val="20"/>
                <w:color w:val="auto"/>
              </w:rPr>
            </w:pPr>
          </w:p>
        </w:tc>
      </w:tr>
      <w:tr>
        <w:trPr>
          <w:trHeight w:val="216"/>
        </w:trPr>
        <w:tc>
          <w:tcPr>
            <w:tcW w:w="6140" w:type="dxa"/>
            <w:vAlign w:val="bottom"/>
            <w:tcBorders>
              <w:top w:val="single" w:sz="8" w:color="CCEEFF"/>
            </w:tcBorders>
            <w:shd w:val="clear" w:color="auto" w:fill="CCEEFF"/>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6140" w:type="dxa"/>
            <w:vAlign w:val="bottom"/>
          </w:tcPr>
          <w:p>
            <w:pPr>
              <w:spacing w:after="0"/>
              <w:rPr>
                <w:sz w:val="22"/>
                <w:szCs w:val="22"/>
                <w:color w:val="auto"/>
              </w:rPr>
            </w:pPr>
          </w:p>
        </w:tc>
        <w:tc>
          <w:tcPr>
            <w:tcW w:w="3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32,880</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24,122</w:t>
            </w:r>
          </w:p>
        </w:tc>
        <w:tc>
          <w:tcPr>
            <w:tcW w:w="100" w:type="dxa"/>
            <w:vAlign w:val="bottom"/>
          </w:tcPr>
          <w:p>
            <w:pPr>
              <w:spacing w:after="0"/>
              <w:rPr>
                <w:sz w:val="22"/>
                <w:szCs w:val="22"/>
                <w:color w:val="auto"/>
              </w:rPr>
            </w:pPr>
          </w:p>
        </w:tc>
      </w:tr>
      <w:tr>
        <w:trPr>
          <w:trHeight w:val="21"/>
        </w:trPr>
        <w:tc>
          <w:tcPr>
            <w:tcW w:w="6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left="5640" w:right="1760" w:hanging="4619"/>
        <w:spacing w:after="0" w:line="778" w:lineRule="auto"/>
        <w:tabs>
          <w:tab w:leader="none" w:pos="153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Inventory write-off amounted to $1,333 and $265 for the six months ended June 30, 2017 and 2016, respectively.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6:-</w:t>
        <w:tab/>
        <w:t>DERIVATIVES AND HEDGING ACTIVITIES</w:t>
      </w:r>
    </w:p>
    <w:p>
      <w:pPr>
        <w:spacing w:after="0" w:line="229" w:lineRule="exact"/>
        <w:rPr>
          <w:sz w:val="20"/>
          <w:szCs w:val="20"/>
          <w:color w:val="auto"/>
        </w:rPr>
      </w:pPr>
    </w:p>
    <w:p>
      <w:pPr>
        <w:jc w:val="both"/>
        <w:ind w:left="980"/>
        <w:spacing w:after="0" w:line="270" w:lineRule="auto"/>
        <w:rPr>
          <w:sz w:val="20"/>
          <w:szCs w:val="20"/>
          <w:color w:val="auto"/>
        </w:rPr>
      </w:pPr>
      <w:r>
        <w:rPr>
          <w:rFonts w:ascii="Arial" w:cs="Arial" w:eastAsia="Arial" w:hAnsi="Arial"/>
          <w:sz w:val="17"/>
          <w:szCs w:val="17"/>
          <w:color w:val="auto"/>
        </w:rPr>
        <w:t>The Company follows FASB ASC No. 815,” Derivatives and Hedging” which requires companies to recognize all of their derivative instruments as either assets or liabilities in the statement of financial position at fair value. Accounting for changes in fair value (i.e., gains or losses) of a derivative instrument depends on whether it has been designated and qualifies as part of a hedging transaction and further, on the type of hedging transaction. For those derivative instruments that are designated and qualify as hedging instruments, a company must designate the hedging instrument, based upon the exposure being hedged, as a fair value hedge, cash flow hedge, or a hedge of a net investment in a foreign operation. Due to the Company’s global operations, it is exposed to foreign currency exchange rate fluctuations in the normal course of its business. The Company used derivative financial instruments, specifically foreign currency forward and option contracts (“Hedging Contracts”), to manage exposure to foreign currency risks, by hedging a portion of the Company’s forecasted expenses denominated in New Israeli Shekels expected to incur within a year. The effect of exchange rate changes on foreign currency hedging contracts is expected to partially offset the effect of exchange rate changes on the underlying hedged item</w:t>
      </w:r>
    </w:p>
    <w:p>
      <w:pPr>
        <w:spacing w:after="0" w:line="178" w:lineRule="exact"/>
        <w:rPr>
          <w:sz w:val="20"/>
          <w:szCs w:val="20"/>
          <w:color w:val="auto"/>
        </w:rPr>
      </w:pPr>
    </w:p>
    <w:p>
      <w:pPr>
        <w:jc w:val="both"/>
        <w:ind w:left="980"/>
        <w:spacing w:after="0" w:line="302" w:lineRule="auto"/>
        <w:rPr>
          <w:sz w:val="20"/>
          <w:szCs w:val="20"/>
          <w:color w:val="auto"/>
        </w:rPr>
      </w:pPr>
      <w:r>
        <w:rPr>
          <w:rFonts w:ascii="Arial" w:cs="Arial" w:eastAsia="Arial" w:hAnsi="Arial"/>
          <w:sz w:val="16"/>
          <w:szCs w:val="16"/>
          <w:color w:val="auto"/>
        </w:rPr>
        <w:t>For derivative instruments that are designated and qualify as a cash flow hedge (i.e., hedging the exposure to variability in expected future cash flows that is attributable to a particular risk), the effective portion of the gain or loss on the derivative instrument is reported as a component of other comprehensive income (loss) and reclassified into earnings in the same period or periods during which the hedged transaction affects earnings. Gains or losses from contracts that were not designated as hedging instruments are recognized in “financial income (expenses), net”.</w:t>
      </w:r>
    </w:p>
    <w:p>
      <w:pPr>
        <w:spacing w:after="0" w:line="154" w:lineRule="exact"/>
        <w:rPr>
          <w:sz w:val="20"/>
          <w:szCs w:val="20"/>
          <w:color w:val="auto"/>
        </w:rPr>
      </w:pPr>
    </w:p>
    <w:p>
      <w:pPr>
        <w:jc w:val="both"/>
        <w:ind w:left="980" w:right="20"/>
        <w:spacing w:after="0" w:line="277" w:lineRule="auto"/>
        <w:rPr>
          <w:sz w:val="20"/>
          <w:szCs w:val="20"/>
          <w:color w:val="auto"/>
        </w:rPr>
      </w:pPr>
      <w:r>
        <w:rPr>
          <w:rFonts w:ascii="Arial" w:cs="Arial" w:eastAsia="Arial" w:hAnsi="Arial"/>
          <w:sz w:val="18"/>
          <w:szCs w:val="18"/>
          <w:color w:val="auto"/>
        </w:rPr>
        <w:t>As of June 30, 2017 and December 31, 2016, the notional principal amount of the Hedging Contracts to sell U.S. dollars held by the Company was $2,192 (unaudited) and $8,636, respectively.</w:t>
      </w:r>
    </w:p>
    <w:p>
      <w:pPr>
        <w:spacing w:after="0" w:line="170"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As of June 30, 2017, the fair value of the Company’s outstanding derivatives designated as cash flow hedging instruments was $88 (unaudited) which is included within “Other accounts receivable and prepaid expenses” in the balance sheet.</w:t>
      </w:r>
    </w:p>
    <w:p>
      <w:pPr>
        <w:spacing w:after="0" w:line="170"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As of December 31, 2016, the fair value of the Company’s outstanding derivatives designated as cash flow hedging instruments was $3 which is included within “Other accounts receivable and prepaid expenses” in the balance sheet.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7:-</w:t>
        <w:tab/>
        <w:t>COMMITMENTS AND CONTINGENT LIABILITIES</w:t>
      </w:r>
    </w:p>
    <w:p>
      <w:pPr>
        <w:spacing w:after="0" w:line="229" w:lineRule="exact"/>
        <w:rPr>
          <w:sz w:val="20"/>
          <w:szCs w:val="20"/>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Charges:</w:t>
      </w:r>
    </w:p>
    <w:p>
      <w:pPr>
        <w:spacing w:after="0" w:line="225" w:lineRule="exact"/>
        <w:rPr>
          <w:rFonts w:ascii="Arial" w:cs="Arial" w:eastAsia="Arial" w:hAnsi="Arial"/>
          <w:sz w:val="18"/>
          <w:szCs w:val="18"/>
          <w:color w:val="auto"/>
        </w:rPr>
      </w:pPr>
    </w:p>
    <w:p>
      <w:pPr>
        <w:jc w:val="both"/>
        <w:ind w:left="1360"/>
        <w:spacing w:after="0" w:line="279" w:lineRule="auto"/>
        <w:rPr>
          <w:rFonts w:ascii="Arial" w:cs="Arial" w:eastAsia="Arial" w:hAnsi="Arial"/>
          <w:sz w:val="18"/>
          <w:szCs w:val="18"/>
          <w:color w:val="auto"/>
        </w:rPr>
      </w:pPr>
      <w:r>
        <w:rPr>
          <w:rFonts w:ascii="Arial" w:cs="Arial" w:eastAsia="Arial" w:hAnsi="Arial"/>
          <w:sz w:val="17"/>
          <w:szCs w:val="17"/>
          <w:color w:val="auto"/>
        </w:rPr>
        <w:t>As of June 30, 2017, the Company ha</w:t>
      </w:r>
      <w:r>
        <w:rPr>
          <w:rFonts w:ascii="Arial" w:cs="Arial" w:eastAsia="Arial" w:hAnsi="Arial"/>
          <w:sz w:val="17"/>
          <w:szCs w:val="17"/>
          <w:color w:val="1F497D"/>
        </w:rPr>
        <w:t>s</w:t>
      </w:r>
      <w:r>
        <w:rPr>
          <w:rFonts w:ascii="Arial" w:cs="Arial" w:eastAsia="Arial" w:hAnsi="Arial"/>
          <w:sz w:val="17"/>
          <w:szCs w:val="17"/>
          <w:color w:val="auto"/>
        </w:rPr>
        <w:t xml:space="preserve"> two lines of credit with Israeli banks for total borrowings of up to $3 million, all of which was undrawn as of June 30, 2017. These lines of credit are unsecured and available subject to the Company maintenance of a 30% ratio of total tangible shareholders’ equity to total tangible assets and that the total credit use will be less than 70% of the Company and its subsidiaries’ receivables. Interest rates across these credit lines varied from 0.2% to 2.3% as of June 30, 2017.</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 commitments:</w:t>
      </w:r>
    </w:p>
    <w:p>
      <w:pPr>
        <w:spacing w:after="0" w:line="225"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As of June 30, 2017, the Company estimates purchase commitments from vendors in the amount of $11,491.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7:-</w:t>
        <w:tab/>
        <w:t>COMMITMENTS AND CONTINGENT LIABILITIES (Cont.)</w:t>
      </w:r>
    </w:p>
    <w:p>
      <w:pPr>
        <w:spacing w:after="0" w:line="229" w:lineRule="exact"/>
        <w:rPr>
          <w:sz w:val="20"/>
          <w:szCs w:val="20"/>
          <w:color w:val="auto"/>
        </w:rPr>
      </w:pPr>
    </w:p>
    <w:p>
      <w:pPr>
        <w:ind w:left="1360" w:hanging="380"/>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rFonts w:ascii="Arial" w:cs="Arial" w:eastAsia="Arial" w:hAnsi="Arial"/>
          <w:sz w:val="18"/>
          <w:szCs w:val="18"/>
          <w:color w:val="auto"/>
        </w:rPr>
      </w:pPr>
    </w:p>
    <w:p>
      <w:pPr>
        <w:jc w:val="both"/>
        <w:ind w:left="1360"/>
        <w:spacing w:after="0" w:line="264" w:lineRule="auto"/>
        <w:rPr>
          <w:rFonts w:ascii="Arial" w:cs="Arial" w:eastAsia="Arial" w:hAnsi="Arial"/>
          <w:sz w:val="18"/>
          <w:szCs w:val="18"/>
          <w:color w:val="auto"/>
        </w:rPr>
      </w:pPr>
      <w:r>
        <w:rPr>
          <w:rFonts w:ascii="Arial" w:cs="Arial" w:eastAsia="Arial" w:hAnsi="Arial"/>
          <w:sz w:val="18"/>
          <w:szCs w:val="18"/>
          <w:color w:val="auto"/>
        </w:rPr>
        <w:t>From time to time, the Company is party to various legal proceedings, claims and litigation that arise in the normal course of business. It is the opinion of management that the ultimate outcome of these matters will not have a material adverse effect on the Company’s financial position, results of operations or cash flows.</w:t>
      </w:r>
    </w:p>
    <w:p>
      <w:pPr>
        <w:spacing w:after="0" w:line="181" w:lineRule="exact"/>
        <w:rPr>
          <w:rFonts w:ascii="Arial" w:cs="Arial" w:eastAsia="Arial" w:hAnsi="Arial"/>
          <w:sz w:val="18"/>
          <w:szCs w:val="18"/>
          <w:color w:val="auto"/>
        </w:rPr>
      </w:pPr>
    </w:p>
    <w:p>
      <w:pPr>
        <w:ind w:left="1360" w:hanging="380"/>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Royalty Commitments:</w:t>
      </w:r>
    </w:p>
    <w:p>
      <w:pPr>
        <w:spacing w:after="0" w:line="225" w:lineRule="exact"/>
        <w:rPr>
          <w:rFonts w:ascii="Arial" w:cs="Arial" w:eastAsia="Arial" w:hAnsi="Arial"/>
          <w:sz w:val="18"/>
          <w:szCs w:val="18"/>
          <w:color w:val="auto"/>
        </w:rPr>
      </w:pPr>
    </w:p>
    <w:p>
      <w:pPr>
        <w:ind w:left="1360" w:right="20"/>
        <w:spacing w:after="0" w:line="342" w:lineRule="auto"/>
        <w:rPr>
          <w:rFonts w:ascii="Arial" w:cs="Arial" w:eastAsia="Arial" w:hAnsi="Arial"/>
          <w:sz w:val="18"/>
          <w:szCs w:val="18"/>
          <w:color w:val="auto"/>
        </w:rPr>
      </w:pPr>
      <w:r>
        <w:rPr>
          <w:rFonts w:ascii="Arial" w:cs="Arial" w:eastAsia="Arial" w:hAnsi="Arial"/>
          <w:sz w:val="16"/>
          <w:szCs w:val="16"/>
          <w:color w:val="auto"/>
        </w:rPr>
        <w:t>Under the Company’s agreement for purchasing print heads and other products, which was amended and restated in 2015, the Company is obligated to pay royalties at a rate set forth in the agreement up to an agreed maximum amount of the Company’s annual ink revenues.</w:t>
      </w:r>
    </w:p>
    <w:p>
      <w:pPr>
        <w:spacing w:after="0" w:line="12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Royalty expenses for the six months ended June 30, 2017 and 2016 were $312.</w:t>
      </w:r>
    </w:p>
    <w:p>
      <w:pPr>
        <w:spacing w:after="0" w:line="225" w:lineRule="exact"/>
        <w:rPr>
          <w:rFonts w:ascii="Arial" w:cs="Arial" w:eastAsia="Arial" w:hAnsi="Arial"/>
          <w:sz w:val="18"/>
          <w:szCs w:val="18"/>
          <w:color w:val="auto"/>
        </w:rPr>
      </w:pPr>
    </w:p>
    <w:p>
      <w:pPr>
        <w:ind w:left="1360" w:hanging="380"/>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As of June 30, 2017, the Company provided two bank guarantees in a total amount of $393 for its rented facilities.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EARNINGS PER SHARE</w:t>
      </w:r>
    </w:p>
    <w:p>
      <w:pPr>
        <w:sectPr>
          <w:pgSz w:w="11900" w:h="16838" w:orient="portrait"/>
          <w:cols w:equalWidth="0" w:num="1">
            <w:col w:w="11420"/>
          </w:cols>
          <w:pgMar w:left="240" w:top="904" w:right="239" w:bottom="1440" w:gutter="0" w:footer="0" w:header="0"/>
        </w:sectPr>
      </w:pP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following table sets forth the computation of basic and diluted net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20237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Numerator for basic and diluted net earnings per share:</w:t>
      </w:r>
    </w:p>
    <w:p>
      <w:pPr>
        <w:spacing w:after="0" w:line="2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Net loss</w:t>
      </w:r>
    </w:p>
    <w:p>
      <w:pPr>
        <w:spacing w:after="0" w:line="26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Weighted average shares outstanding, net of treasury stock:</w:t>
      </w:r>
    </w:p>
    <w:p>
      <w:pPr>
        <w:spacing w:after="0" w:line="2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Denominator for basic and diluted net loss per share</w:t>
      </w:r>
    </w:p>
    <w:p>
      <w:pPr>
        <w:spacing w:after="0" w:line="33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Basic and diluted net loss per share</w:t>
      </w:r>
    </w:p>
    <w:p>
      <w:pPr>
        <w:spacing w:after="0" w:line="2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in a loss position and all of its securities are antidilutive.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June 30,</w:t>
      </w:r>
    </w:p>
    <w:p>
      <w:pPr>
        <w:spacing w:after="0" w:line="31" w:lineRule="exact"/>
        <w:rPr>
          <w:sz w:val="20"/>
          <w:szCs w:val="20"/>
          <w:color w:val="auto"/>
        </w:rPr>
      </w:pPr>
    </w:p>
    <w:p>
      <w:pPr>
        <w:ind w:left="320"/>
        <w:spacing w:after="0"/>
        <w:tabs>
          <w:tab w:leader="none" w:pos="152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(1,522</w:t>
            </w:r>
            <w:r>
              <w:rPr>
                <w:rFonts w:ascii="Arial" w:cs="Arial" w:eastAsia="Arial" w:hAnsi="Arial"/>
                <w:sz w:val="36"/>
                <w:szCs w:val="36"/>
                <w:color w:val="auto"/>
                <w:vertAlign w:val="superscript"/>
              </w:rPr>
              <w:t>)</w:t>
            </w:r>
            <w:r>
              <w:rPr>
                <w:rFonts w:ascii="Arial" w:cs="Arial" w:eastAsia="Arial" w:hAnsi="Arial"/>
                <w:sz w:val="18"/>
                <w:szCs w:val="18"/>
                <w:color w:val="auto"/>
              </w:rPr>
              <w:t xml:space="preserve">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(353</w:t>
            </w:r>
            <w:r>
              <w:rPr>
                <w:rFonts w:ascii="Arial" w:cs="Arial" w:eastAsia="Arial" w:hAnsi="Arial"/>
                <w:sz w:val="36"/>
                <w:szCs w:val="36"/>
                <w:color w:val="auto"/>
                <w:vertAlign w:val="superscript"/>
              </w:rPr>
              <w:t>)</w:t>
            </w:r>
          </w:p>
        </w:tc>
      </w:tr>
      <w:tr>
        <w:trPr>
          <w:trHeight w:val="21"/>
        </w:trPr>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0"/>
        <w:spacing w:after="0"/>
        <w:tabs>
          <w:tab w:leader="none" w:pos="1400" w:val="left"/>
        </w:tabs>
        <w:rPr>
          <w:sz w:val="20"/>
          <w:szCs w:val="20"/>
          <w:color w:val="auto"/>
        </w:rPr>
      </w:pPr>
      <w:r>
        <w:rPr>
          <w:rFonts w:ascii="Arial" w:cs="Arial" w:eastAsia="Arial" w:hAnsi="Arial"/>
          <w:sz w:val="17"/>
          <w:szCs w:val="17"/>
          <w:color w:val="auto"/>
        </w:rPr>
        <w:t>33,151,633</w:t>
      </w:r>
      <w:r>
        <w:rPr>
          <w:sz w:val="20"/>
          <w:szCs w:val="20"/>
          <w:color w:val="auto"/>
        </w:rPr>
        <w:tab/>
      </w:r>
      <w:r>
        <w:rPr>
          <w:rFonts w:ascii="Arial" w:cs="Arial" w:eastAsia="Arial" w:hAnsi="Arial"/>
          <w:sz w:val="17"/>
          <w:szCs w:val="17"/>
          <w:color w:val="auto"/>
        </w:rPr>
        <w:t>30,420,165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(0.05</w:t>
            </w:r>
            <w:r>
              <w:rPr>
                <w:rFonts w:ascii="Arial" w:cs="Arial" w:eastAsia="Arial" w:hAnsi="Arial"/>
                <w:sz w:val="36"/>
                <w:szCs w:val="36"/>
                <w:color w:val="auto"/>
                <w:vertAlign w:val="superscript"/>
              </w:rPr>
              <w:t>)</w:t>
            </w:r>
            <w:r>
              <w:rPr>
                <w:rFonts w:ascii="Arial" w:cs="Arial" w:eastAsia="Arial" w:hAnsi="Arial"/>
                <w:sz w:val="18"/>
                <w:szCs w:val="18"/>
                <w:color w:val="auto"/>
              </w:rPr>
              <w:t xml:space="preserve">  $</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(0.01</w:t>
            </w:r>
            <w:r>
              <w:rPr>
                <w:rFonts w:ascii="Arial" w:cs="Arial" w:eastAsia="Arial" w:hAnsi="Arial"/>
                <w:sz w:val="36"/>
                <w:szCs w:val="36"/>
                <w:color w:val="auto"/>
                <w:vertAlign w:val="superscript"/>
              </w:rPr>
              <w:t>)</w:t>
            </w:r>
          </w:p>
        </w:tc>
      </w:tr>
      <w:tr>
        <w:trPr>
          <w:trHeight w:val="21"/>
        </w:trPr>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8360" w:space="720"/>
            <w:col w:w="2340"/>
          </w:cols>
          <w:pgMar w:left="240" w:top="904" w:right="239" w:bottom="1440" w:gutter="0" w:footer="0" w:header="0"/>
          <w:type w:val="continuous"/>
        </w:sect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0" w:name="page21"/>
    <w:bookmarkEnd w:id="20"/>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9:-</w:t>
        <w:tab/>
        <w:t>SHAREHOLDERS’ EQUITY</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Share based compensation</w:t>
      </w:r>
    </w:p>
    <w:p>
      <w:pPr>
        <w:spacing w:after="0" w:line="225" w:lineRule="exact"/>
        <w:rPr>
          <w:sz w:val="20"/>
          <w:szCs w:val="20"/>
          <w:color w:val="auto"/>
        </w:rPr>
      </w:pPr>
    </w:p>
    <w:p>
      <w:pPr>
        <w:ind w:left="1360" w:hanging="380"/>
        <w:spacing w:after="0" w:line="277" w:lineRule="auto"/>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fair value for options granted in the periods presented is estimated at the date of grant using a binomial option-pricing model with the following weighted average assumptions:</w:t>
      </w:r>
    </w:p>
    <w:p>
      <w:pPr>
        <w:spacing w:after="0" w:line="166" w:lineRule="exact"/>
        <w:rPr>
          <w:sz w:val="20"/>
          <w:szCs w:val="20"/>
          <w:color w:val="auto"/>
        </w:rPr>
      </w:pPr>
    </w:p>
    <w:p>
      <w:pPr>
        <w:ind w:left="9060"/>
        <w:spacing w:after="0"/>
        <w:rPr>
          <w:sz w:val="20"/>
          <w:szCs w:val="20"/>
          <w:color w:val="auto"/>
        </w:rPr>
      </w:pPr>
      <w:r>
        <w:rPr>
          <w:rFonts w:ascii="Arial" w:cs="Arial" w:eastAsia="Arial" w:hAnsi="Arial"/>
          <w:sz w:val="18"/>
          <w:szCs w:val="18"/>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857885" cy="1294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885" cy="1294765"/>
                    </a:xfrm>
                    <a:prstGeom prst="rect">
                      <a:avLst/>
                    </a:prstGeom>
                    <a:noFill/>
                  </pic:spPr>
                </pic:pic>
              </a:graphicData>
            </a:graphic>
          </wp:anchor>
        </w:drawing>
      </w:r>
    </w:p>
    <w:p>
      <w:pPr>
        <w:spacing w:after="0" w:line="7"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280" w:type="dxa"/>
            <w:vAlign w:val="bottom"/>
          </w:tcPr>
          <w:p>
            <w:pPr>
              <w:spacing w:after="0"/>
              <w:rPr>
                <w:sz w:val="21"/>
                <w:szCs w:val="21"/>
                <w:color w:val="auto"/>
              </w:rPr>
            </w:pPr>
          </w:p>
        </w:tc>
        <w:tc>
          <w:tcPr>
            <w:tcW w:w="202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2017</w:t>
            </w:r>
          </w:p>
        </w:tc>
        <w:tc>
          <w:tcPr>
            <w:tcW w:w="9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1"/>
                <w:szCs w:val="21"/>
                <w:color w:val="auto"/>
              </w:rPr>
            </w:pPr>
          </w:p>
        </w:tc>
      </w:tr>
      <w:tr>
        <w:trPr>
          <w:trHeight w:val="223"/>
        </w:trPr>
        <w:tc>
          <w:tcPr>
            <w:tcW w:w="8280" w:type="dxa"/>
            <w:vAlign w:val="bottom"/>
          </w:tcPr>
          <w:p>
            <w:pPr>
              <w:spacing w:after="0"/>
              <w:rPr>
                <w:sz w:val="19"/>
                <w:szCs w:val="19"/>
                <w:color w:val="auto"/>
              </w:rPr>
            </w:pPr>
          </w:p>
        </w:tc>
        <w:tc>
          <w:tcPr>
            <w:tcW w:w="2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Unaudited</w:t>
            </w:r>
          </w:p>
        </w:tc>
        <w:tc>
          <w:tcPr>
            <w:tcW w:w="9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8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2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Suboptimal exercise multiple</w:t>
            </w:r>
          </w:p>
        </w:tc>
        <w:tc>
          <w:tcPr>
            <w:tcW w:w="20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1.0-1.5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r>
      <w:tr>
        <w:trPr>
          <w:trHeight w:val="216"/>
        </w:trPr>
        <w:tc>
          <w:tcPr>
            <w:tcW w:w="8280" w:type="dxa"/>
            <w:vAlign w:val="bottom"/>
          </w:tcPr>
          <w:p>
            <w:pPr>
              <w:ind w:left="1360"/>
              <w:spacing w:after="0"/>
              <w:rPr>
                <w:sz w:val="20"/>
                <w:szCs w:val="20"/>
                <w:color w:val="auto"/>
              </w:rPr>
            </w:pPr>
            <w:r>
              <w:rPr>
                <w:rFonts w:ascii="Arial" w:cs="Arial" w:eastAsia="Arial" w:hAnsi="Arial"/>
                <w:sz w:val="18"/>
                <w:szCs w:val="18"/>
                <w:color w:val="auto"/>
              </w:rPr>
              <w:t>Risk free interest rate</w:t>
            </w:r>
          </w:p>
        </w:tc>
        <w:tc>
          <w:tcPr>
            <w:tcW w:w="2020" w:type="dxa"/>
            <w:vAlign w:val="bottom"/>
          </w:tcPr>
          <w:p>
            <w:pPr>
              <w:jc w:val="right"/>
              <w:ind w:right="430"/>
              <w:spacing w:after="0"/>
              <w:rPr>
                <w:sz w:val="20"/>
                <w:szCs w:val="20"/>
                <w:color w:val="auto"/>
              </w:rPr>
            </w:pPr>
            <w:r>
              <w:rPr>
                <w:rFonts w:ascii="Arial" w:cs="Arial" w:eastAsia="Arial" w:hAnsi="Arial"/>
                <w:sz w:val="18"/>
                <w:szCs w:val="18"/>
                <w:color w:val="auto"/>
              </w:rPr>
              <w:t>2.26%-2.32%</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1.7%-1.83%</w:t>
            </w:r>
          </w:p>
        </w:tc>
      </w:tr>
      <w:tr>
        <w:trPr>
          <w:trHeight w:val="216"/>
        </w:trPr>
        <w:tc>
          <w:tcPr>
            <w:tcW w:w="82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Volatility</w:t>
            </w:r>
          </w:p>
        </w:tc>
        <w:tc>
          <w:tcPr>
            <w:tcW w:w="2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52%-53%</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55%-56%</w:t>
            </w:r>
          </w:p>
        </w:tc>
      </w:tr>
      <w:tr>
        <w:trPr>
          <w:trHeight w:val="230"/>
        </w:trPr>
        <w:tc>
          <w:tcPr>
            <w:tcW w:w="8280" w:type="dxa"/>
            <w:vAlign w:val="bottom"/>
          </w:tcPr>
          <w:p>
            <w:pPr>
              <w:ind w:left="1360"/>
              <w:spacing w:after="0"/>
              <w:rPr>
                <w:sz w:val="20"/>
                <w:szCs w:val="20"/>
                <w:color w:val="auto"/>
              </w:rPr>
            </w:pPr>
            <w:r>
              <w:rPr>
                <w:rFonts w:ascii="Arial" w:cs="Arial" w:eastAsia="Arial" w:hAnsi="Arial"/>
                <w:sz w:val="18"/>
                <w:szCs w:val="18"/>
                <w:color w:val="auto"/>
              </w:rPr>
              <w:t>Dividend yield</w:t>
            </w:r>
          </w:p>
        </w:tc>
        <w:tc>
          <w:tcPr>
            <w:tcW w:w="2020" w:type="dxa"/>
            <w:vAlign w:val="bottom"/>
          </w:tcPr>
          <w:p>
            <w:pPr>
              <w:jc w:val="right"/>
              <w:ind w:right="43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is a summary of the Company’s stock options activity for the six months ended June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average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remaining</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of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contractual</w:t>
            </w: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662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upon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exercise</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term</w:t>
            </w: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intrinsic</w:t>
            </w:r>
          </w:p>
        </w:tc>
      </w:tr>
      <w:tr>
        <w:trPr>
          <w:trHeight w:val="241"/>
        </w:trPr>
        <w:tc>
          <w:tcPr>
            <w:tcW w:w="662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3"/>
              </w:rPr>
              <w:t>exercise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price</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(in years)</w:t>
            </w: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value (1)</w:t>
            </w:r>
          </w:p>
        </w:tc>
      </w:tr>
      <w:tr>
        <w:trPr>
          <w:trHeight w:val="223"/>
        </w:trPr>
        <w:tc>
          <w:tcPr>
            <w:tcW w:w="6620" w:type="dxa"/>
            <w:vAlign w:val="bottom"/>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340" w:type="dxa"/>
            <w:vAlign w:val="bottom"/>
            <w:tcBorders>
              <w:top w:val="single" w:sz="8" w:color="auto"/>
              <w:bottom w:val="single" w:sz="8" w:color="auto"/>
            </w:tcBorders>
            <w:gridSpan w:val="4"/>
          </w:tcPr>
          <w:p>
            <w:pPr>
              <w:jc w:val="right"/>
              <w:ind w:right="940"/>
              <w:spacing w:after="0"/>
              <w:rPr>
                <w:sz w:val="20"/>
                <w:szCs w:val="20"/>
                <w:color w:val="auto"/>
              </w:rPr>
            </w:pPr>
            <w:r>
              <w:rPr>
                <w:rFonts w:ascii="Arial" w:cs="Arial" w:eastAsia="Arial" w:hAnsi="Arial"/>
                <w:sz w:val="18"/>
                <w:szCs w:val="18"/>
                <w:b w:val="1"/>
                <w:bCs w:val="1"/>
                <w:color w:val="auto"/>
              </w:rPr>
              <w:t>Unaudited</w:t>
            </w: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Outstanding as of December 31, 2016</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2,733,166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16,054</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ind w:left="1360"/>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19.96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445,165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620" w:type="dxa"/>
            <w:vAlign w:val="bottom"/>
          </w:tcPr>
          <w:p>
            <w:pPr>
              <w:ind w:left="1360"/>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52,253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8.66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6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620" w:type="dxa"/>
            <w:vAlign w:val="bottom"/>
          </w:tcPr>
          <w:p>
            <w:pPr>
              <w:ind w:left="1360"/>
              <w:spacing w:after="0"/>
              <w:rPr>
                <w:sz w:val="20"/>
                <w:szCs w:val="20"/>
                <w:color w:val="auto"/>
              </w:rPr>
            </w:pPr>
            <w:r>
              <w:rPr>
                <w:rFonts w:ascii="Arial" w:cs="Arial" w:eastAsia="Arial" w:hAnsi="Arial"/>
                <w:sz w:val="18"/>
                <w:szCs w:val="18"/>
                <w:color w:val="auto"/>
              </w:rPr>
              <w:t>Outstanding as of June 30, 2017</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2,270,748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8.01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25,950</w:t>
            </w:r>
          </w:p>
        </w:tc>
        <w:tc>
          <w:tcPr>
            <w:tcW w:w="100" w:type="dxa"/>
            <w:vAlign w:val="bottom"/>
          </w:tcPr>
          <w:p>
            <w:pPr>
              <w:spacing w:after="0"/>
              <w:rPr>
                <w:sz w:val="19"/>
                <w:szCs w:val="19"/>
                <w:color w:val="auto"/>
              </w:rPr>
            </w:pPr>
          </w:p>
        </w:tc>
      </w:tr>
      <w:tr>
        <w:trPr>
          <w:trHeight w:val="216"/>
        </w:trPr>
        <w:tc>
          <w:tcPr>
            <w:tcW w:w="66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ind w:left="1360"/>
              <w:spacing w:after="0"/>
              <w:rPr>
                <w:sz w:val="20"/>
                <w:szCs w:val="20"/>
                <w:color w:val="auto"/>
              </w:rPr>
            </w:pPr>
            <w:r>
              <w:rPr>
                <w:rFonts w:ascii="Arial" w:cs="Arial" w:eastAsia="Arial" w:hAnsi="Arial"/>
                <w:sz w:val="18"/>
                <w:szCs w:val="18"/>
                <w:color w:val="auto"/>
              </w:rPr>
              <w:t>Exercisable as of June 30, 2017</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872,938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11,892</w:t>
            </w:r>
          </w:p>
        </w:tc>
        <w:tc>
          <w:tcPr>
            <w:tcW w:w="100" w:type="dxa"/>
            <w:vAlign w:val="bottom"/>
          </w:tcPr>
          <w:p>
            <w:pPr>
              <w:spacing w:after="0"/>
              <w:rPr>
                <w:sz w:val="18"/>
                <w:szCs w:val="18"/>
                <w:color w:val="auto"/>
              </w:rPr>
            </w:pPr>
          </w:p>
        </w:tc>
      </w:tr>
      <w:tr>
        <w:trPr>
          <w:trHeight w:val="27"/>
        </w:trPr>
        <w:tc>
          <w:tcPr>
            <w:tcW w:w="66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-2280285</wp:posOffset>
            </wp:positionV>
            <wp:extent cx="857885" cy="22726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885" cy="2272665"/>
                    </a:xfrm>
                    <a:prstGeom prst="rect">
                      <a:avLst/>
                    </a:prstGeom>
                    <a:noFill/>
                  </pic:spPr>
                </pic:pic>
              </a:graphicData>
            </a:graphic>
          </wp:anchor>
        </w:drawing>
      </w:r>
    </w:p>
    <w:p>
      <w:pPr>
        <w:spacing w:after="0" w:line="182" w:lineRule="exact"/>
        <w:rPr>
          <w:sz w:val="20"/>
          <w:szCs w:val="20"/>
          <w:color w:val="auto"/>
        </w:rPr>
      </w:pPr>
    </w:p>
    <w:p>
      <w:pPr>
        <w:ind w:left="1740" w:hanging="381"/>
        <w:spacing w:after="0" w:line="277" w:lineRule="auto"/>
        <w:tabs>
          <w:tab w:leader="none" w:pos="1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Calculation of aggregate intrinsic value for options outstanding and exercisable as of June 30, 2017 is based on the share price of the Company’s ordinary shares as of June 30, 2017 which was $19.35 per share.</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weighted average fair value of options granted during the six months ended June 30, 2017 was $10.81.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SHAREHOLDERS’ EQUITY (Cont.)</w:t>
      </w:r>
    </w:p>
    <w:p>
      <w:pPr>
        <w:spacing w:after="0" w:line="229" w:lineRule="exact"/>
        <w:rPr>
          <w:sz w:val="20"/>
          <w:szCs w:val="20"/>
          <w:color w:val="auto"/>
        </w:rPr>
      </w:pPr>
    </w:p>
    <w:p>
      <w:pPr>
        <w:ind w:left="1360" w:hanging="380"/>
        <w:spacing w:after="0" w:line="277" w:lineRule="auto"/>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six months ended June 30, 2017, the Company granted 3,300 RSUs. The weighted average fair value and contractual life of the RSUs was $21.15 and 9.86, respectively.</w:t>
      </w:r>
    </w:p>
    <w:p>
      <w:pPr>
        <w:spacing w:after="0" w:line="170" w:lineRule="exact"/>
        <w:rPr>
          <w:rFonts w:ascii="Arial" w:cs="Arial" w:eastAsia="Arial" w:hAnsi="Arial"/>
          <w:sz w:val="18"/>
          <w:szCs w:val="18"/>
          <w:color w:val="auto"/>
        </w:rPr>
      </w:pPr>
    </w:p>
    <w:p>
      <w:pPr>
        <w:ind w:left="1360" w:hanging="380"/>
        <w:spacing w:after="0"/>
        <w:tabs>
          <w:tab w:leader="none" w:pos="13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following table shows the total share-based compensation expense included in the interim consolidated statements of operations:</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-859155</wp:posOffset>
            </wp:positionV>
            <wp:extent cx="7246620" cy="15951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595120"/>
                    </a:xfrm>
                    <a:prstGeom prst="rect">
                      <a:avLst/>
                    </a:prstGeom>
                    <a:noFill/>
                  </pic:spPr>
                </pic:pic>
              </a:graphicData>
            </a:graphic>
          </wp:anchor>
        </w:drawing>
      </w:r>
    </w:p>
    <w:p>
      <w:pPr>
        <w:spacing w:after="0" w:line="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Selling and marketing</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General and administrative</w:t>
      </w:r>
    </w:p>
    <w:p>
      <w:pPr>
        <w:spacing w:after="0" w:line="265"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Total share-based compensation expense</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June 30,</w:t>
      </w:r>
    </w:p>
    <w:p>
      <w:pPr>
        <w:spacing w:after="0" w:line="18" w:lineRule="exact"/>
        <w:rPr>
          <w:sz w:val="20"/>
          <w:szCs w:val="20"/>
          <w:color w:val="auto"/>
        </w:rPr>
      </w:pPr>
    </w:p>
    <w:p>
      <w:pPr>
        <w:ind w:left="320"/>
        <w:spacing w:after="0"/>
        <w:tabs>
          <w:tab w:leader="none" w:pos="152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287</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16"/>
        </w:trPr>
        <w:tc>
          <w:tcPr>
            <w:tcW w:w="3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297</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3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430</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30"/>
        </w:trPr>
        <w:tc>
          <w:tcPr>
            <w:tcW w:w="3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934</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768</w:t>
            </w:r>
          </w:p>
        </w:tc>
      </w:tr>
      <w:tr>
        <w:trPr>
          <w:trHeight w:val="27"/>
        </w:trPr>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r>
      <w:tr>
        <w:trPr>
          <w:trHeight w:val="439"/>
        </w:trPr>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1,948</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1,462</w:t>
            </w:r>
          </w:p>
        </w:tc>
      </w:tr>
      <w:tr>
        <w:trPr>
          <w:trHeight w:val="21"/>
        </w:trPr>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60" w:space="720"/>
            <w:col w:w="2340"/>
          </w:cols>
          <w:pgMar w:left="240" w:top="904" w:right="239" w:bottom="1440" w:gutter="0" w:footer="0" w:header="0"/>
          <w:type w:val="continuous"/>
        </w:sectPr>
      </w:pPr>
    </w:p>
    <w:p>
      <w:pPr>
        <w:spacing w:after="0" w:line="2" w:lineRule="exact"/>
        <w:rPr>
          <w:sz w:val="20"/>
          <w:szCs w:val="20"/>
          <w:color w:val="auto"/>
        </w:rPr>
      </w:pPr>
    </w:p>
    <w:p>
      <w:pPr>
        <w:jc w:val="both"/>
        <w:ind w:left="1360"/>
        <w:spacing w:after="0" w:line="259" w:lineRule="auto"/>
        <w:rPr>
          <w:sz w:val="20"/>
          <w:szCs w:val="20"/>
          <w:color w:val="auto"/>
        </w:rPr>
      </w:pPr>
      <w:r>
        <w:rPr>
          <w:rFonts w:ascii="Arial" w:cs="Arial" w:eastAsia="Arial" w:hAnsi="Arial"/>
          <w:sz w:val="18"/>
          <w:szCs w:val="18"/>
          <w:color w:val="auto"/>
        </w:rPr>
        <w:t>On January 10, 2017 the Company had signed a master purchase agreement with Amazon Inc. for 2,932,176 warrants to purchase ordinary shares of the Company in exercise price of $13.03. The warrants are subject to vesting as a function of payments for purchased products and services of up to $150 million over a five years period beginning on May 1, 2016, with the shares vesting incrementally each time Amazon makes a payment totaling $5 million to the Company.</w:t>
      </w:r>
    </w:p>
    <w:p>
      <w:pPr>
        <w:spacing w:after="0" w:line="187" w:lineRule="exact"/>
        <w:rPr>
          <w:sz w:val="20"/>
          <w:szCs w:val="20"/>
          <w:color w:val="auto"/>
        </w:rPr>
      </w:pPr>
    </w:p>
    <w:p>
      <w:pPr>
        <w:jc w:val="both"/>
        <w:ind w:left="1360"/>
        <w:spacing w:after="0" w:line="264" w:lineRule="auto"/>
        <w:rPr>
          <w:sz w:val="20"/>
          <w:szCs w:val="20"/>
          <w:color w:val="auto"/>
        </w:rPr>
      </w:pPr>
      <w:r>
        <w:rPr>
          <w:rFonts w:ascii="Arial" w:cs="Arial" w:eastAsia="Arial" w:hAnsi="Arial"/>
          <w:sz w:val="18"/>
          <w:szCs w:val="18"/>
          <w:color w:val="auto"/>
        </w:rPr>
        <w:t>The Company utilizes a Monte Carlo simulation approach to estimate the fair value of the warrants, which requires inputs such as common ordinary share, the warrant strike price, estimated ordinary share price volatility and risk-free interest rate, among others. The Company recognized a reduction to revenues of $2.4 million during the six months ended June 30, 2017.</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2" w:name="page23"/>
    <w:bookmarkEnd w:id="22"/>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70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ACCUMULATED OTHER COMPREHENSIVE INCOME (LOSS)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summarizes the changes in accumulated balances of other comprehensive income (loss):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6"/>
              </w:rPr>
              <w:t>Unrealized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5"/>
              </w:rPr>
              <w:t>gain (loss) 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available-</w:t>
            </w:r>
          </w:p>
        </w:tc>
        <w:tc>
          <w:tcPr>
            <w:tcW w:w="80" w:type="dxa"/>
            <w:vAlign w:val="bottom"/>
          </w:tcPr>
          <w:p>
            <w:pPr>
              <w:spacing w:after="0"/>
              <w:rPr>
                <w:sz w:val="18"/>
                <w:szCs w:val="18"/>
                <w:color w:val="auto"/>
              </w:rPr>
            </w:pPr>
          </w:p>
        </w:tc>
        <w:tc>
          <w:tcPr>
            <w:tcW w:w="1160" w:type="dxa"/>
            <w:vAlign w:val="bottom"/>
            <w:gridSpan w:val="3"/>
          </w:tcPr>
          <w:p>
            <w:pPr>
              <w:ind w:left="60"/>
              <w:spacing w:after="0"/>
              <w:rPr>
                <w:sz w:val="20"/>
                <w:szCs w:val="20"/>
                <w:color w:val="auto"/>
              </w:rPr>
            </w:pPr>
            <w:r>
              <w:rPr>
                <w:rFonts w:ascii="Arial" w:cs="Arial" w:eastAsia="Arial" w:hAnsi="Arial"/>
                <w:sz w:val="18"/>
                <w:szCs w:val="18"/>
                <w:b w:val="1"/>
                <w:bCs w:val="1"/>
                <w:color w:val="auto"/>
              </w:rPr>
              <w:t>Unrealized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Foreign</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for-sale</w:t>
            </w:r>
          </w:p>
        </w:tc>
        <w:tc>
          <w:tcPr>
            <w:tcW w:w="8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7"/>
              </w:rPr>
              <w:t>gain (loss) 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currency</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marketable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cash flow</w:t>
            </w:r>
          </w:p>
        </w:tc>
        <w:tc>
          <w:tcPr>
            <w:tcW w:w="80" w:type="dxa"/>
            <w:vAlign w:val="bottom"/>
          </w:tcPr>
          <w:p>
            <w:pPr>
              <w:spacing w:after="0"/>
              <w:rPr>
                <w:sz w:val="18"/>
                <w:szCs w:val="18"/>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translation</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securities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hedges</w:t>
            </w:r>
          </w:p>
        </w:tc>
        <w:tc>
          <w:tcPr>
            <w:tcW w:w="80" w:type="dxa"/>
            <w:vAlign w:val="bottom"/>
          </w:tcPr>
          <w:p>
            <w:pPr>
              <w:spacing w:after="0"/>
              <w:rPr>
                <w:sz w:val="20"/>
                <w:szCs w:val="20"/>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adjustment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260" w:type="dxa"/>
            <w:vAlign w:val="bottom"/>
            <w:tcBorders>
              <w:top w:val="single" w:sz="8" w:color="auto"/>
              <w:bottom w:val="single" w:sz="8" w:color="auto"/>
            </w:tcBorders>
            <w:gridSpan w:val="6"/>
          </w:tcPr>
          <w:p>
            <w:pPr>
              <w:jc w:val="right"/>
              <w:ind w:right="780"/>
              <w:spacing w:after="0"/>
              <w:rPr>
                <w:sz w:val="20"/>
                <w:szCs w:val="20"/>
                <w:color w:val="auto"/>
              </w:rPr>
            </w:pPr>
            <w:r>
              <w:rPr>
                <w:rFonts w:ascii="Arial" w:cs="Arial" w:eastAsia="Arial" w:hAnsi="Arial"/>
                <w:sz w:val="18"/>
                <w:szCs w:val="18"/>
                <w:b w:val="1"/>
                <w:bCs w:val="1"/>
                <w:color w:val="auto"/>
              </w:rPr>
              <w:t>Unaudited</w:t>
            </w:r>
          </w:p>
        </w:tc>
        <w:tc>
          <w:tcPr>
            <w:tcW w:w="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980"/>
              <w:spacing w:after="0"/>
              <w:rPr>
                <w:sz w:val="20"/>
                <w:szCs w:val="20"/>
                <w:color w:val="auto"/>
              </w:rPr>
            </w:pPr>
            <w:r>
              <w:rPr>
                <w:rFonts w:ascii="Arial" w:cs="Arial" w:eastAsia="Arial" w:hAnsi="Arial"/>
                <w:sz w:val="18"/>
                <w:szCs w:val="18"/>
                <w:color w:val="auto"/>
              </w:rPr>
              <w:t>Six months ended June 30, 2017: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Beginning balance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3"/>
        </w:trPr>
        <w:tc>
          <w:tcPr>
            <w:tcW w:w="6200" w:type="dxa"/>
            <w:vAlign w:val="bottom"/>
            <w:tcBorders>
              <w:top w:val="single" w:sz="8" w:color="CCEEFF"/>
            </w:tcBorders>
          </w:tcPr>
          <w:p>
            <w:pPr>
              <w:ind w:left="980"/>
              <w:spacing w:after="0" w:line="203" w:lineRule="exact"/>
              <w:rPr>
                <w:sz w:val="20"/>
                <w:szCs w:val="20"/>
                <w:color w:val="auto"/>
              </w:rPr>
            </w:pPr>
            <w:r>
              <w:rPr>
                <w:rFonts w:ascii="Arial" w:cs="Arial" w:eastAsia="Arial" w:hAnsi="Arial"/>
                <w:sz w:val="18"/>
                <w:szCs w:val="18"/>
                <w:color w:val="auto"/>
              </w:rPr>
              <w:t>Other comprehensive income before reclassifications</w:t>
            </w:r>
          </w:p>
        </w:tc>
        <w:tc>
          <w:tcPr>
            <w:tcW w:w="4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69</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390</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127</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586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200" w:type="dxa"/>
            <w:vAlign w:val="bottom"/>
            <w:shd w:val="clear" w:color="auto" w:fill="CCEEFF"/>
          </w:tcPr>
          <w:p>
            <w:pPr>
              <w:ind w:left="980"/>
              <w:spacing w:after="0"/>
              <w:rPr>
                <w:sz w:val="20"/>
                <w:szCs w:val="20"/>
                <w:color w:val="auto"/>
              </w:rPr>
            </w:pPr>
            <w:r>
              <w:rPr>
                <w:rFonts w:ascii="Arial" w:cs="Arial" w:eastAsia="Arial" w:hAnsi="Arial"/>
                <w:sz w:val="18"/>
                <w:szCs w:val="18"/>
                <w:color w:val="auto"/>
                <w:w w:val="99"/>
              </w:rPr>
              <w:t>Amounts reclassified from accumulated other comprehensive loss</w:t>
            </w: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bottom w:val="single" w:sz="8" w:color="CCEEFF"/>
            </w:tcBorders>
          </w:tcPr>
          <w:p>
            <w:pPr>
              <w:ind w:left="980"/>
              <w:spacing w:after="0" w:line="203" w:lineRule="exact"/>
              <w:rPr>
                <w:sz w:val="20"/>
                <w:szCs w:val="20"/>
                <w:color w:val="auto"/>
              </w:rPr>
            </w:pPr>
            <w:r>
              <w:rPr>
                <w:rFonts w:ascii="Arial" w:cs="Arial" w:eastAsia="Arial" w:hAnsi="Arial"/>
                <w:sz w:val="18"/>
                <w:szCs w:val="18"/>
                <w:color w:val="auto"/>
              </w:rPr>
              <w:t>Net current period other comprehensive income loss</w:t>
            </w:r>
          </w:p>
        </w:tc>
        <w:tc>
          <w:tcPr>
            <w:tcW w:w="4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127</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Ending Balance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
        </w:trPr>
        <w:tc>
          <w:tcPr>
            <w:tcW w:w="6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11:-  SELECTED STATEMENTS OF INCOME DATA</w:t>
            </w: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62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0" w:type="dxa"/>
            <w:vAlign w:val="bottom"/>
          </w:tcPr>
          <w:p>
            <w:pPr>
              <w:ind w:left="980"/>
              <w:spacing w:after="0"/>
              <w:rPr>
                <w:sz w:val="20"/>
                <w:szCs w:val="20"/>
                <w:color w:val="auto"/>
              </w:rPr>
            </w:pPr>
            <w:r>
              <w:rPr>
                <w:rFonts w:ascii="Arial" w:cs="Arial" w:eastAsia="Arial" w:hAnsi="Arial"/>
                <w:sz w:val="18"/>
                <w:szCs w:val="18"/>
                <w:color w:val="auto"/>
              </w:rPr>
              <w:t>Financial income, net:</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87"/>
              </w:rPr>
              <w:t>Six months ended</w:t>
            </w:r>
          </w:p>
        </w:tc>
        <w:tc>
          <w:tcPr>
            <w:tcW w:w="0" w:type="dxa"/>
            <w:vAlign w:val="bottom"/>
          </w:tcPr>
          <w:p>
            <w:pPr>
              <w:spacing w:after="0"/>
              <w:rPr>
                <w:sz w:val="1"/>
                <w:szCs w:val="1"/>
                <w:color w:val="auto"/>
              </w:rPr>
            </w:pPr>
          </w:p>
        </w:tc>
      </w:tr>
      <w:tr>
        <w:trPr>
          <w:trHeight w:val="241"/>
        </w:trPr>
        <w:tc>
          <w:tcPr>
            <w:tcW w:w="6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93"/>
              </w:rPr>
              <w:t>Unaudited</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980"/>
              <w:spacing w:after="0"/>
              <w:rPr>
                <w:sz w:val="20"/>
                <w:szCs w:val="20"/>
                <w:color w:val="auto"/>
              </w:rPr>
            </w:pPr>
            <w:r>
              <w:rPr>
                <w:rFonts w:ascii="Arial" w:cs="Arial" w:eastAsia="Arial" w:hAnsi="Arial"/>
                <w:sz w:val="18"/>
                <w:szCs w:val="18"/>
                <w:color w:val="auto"/>
              </w:rPr>
              <w:t>Financial income: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Interest on bank deposits and other</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6200" w:type="dxa"/>
            <w:vAlign w:val="bottom"/>
          </w:tcPr>
          <w:p>
            <w:pPr>
              <w:ind w:left="1160"/>
              <w:spacing w:after="0"/>
              <w:rPr>
                <w:sz w:val="20"/>
                <w:szCs w:val="20"/>
                <w:color w:val="auto"/>
              </w:rPr>
            </w:pPr>
            <w:r>
              <w:rPr>
                <w:rFonts w:ascii="Arial" w:cs="Arial" w:eastAsia="Arial" w:hAnsi="Arial"/>
                <w:sz w:val="18"/>
                <w:szCs w:val="18"/>
                <w:color w:val="auto"/>
              </w:rPr>
              <w:t>Foreign currency translation differences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1,332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50"/>
        </w:trPr>
        <w:tc>
          <w:tcPr>
            <w:tcW w:w="62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Interest on marketable securities</w:t>
            </w: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2,270</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Financial expenses: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Bank charges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6200" w:type="dxa"/>
            <w:vAlign w:val="bottom"/>
          </w:tcPr>
          <w:p>
            <w:pPr>
              <w:ind w:left="1160"/>
              <w:spacing w:after="0"/>
              <w:rPr>
                <w:sz w:val="20"/>
                <w:szCs w:val="20"/>
                <w:color w:val="auto"/>
              </w:rPr>
            </w:pPr>
            <w:r>
              <w:rPr>
                <w:rFonts w:ascii="Arial" w:cs="Arial" w:eastAsia="Arial" w:hAnsi="Arial"/>
                <w:sz w:val="18"/>
                <w:szCs w:val="18"/>
                <w:color w:val="auto"/>
              </w:rPr>
              <w:t>Foreign currency translation differences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50"/>
        </w:trPr>
        <w:tc>
          <w:tcPr>
            <w:tcW w:w="672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w w:val="92"/>
              </w:rPr>
              <w:t>Amortization of premium and accretion of discount on marketable securities</w:t>
            </w: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(2,177</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(734</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200" w:type="dxa"/>
            <w:vAlign w:val="bottom"/>
          </w:tcPr>
          <w:p>
            <w:pPr>
              <w:ind w:left="980"/>
              <w:spacing w:after="0"/>
              <w:rPr>
                <w:sz w:val="20"/>
                <w:szCs w:val="20"/>
                <w:color w:val="auto"/>
              </w:rPr>
            </w:pPr>
            <w:r>
              <w:rPr>
                <w:rFonts w:ascii="Arial" w:cs="Arial" w:eastAsia="Arial" w:hAnsi="Arial"/>
                <w:sz w:val="18"/>
                <w:szCs w:val="18"/>
                <w:color w:val="auto"/>
              </w:rPr>
              <w:t>Total financial income</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
        </w:trPr>
        <w:tc>
          <w:tcPr>
            <w:tcW w:w="6200" w:type="dxa"/>
            <w:vAlign w:val="bottom"/>
            <w:vMerge w:val="restart"/>
          </w:tcPr>
          <w:p>
            <w:pPr>
              <w:ind w:left="5620"/>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6200" w:type="dxa"/>
            <w:vAlign w:val="bottom"/>
            <w:tcBorders>
              <w:bottom w:val="single" w:sz="8" w:color="auto"/>
            </w:tcBorders>
            <w:vMerge w:val="continue"/>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-5882640</wp:posOffset>
            </wp:positionV>
            <wp:extent cx="617220" cy="2058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7220" cy="2058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-3112135</wp:posOffset>
            </wp:positionV>
            <wp:extent cx="617220" cy="26587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7220" cy="26587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color w:val="auto"/>
        </w:rPr>
        <w:t>Exhibit 99.2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Period to Period Results of Operations</w:t>
      </w:r>
    </w:p>
    <w:p>
      <w:pPr>
        <w:spacing w:after="0" w:line="225"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7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3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55,691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760" w:type="dxa"/>
            <w:vAlign w:val="bottom"/>
          </w:tcPr>
          <w:p>
            <w:pPr>
              <w:spacing w:after="0"/>
              <w:rPr>
                <w:sz w:val="20"/>
                <w:szCs w:val="20"/>
                <w:color w:val="auto"/>
              </w:rPr>
            </w:pPr>
            <w:r>
              <w:rPr>
                <w:rFonts w:ascii="Arial" w:cs="Arial" w:eastAsia="Arial" w:hAnsi="Arial"/>
                <w:sz w:val="18"/>
                <w:szCs w:val="18"/>
                <w:color w:val="auto"/>
              </w:rPr>
              <w:t>Cost of revenues</w:t>
            </w:r>
          </w:p>
        </w:tc>
        <w:tc>
          <w:tcPr>
            <w:tcW w:w="3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30,631</w:t>
            </w: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23,625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76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3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9,342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10,829</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8,772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6,138</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760" w:type="dxa"/>
            <w:vAlign w:val="bottom"/>
          </w:tcPr>
          <w:p>
            <w:pPr>
              <w:ind w:left="180"/>
              <w:spacing w:after="0"/>
              <w:rPr>
                <w:sz w:val="20"/>
                <w:szCs w:val="20"/>
                <w:color w:val="auto"/>
              </w:rPr>
            </w:pPr>
            <w:r>
              <w:rPr>
                <w:rFonts w:ascii="Arial" w:cs="Arial" w:eastAsia="Arial" w:hAnsi="Arial"/>
                <w:sz w:val="18"/>
                <w:szCs w:val="18"/>
                <w:color w:val="auto"/>
              </w:rPr>
              <w:t>Restructuring expenses</w:t>
            </w:r>
          </w:p>
        </w:tc>
        <w:tc>
          <w:tcPr>
            <w:tcW w:w="3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0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Operating income (loss)</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(1,342)</w:t>
            </w:r>
          </w:p>
        </w:tc>
        <w:tc>
          <w:tcPr>
            <w:tcW w:w="2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net</w:t>
            </w:r>
          </w:p>
        </w:tc>
        <w:tc>
          <w:tcPr>
            <w:tcW w:w="3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Income (loss) before taxes on income</w:t>
            </w:r>
          </w:p>
        </w:tc>
        <w:tc>
          <w:tcPr>
            <w:tcW w:w="30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(1,249)</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3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Net loss</w:t>
            </w:r>
          </w:p>
        </w:tc>
        <w:tc>
          <w:tcPr>
            <w:tcW w:w="3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60" w:type="dxa"/>
            <w:vAlign w:val="bottom"/>
            <w:vMerge w:val="continue"/>
          </w:tcPr>
          <w:p>
            <w:pPr>
              <w:spacing w:after="0"/>
              <w:rPr>
                <w:sz w:val="20"/>
                <w:szCs w:val="20"/>
                <w:color w:val="auto"/>
              </w:rPr>
            </w:pPr>
          </w:p>
        </w:tc>
        <w:tc>
          <w:tcPr>
            <w:tcW w:w="3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1,522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left="840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4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2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16"/>
        </w:trPr>
        <w:tc>
          <w:tcPr>
            <w:tcW w:w="8620" w:type="dxa"/>
            <w:vAlign w:val="bottom"/>
          </w:tcPr>
          <w:p>
            <w:pPr>
              <w:spacing w:after="0"/>
              <w:rPr>
                <w:sz w:val="18"/>
                <w:szCs w:val="18"/>
                <w:color w:val="auto"/>
              </w:rPr>
            </w:pPr>
          </w:p>
        </w:tc>
        <w:tc>
          <w:tcPr>
            <w:tcW w:w="258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(as a % of revenues)</w:t>
            </w:r>
          </w:p>
        </w:tc>
        <w:tc>
          <w:tcPr>
            <w:tcW w:w="220" w:type="dxa"/>
            <w:vAlign w:val="bottom"/>
            <w:gridSpan w:val="2"/>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37"/>
        </w:trPr>
        <w:tc>
          <w:tcPr>
            <w:tcW w:w="8620" w:type="dxa"/>
            <w:vAlign w:val="bottom"/>
          </w:tcPr>
          <w:p>
            <w:pPr>
              <w:spacing w:after="0"/>
              <w:rPr>
                <w:sz w:val="20"/>
                <w:szCs w:val="20"/>
                <w:color w:val="auto"/>
              </w:rPr>
            </w:pPr>
            <w:r>
              <w:rPr>
                <w:rFonts w:ascii="Arial" w:cs="Arial" w:eastAsia="Arial" w:hAnsi="Arial"/>
                <w:sz w:val="18"/>
                <w:szCs w:val="18"/>
                <w:color w:val="auto"/>
              </w:rPr>
              <w:t>Cost of revenues</w:t>
            </w:r>
          </w:p>
        </w:tc>
        <w:tc>
          <w:tcPr>
            <w:tcW w:w="1440" w:type="dxa"/>
            <w:vAlign w:val="bottom"/>
            <w:gridSpan w:val="2"/>
          </w:tcPr>
          <w:p>
            <w:pPr>
              <w:jc w:val="right"/>
              <w:ind w:right="230"/>
              <w:spacing w:after="0"/>
              <w:rPr>
                <w:sz w:val="20"/>
                <w:szCs w:val="20"/>
                <w:color w:val="auto"/>
              </w:rPr>
            </w:pPr>
            <w:r>
              <w:rPr>
                <w:rFonts w:ascii="Arial" w:cs="Arial" w:eastAsia="Arial" w:hAnsi="Arial"/>
                <w:sz w:val="18"/>
                <w:szCs w:val="18"/>
                <w:color w:val="auto"/>
              </w:rPr>
              <w:t>55.0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51.6</w:t>
            </w:r>
          </w:p>
        </w:tc>
        <w:tc>
          <w:tcPr>
            <w:tcW w:w="200" w:type="dxa"/>
            <w:vAlign w:val="bottom"/>
          </w:tcPr>
          <w:p>
            <w:pPr>
              <w:spacing w:after="0"/>
              <w:rPr>
                <w:sz w:val="20"/>
                <w:szCs w:val="20"/>
                <w:color w:val="auto"/>
              </w:rPr>
            </w:pPr>
          </w:p>
        </w:tc>
      </w:tr>
      <w:tr>
        <w:trPr>
          <w:trHeight w:val="236"/>
        </w:trPr>
        <w:tc>
          <w:tcPr>
            <w:tcW w:w="8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2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4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16.8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CEEFF"/>
          </w:tcPr>
          <w:p>
            <w:pPr>
              <w:spacing w:after="0"/>
              <w:rPr>
                <w:sz w:val="18"/>
                <w:szCs w:val="18"/>
                <w:color w:val="auto"/>
              </w:rPr>
            </w:pPr>
          </w:p>
        </w:tc>
      </w:tr>
      <w:tr>
        <w:trPr>
          <w:trHeight w:val="216"/>
        </w:trPr>
        <w:tc>
          <w:tcPr>
            <w:tcW w:w="862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440" w:type="dxa"/>
            <w:vAlign w:val="bottom"/>
            <w:gridSpan w:val="2"/>
          </w:tcPr>
          <w:p>
            <w:pPr>
              <w:jc w:val="right"/>
              <w:ind w:right="230"/>
              <w:spacing w:after="0"/>
              <w:rPr>
                <w:sz w:val="20"/>
                <w:szCs w:val="20"/>
                <w:color w:val="auto"/>
              </w:rPr>
            </w:pPr>
            <w:r>
              <w:rPr>
                <w:rFonts w:ascii="Arial" w:cs="Arial" w:eastAsia="Arial" w:hAnsi="Arial"/>
                <w:sz w:val="18"/>
                <w:szCs w:val="18"/>
                <w:color w:val="auto"/>
              </w:rPr>
              <w:t>19.4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18"/>
                <w:szCs w:val="18"/>
                <w:color w:val="auto"/>
              </w:rPr>
            </w:pPr>
          </w:p>
        </w:tc>
      </w:tr>
      <w:tr>
        <w:trPr>
          <w:trHeight w:val="216"/>
        </w:trPr>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4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11.0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8"/>
                <w:szCs w:val="18"/>
                <w:color w:val="auto"/>
              </w:rPr>
            </w:pPr>
          </w:p>
        </w:tc>
      </w:tr>
      <w:tr>
        <w:trPr>
          <w:trHeight w:val="237"/>
        </w:trPr>
        <w:tc>
          <w:tcPr>
            <w:tcW w:w="8620" w:type="dxa"/>
            <w:vAlign w:val="bottom"/>
          </w:tcPr>
          <w:p>
            <w:pPr>
              <w:ind w:left="180"/>
              <w:spacing w:after="0"/>
              <w:rPr>
                <w:sz w:val="20"/>
                <w:szCs w:val="20"/>
                <w:color w:val="auto"/>
              </w:rPr>
            </w:pPr>
            <w:r>
              <w:rPr>
                <w:rFonts w:ascii="Arial" w:cs="Arial" w:eastAsia="Arial" w:hAnsi="Arial"/>
                <w:sz w:val="18"/>
                <w:szCs w:val="18"/>
                <w:color w:val="auto"/>
              </w:rPr>
              <w:t>Restructuring expenses</w:t>
            </w:r>
          </w:p>
        </w:tc>
        <w:tc>
          <w:tcPr>
            <w:tcW w:w="1440" w:type="dxa"/>
            <w:vAlign w:val="bottom"/>
            <w:gridSpan w:val="2"/>
          </w:tcPr>
          <w:p>
            <w:pPr>
              <w:jc w:val="right"/>
              <w:ind w:right="230"/>
              <w:spacing w:after="0"/>
              <w:rPr>
                <w:sz w:val="20"/>
                <w:szCs w:val="20"/>
                <w:color w:val="auto"/>
              </w:rPr>
            </w:pPr>
            <w:r>
              <w:rPr>
                <w:rFonts w:ascii="Arial" w:cs="Arial" w:eastAsia="Arial" w:hAnsi="Arial"/>
                <w:sz w:val="18"/>
                <w:szCs w:val="18"/>
                <w:color w:val="auto"/>
              </w:rPr>
              <w:t>0.2</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6"/>
        </w:trPr>
        <w:tc>
          <w:tcPr>
            <w:tcW w:w="8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Operating loss</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w:t>
            </w:r>
          </w:p>
        </w:tc>
        <w:tc>
          <w:tcPr>
            <w:tcW w:w="3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w:t>
            </w:r>
          </w:p>
        </w:tc>
      </w:tr>
      <w:tr>
        <w:trPr>
          <w:trHeight w:val="236"/>
        </w:trPr>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income, net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03"/>
        </w:trPr>
        <w:tc>
          <w:tcPr>
            <w:tcW w:w="8620" w:type="dxa"/>
            <w:vAlign w:val="bottom"/>
          </w:tcPr>
          <w:p>
            <w:pPr>
              <w:spacing w:after="0" w:line="203" w:lineRule="exact"/>
              <w:rPr>
                <w:sz w:val="20"/>
                <w:szCs w:val="20"/>
                <w:color w:val="auto"/>
              </w:rPr>
            </w:pPr>
            <w:r>
              <w:rPr>
                <w:rFonts w:ascii="Arial" w:cs="Arial" w:eastAsia="Arial" w:hAnsi="Arial"/>
                <w:sz w:val="18"/>
                <w:szCs w:val="18"/>
                <w:color w:val="auto"/>
              </w:rPr>
              <w:t>Income before taxes on income</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(2.2)</w:t>
            </w:r>
          </w:p>
        </w:tc>
        <w:tc>
          <w:tcPr>
            <w:tcW w:w="32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0.1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14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21"/>
                <w:szCs w:val="21"/>
                <w:color w:val="auto"/>
              </w:rPr>
            </w:pPr>
          </w:p>
        </w:tc>
      </w:tr>
      <w:tr>
        <w:trPr>
          <w:trHeight w:val="210"/>
        </w:trPr>
        <w:tc>
          <w:tcPr>
            <w:tcW w:w="86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loss</w:t>
            </w: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w:t>
            </w:r>
          </w:p>
        </w:tc>
        <w:tc>
          <w:tcPr>
            <w:tcW w:w="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(0.8</w:t>
            </w:r>
          </w:p>
        </w:tc>
        <w:tc>
          <w:tcPr>
            <w:tcW w:w="22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w w:val="90"/>
              </w:rPr>
              <w:t>)%</w:t>
            </w:r>
          </w:p>
        </w:tc>
      </w:tr>
      <w:tr>
        <w:trPr>
          <w:trHeight w:val="682"/>
        </w:trPr>
        <w:tc>
          <w:tcPr>
            <w:tcW w:w="8620" w:type="dxa"/>
            <w:vAlign w:val="bottom"/>
            <w:tcBorders>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Geographic Breakdown of Revenues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geographic breakdown of revenues from sales to customers located in the regions indicated below for the periods indicated:</w:t>
      </w:r>
    </w:p>
    <w:p>
      <w:pPr>
        <w:spacing w:after="0" w:line="166"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gridSpan w:val="3"/>
          </w:tcPr>
          <w:p>
            <w:pPr>
              <w:jc w:val="right"/>
              <w:ind w:right="660"/>
              <w:spacing w:after="0"/>
              <w:rPr>
                <w:sz w:val="20"/>
                <w:szCs w:val="20"/>
                <w:color w:val="auto"/>
              </w:rPr>
            </w:pPr>
            <w:r>
              <w:rPr>
                <w:rFonts w:ascii="Arial" w:cs="Arial" w:eastAsia="Arial" w:hAnsi="Arial"/>
                <w:sz w:val="18"/>
                <w:szCs w:val="18"/>
                <w:b w:val="1"/>
                <w:bCs w:val="1"/>
                <w:color w:val="auto"/>
              </w:rPr>
              <w:t>2017</w:t>
            </w:r>
          </w:p>
        </w:tc>
        <w:tc>
          <w:tcPr>
            <w:tcW w:w="40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2016</w:t>
            </w:r>
          </w:p>
        </w:tc>
        <w:tc>
          <w:tcPr>
            <w:tcW w:w="860" w:type="dxa"/>
            <w:vAlign w:val="bottom"/>
            <w:tcBorders>
              <w:top w:val="single" w:sz="8" w:color="auto"/>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40" w:type="dxa"/>
            <w:vAlign w:val="bottom"/>
            <w:gridSpan w:val="8"/>
          </w:tcPr>
          <w:p>
            <w:pPr>
              <w:jc w:val="right"/>
              <w:ind w:right="380"/>
              <w:spacing w:after="0"/>
              <w:rPr>
                <w:sz w:val="20"/>
                <w:szCs w:val="20"/>
                <w:color w:val="auto"/>
              </w:rPr>
            </w:pPr>
            <w:r>
              <w:rPr>
                <w:rFonts w:ascii="Arial" w:cs="Arial" w:eastAsia="Arial" w:hAnsi="Arial"/>
                <w:sz w:val="18"/>
                <w:szCs w:val="18"/>
                <w:b w:val="1"/>
                <w:bCs w:val="1"/>
                <w:color w:val="auto"/>
                <w:w w:val="89"/>
              </w:rPr>
              <w:t>($ in thousands, except percentages)</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5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310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0"/>
              </w:rPr>
              <w:t>31,368</w:t>
            </w:r>
          </w:p>
        </w:tc>
        <w:tc>
          <w:tcPr>
            <w:tcW w:w="7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56.3%</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30,048</w:t>
            </w: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EMEA</w:t>
            </w:r>
          </w:p>
        </w:tc>
        <w:tc>
          <w:tcPr>
            <w:tcW w:w="2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w w:val="90"/>
              </w:rPr>
              <w:t>15,763</w:t>
            </w:r>
          </w:p>
        </w:tc>
        <w:tc>
          <w:tcPr>
            <w:tcW w:w="740" w:type="dxa"/>
            <w:vAlign w:val="bottom"/>
          </w:tcPr>
          <w:p>
            <w:pPr>
              <w:spacing w:after="0"/>
              <w:rPr>
                <w:sz w:val="18"/>
                <w:szCs w:val="18"/>
                <w:color w:val="auto"/>
              </w:rPr>
            </w:pPr>
          </w:p>
        </w:tc>
        <w:tc>
          <w:tcPr>
            <w:tcW w:w="680" w:type="dxa"/>
            <w:vAlign w:val="bottom"/>
            <w:gridSpan w:val="2"/>
          </w:tcPr>
          <w:p>
            <w:pPr>
              <w:jc w:val="right"/>
              <w:ind w:right="190"/>
              <w:spacing w:after="0"/>
              <w:rPr>
                <w:sz w:val="20"/>
                <w:szCs w:val="20"/>
                <w:color w:val="auto"/>
              </w:rPr>
            </w:pPr>
            <w:r>
              <w:rPr>
                <w:rFonts w:ascii="Arial" w:cs="Arial" w:eastAsia="Arial" w:hAnsi="Arial"/>
                <w:sz w:val="18"/>
                <w:szCs w:val="18"/>
                <w:color w:val="auto"/>
              </w:rPr>
              <w:t>28.3</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10,519</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4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8,560</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15.4</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5,220</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revenues</w:t>
            </w:r>
          </w:p>
        </w:tc>
        <w:tc>
          <w:tcPr>
            <w:tcW w:w="24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w w:val="87"/>
              </w:rPr>
              <w:t>%</w:t>
            </w: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gridSpan w:val="2"/>
            <w:vMerge w:val="restart"/>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vMerge w:val="continue"/>
          </w:tcPr>
          <w:p>
            <w:pPr>
              <w:spacing w:after="0"/>
              <w:rPr>
                <w:sz w:val="20"/>
                <w:szCs w:val="20"/>
                <w:color w:val="auto"/>
              </w:rPr>
            </w:pPr>
          </w:p>
        </w:tc>
        <w:tc>
          <w:tcPr>
            <w:tcW w:w="310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w w:val="90"/>
              </w:rPr>
              <w:t>55,691</w:t>
            </w:r>
          </w:p>
        </w:tc>
        <w:tc>
          <w:tcPr>
            <w:tcW w:w="7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vMerge w:val="continue"/>
          </w:tcPr>
          <w:p>
            <w:pPr>
              <w:spacing w:after="0"/>
              <w:rPr>
                <w:sz w:val="20"/>
                <w:szCs w:val="20"/>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45,787</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2016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Revenues increased by $9.9 million, or 21.6%, to $55.7 million in the six months ended June 30, 2017 from $45.8 million in the six months ended June 30, 2016. The growth in revenues resulted from a 26.4% increase in system and services revenues to $34.5 million in the six months ended June 30, 2017 from $27.2 million in the six months ended June 30, 2016 and an 14.6% increase in sales of ink and other consumables to $21.2 million in the six months ended June 30, 2017 from $18.5 million in the six months ended June 30, 2016. We believe that the increase in sales of high throughput systems was a result of the growing maturity of the web-to-print business model which calls for high throughput systems to meet the growing consumer demand. The $2.7 million increase in ink and other consumables revenues was due to higher sales volumes of ink and other consumables and our larger installed base. The improvements in system and services revenues and ink and consumables revenues was offset by the fair value of warrants associated with revenues recognized from Amazon of $2.3 million. Excluding the effect of the fair value of warrants issued to Amazon, our revenues increased by $12.3 million or 26.8% in 2017 compared to 2016.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Profit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Cost of revenues increased by $7.0 million, or 29.7%, to $30.6 million in the six months ended June 30, 2017 from $23.6 million in the six months ended June 30, 2016. Gross profit increased by $2.9 million, or 13.1%, to $25.1 million in the six months ended June 30, 2016, as compared to $22.2 million in the six months ended June 30, 2016. Gross margin was 45.0% in the six months ended June 30, 2017 compared to 48.4% in the six months ended June 30, 2016. While gross margin was positively impacted by an increase in sales of higher margin high throughput systems and economies of scale during the six months ended June 30, 2017 compared to the six months ended June 30, 2016, such positive impact was affected by the impact of the Amazon warrants which offset $2.3 million from revenues. Excluding the effects of the Amazon warrants, gross profit would have been $27.4 million in the six months ended June 30, 2017 compared to $22.2 million in the six months ended June 30, 2016 and gross margin would have been 47.2% in the six months ended June 30, 2017 compared to 48.4% in the six months ended June 30, 2016. Excluding the effects of the Amazon warrants, the main reason for the decrease was an increase of $1.3 in inventory write-offs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6"/>
          </w:tcPr>
          <w:p>
            <w:pPr>
              <w:ind w:left="420"/>
              <w:spacing w:after="0"/>
              <w:rPr>
                <w:sz w:val="20"/>
                <w:szCs w:val="20"/>
                <w:color w:val="auto"/>
              </w:rPr>
            </w:pPr>
            <w:r>
              <w:rPr>
                <w:rFonts w:ascii="Arial" w:cs="Arial" w:eastAsia="Arial" w:hAnsi="Arial"/>
                <w:sz w:val="18"/>
                <w:szCs w:val="18"/>
                <w:b w:val="1"/>
                <w:bCs w:val="1"/>
                <w:color w:val="auto"/>
              </w:rPr>
              <w:t>Six Months Ended</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w w:val="91"/>
              </w:rPr>
              <w:t>June 30,</w:t>
            </w: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2017</w:t>
            </w:r>
          </w:p>
        </w:tc>
        <w:tc>
          <w:tcPr>
            <w:tcW w:w="9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2016</w:t>
            </w:r>
          </w:p>
        </w:tc>
        <w:tc>
          <w:tcPr>
            <w:tcW w:w="10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Change</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240"/>
              <w:spacing w:after="0" w:line="198" w:lineRule="exact"/>
              <w:rPr>
                <w:sz w:val="20"/>
                <w:szCs w:val="20"/>
                <w:color w:val="auto"/>
              </w:rPr>
            </w:pPr>
            <w:r>
              <w:rPr>
                <w:rFonts w:ascii="Arial" w:cs="Arial" w:eastAsia="Arial" w:hAnsi="Arial"/>
                <w:sz w:val="18"/>
                <w:szCs w:val="18"/>
                <w:b w:val="1"/>
                <w:bCs w:val="1"/>
                <w:color w:val="auto"/>
              </w:rPr>
              <w:t>% of</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290"/>
              <w:spacing w:after="0" w:line="198" w:lineRule="exact"/>
              <w:rPr>
                <w:sz w:val="20"/>
                <w:szCs w:val="20"/>
                <w:color w:val="auto"/>
              </w:rPr>
            </w:pPr>
            <w:r>
              <w:rPr>
                <w:rFonts w:ascii="Arial" w:cs="Arial" w:eastAsia="Arial" w:hAnsi="Arial"/>
                <w:sz w:val="18"/>
                <w:szCs w:val="18"/>
                <w:b w:val="1"/>
                <w:bCs w:val="1"/>
                <w:color w:val="auto"/>
              </w:rPr>
              <w:t>% of</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8"/>
                <w:szCs w:val="18"/>
                <w:b w:val="1"/>
                <w:bCs w:val="1"/>
                <w:color w:val="auto"/>
                <w:w w:val="99"/>
              </w:rPr>
              <w:t>Amount</w:t>
            </w: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128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w w:val="91"/>
              </w:rPr>
              <w:t>Revenues</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jc w:val="center"/>
              <w:ind w:right="410"/>
              <w:spacing w:after="0"/>
              <w:rPr>
                <w:sz w:val="20"/>
                <w:szCs w:val="20"/>
                <w:color w:val="auto"/>
              </w:rPr>
            </w:pPr>
            <w:r>
              <w:rPr>
                <w:rFonts w:ascii="Arial" w:cs="Arial" w:eastAsia="Arial" w:hAnsi="Arial"/>
                <w:sz w:val="18"/>
                <w:szCs w:val="18"/>
                <w:b w:val="1"/>
                <w:bCs w:val="1"/>
                <w:color w:val="auto"/>
                <w:w w:val="89"/>
              </w:rPr>
              <w:t>($ in thousands)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9,342</w:t>
            </w: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7,896</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1,446</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10,829</w:t>
            </w:r>
          </w:p>
        </w:tc>
        <w:tc>
          <w:tcPr>
            <w:tcW w:w="140" w:type="dxa"/>
            <w:vAlign w:val="bottom"/>
          </w:tcPr>
          <w:p>
            <w:pPr>
              <w:spacing w:after="0"/>
              <w:rPr>
                <w:sz w:val="18"/>
                <w:szCs w:val="18"/>
                <w:color w:val="auto"/>
              </w:rPr>
            </w:pPr>
          </w:p>
        </w:tc>
        <w:tc>
          <w:tcPr>
            <w:tcW w:w="1260" w:type="dxa"/>
            <w:vAlign w:val="bottom"/>
            <w:gridSpan w:val="2"/>
          </w:tcPr>
          <w:p>
            <w:pPr>
              <w:ind w:left="680"/>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8,772</w:t>
            </w:r>
          </w:p>
        </w:tc>
        <w:tc>
          <w:tcPr>
            <w:tcW w:w="140" w:type="dxa"/>
            <w:vAlign w:val="bottom"/>
          </w:tcPr>
          <w:p>
            <w:pPr>
              <w:spacing w:after="0"/>
              <w:rPr>
                <w:sz w:val="18"/>
                <w:szCs w:val="18"/>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2,057</w:t>
            </w:r>
          </w:p>
        </w:tc>
        <w:tc>
          <w:tcPr>
            <w:tcW w:w="34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6,138</w:t>
            </w: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5,528</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Restructuring expenses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76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340" w:type="dxa"/>
            <w:vAlign w:val="bottom"/>
          </w:tcPr>
          <w:p>
            <w:pPr>
              <w:spacing w:after="0"/>
              <w:rPr>
                <w:sz w:val="19"/>
                <w:szCs w:val="19"/>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Borders>
              <w:right w:val="single" w:sz="8" w:color="CCEEFF"/>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50"/>
        </w:trPr>
        <w:tc>
          <w:tcPr>
            <w:tcW w:w="31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26,402</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ind w:left="680"/>
              <w:spacing w:after="0"/>
              <w:rPr>
                <w:sz w:val="20"/>
                <w:szCs w:val="20"/>
                <w:color w:val="auto"/>
              </w:rPr>
            </w:pPr>
            <w:r>
              <w:rPr>
                <w:rFonts w:ascii="Arial" w:cs="Arial" w:eastAsia="Arial" w:hAnsi="Arial"/>
                <w:sz w:val="18"/>
                <w:szCs w:val="18"/>
                <w:color w:val="auto"/>
                <w:w w:val="79"/>
              </w:rPr>
              <w:t>47.4</w:t>
            </w:r>
          </w:p>
        </w:tc>
        <w:tc>
          <w:tcPr>
            <w:tcW w:w="280" w:type="dxa"/>
            <w:vAlign w:val="bottom"/>
            <w:tcBorders>
              <w:right w:val="single" w:sz="8" w:color="CCEEFF"/>
            </w:tcBorders>
            <w:vMerge w:val="continue"/>
            <w:shd w:val="clear" w:color="auto" w:fill="CCEEFF"/>
          </w:tcPr>
          <w:p>
            <w:pPr>
              <w:spacing w:after="0"/>
              <w:rPr>
                <w:sz w:val="21"/>
                <w:szCs w:val="21"/>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22,196</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4,206</w:t>
            </w: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-908685</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increased by 18.3% in the six months ended June 30, 2017 compared to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2016. This resulted primarily from an increase of $0.8 million in salaries and related personnel expenses and share based compensation due to the hiring of additional personnel reflecting an increase in headcount compared to the same period in the previous year, an increase of $0.8 million in costs due to increased research and development activity, which primarily includes $0.5 million in facilities costs in connection with the expansion of our headquarters in Rosh Ha'Ayin, Israel and the Chemistry lab in Lev Ha'aretz industrial area, and an increase of $0.5 million in depreciation compared to the same period in the previous year. As a percentage of total revenues, our research and development expenses decreased during this period, from 17.2% in the six months ended June 30, 2016 to 16.8% in the six months ended June 30, 2017.</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increased by 23.4% in the six months ended June 30, 2017 compared to the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2016. This increase was primarily due to an increase of $0.9 million in salaries and related personnel expenses and share based compensation expenses due to the hiring of additional sales and marketing personnel in the six months ended June 30, 2017 reflecting an increase in headcount compared to the same period in the previous year, an increase of $0.7 million due to amortization of the intangible assets purchased from SPSI, and an increase of $0.3 million in facilities costs in connection with the expansion of our headquarters in Rosh Ha’Ayin, Israel. As a percentage of total revenues, our sales and marketing expenses increased during this period, from 19.2% in the six months ended June 30, 2016 to 19.4% in the six months ended June 30, 2017.</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by 11.0% in the six months ended June 30, 2017 compared to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2016. This resulted primarily from an increase of $0.7 million in salaries and related personnel expenses and share based compensation due to the hiring of additional personnel reflecting an increase in headcount compared to the same period in the previous year, an increase of $0.2 million in Consulting expenses mainly because of our secondary offering which were offset with a decrease of $0.2 million in bad debts. As a percentage of total revenues, our general and administrative expenses decreased during this period, from 12.1% in the six months ended June 30, 2016 to 11% in the six months ended June 30, 2017.</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Restructuring Expenses. </w:t>
      </w:r>
      <w:r>
        <w:rPr>
          <w:rFonts w:ascii="Arial" w:cs="Arial" w:eastAsia="Arial" w:hAnsi="Arial"/>
          <w:sz w:val="18"/>
          <w:szCs w:val="18"/>
          <w:color w:val="auto"/>
        </w:rPr>
        <w:t>Restructuring expenses in the six months ended June 30, 2017, related to the relocation of our business activities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Midwest to the East Coast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income,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income, net, was relatively flat between the six months ended June 30, 2017 and the six months ended June 30, 2016.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Taxes on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Taxes on income decreased to $0.3 million the six months ended June 30, 2017 from $0.4 million in the six months ended June 30, 2016.</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2017, we had approximately $25.7 million in cash and cash equivalents, no short-term bank deposits and $63.6 million in marketable securities, and together with the cash and cash equivalents, $89.3 million.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2017, the Company had two lines of credit with Israeli banks for total borrowings of up to $3 million, all of which was undrawn as of June 30, 2017. These lines of credit are unsecured and available subject to the Company’s maintenance of a 30% ratio of total tangible shareholders' equity to total tangible assets and that the total credit use will be less than 70% of the Company’s and its subsidiaries’ receivables. Interest rates across these credit lines varied from 0.2% to 2.3% as of June 30, 2017.</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on our current business plans, we believe that our cash flows from operating activities and our existing cash resources will be sufficient to fund our projected cash requirements for at least the next 12 months without drawing on our lines of credit or using cash on hand. Our future capital requirements will depend on many factors, including our rate of revenue growth, the timing and extent of spending to support product development efforts, the expansion of our sales and marketing activities, and the timing of introductions of new solutions and the continuing market acceptance of our solutions as well as other business development efforts.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tcPr>
          <w:p>
            <w:pPr>
              <w:ind w:left="660"/>
              <w:spacing w:after="0"/>
              <w:rPr>
                <w:sz w:val="20"/>
                <w:szCs w:val="20"/>
                <w:color w:val="auto"/>
              </w:rPr>
            </w:pPr>
            <w:r>
              <w:rPr>
                <w:rFonts w:ascii="Arial" w:cs="Arial" w:eastAsia="Arial" w:hAnsi="Arial"/>
                <w:sz w:val="18"/>
                <w:szCs w:val="18"/>
                <w:color w:val="auto"/>
                <w:w w:val="98"/>
              </w:rPr>
              <w:t>The following table presents the major components of net cash flows for the periods presented:</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0"/>
              </w:rPr>
              <w:t>Six Months Ended</w:t>
            </w:r>
          </w:p>
        </w:tc>
      </w:tr>
      <w:tr>
        <w:trPr>
          <w:trHeight w:val="241"/>
        </w:trPr>
        <w:tc>
          <w:tcPr>
            <w:tcW w:w="8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8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6"/>
        </w:trPr>
        <w:tc>
          <w:tcPr>
            <w:tcW w:w="8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(6,792)</w:t>
            </w: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(29,027)</w:t>
            </w:r>
          </w:p>
        </w:tc>
        <w:tc>
          <w:tcPr>
            <w:tcW w:w="3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(642)</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35,024</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operating activities in the six months ended June 30, 2017 was $3.2 million.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used in operating activities consisted of a decrease of approximately $2.9 million in trade receivables. Our days sales’ outstanding, or DSO, for the six months ended June 30, 2017 was 93 compared to 99 for the six months ended June 30, 2016 primarily due to an increase in the sales to direct customers.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same period, we experienced an increase of $8.6 million in inventory. This was primarily due to our strategy of increasing inventory levels to meet anticipated customer demand for our solutions. Our trade payables decreased by $2.1 million.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Six Months Ended June 30,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operating activities in the six months ended June 30, 2016 was $6.8 million.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operating activities consisted of an increase of approximately $3.6 million in trade receivables due primarily to the growth of our business and better payment terms to our customers.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same period, we experienced an increase of $5.0 million in inventory. This was primarily due to our strategy of increasing inventory levels to meet anticipated customer demand for our solutions.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2017</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used in investing activities was $29.0 million for the six months ended June 30, 2017, which was primarily attributable to our purchase of marketable securities of $70.6 million offset by proceeds from the sale and maturity of marketable securities of $45.1 million and our investment in property and equipment of $3.4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2016</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used in investing activities was $642 thousand for the six months ended June 30, 2016, which was primarily attributable to our purchase of marketable securities of $7.1 million and purchase of property and equipment of $1.5 million offset by proceeds from short-term bank deposits of $4.0 million and proceeds from the sale and maturity of marketable securities of $4.0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2017</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provided by financing activities was $35.0 million for the six months ended June 30, 2017, which was primarily attributable to a follow-on offering completed on January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cash provided by financing activities was $0.3 million for the six months ended June 30, 2016, which was attributable to the exercise of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Certain information herein may be deemed to be “forward-looking statements” within the meaning of the Private Securities Litigation Reform Act of 1995, Section 27A of the Securities Act of 1933, and Section 21E of the Securities Exchange Act of 1934. Forward-looking statements are those that predict or describe future events or trends and that do not relate solely to historical matters. You can generally identify forward-looking statements as statements containing the words “may,” “will,” “could,” “should,” “expect,” “anticipate,” “intend,” “estimate,” “believe,” “project,” “plan,” “assume” or other similar expressions, or negatives of those expressions, although not all forward-looking statements contain these identifying words</w:t>
      </w:r>
      <w:r>
        <w:rPr>
          <w:rFonts w:ascii="Arial" w:cs="Arial" w:eastAsia="Arial" w:hAnsi="Arial"/>
          <w:sz w:val="17"/>
          <w:szCs w:val="17"/>
          <w:i w:val="1"/>
          <w:iCs w:val="1"/>
          <w:color w:val="auto"/>
        </w:rPr>
        <w:t>.</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forward-looking statements may include, but are not limited to, statements regarding our future strategy, future operations, projected financial position, proposed products, estimated future revenues, projected costs, future prospects, the future of our industry and results that might be obtained by pursuing management’s current plans and objectives</w:t>
      </w:r>
      <w:r>
        <w:rPr>
          <w:rFonts w:ascii="Arial" w:cs="Arial" w:eastAsia="Arial" w:hAnsi="Arial"/>
          <w:sz w:val="18"/>
          <w:szCs w:val="18"/>
          <w:i w:val="1"/>
          <w:iCs w:val="1"/>
          <w:color w:val="auto"/>
        </w:rPr>
        <w: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ind w:firstLine="648"/>
        <w:spacing w:after="0" w:line="259" w:lineRule="auto"/>
        <w:rPr>
          <w:sz w:val="20"/>
          <w:szCs w:val="20"/>
          <w:color w:val="auto"/>
        </w:rPr>
      </w:pPr>
      <w:r>
        <w:rPr>
          <w:rFonts w:ascii="Arial" w:cs="Arial" w:eastAsia="Arial" w:hAnsi="Arial"/>
          <w:sz w:val="18"/>
          <w:szCs w:val="18"/>
          <w:color w:val="auto"/>
        </w:rPr>
        <w:t>These forward-looking statements may include, but are not limited to, statements relating to our objectives, plans and strategies, statements that contain projections of results of operations or of financial condition and all statements (other than statements of historical facts) that address activities, events or developments that we expect, project, believe, anticipate, intend or project will or may occur in the future. The statements that we make regarding the following matters are forward-looking by their nature:</w:t>
      </w:r>
    </w:p>
    <w:p>
      <w:pPr>
        <w:spacing w:after="0" w:line="187"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expectations regarding the expansion of our servable addressable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expectations regarding our future gross margins and operating expenses;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expectations regarding our growth and overall profitability;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expectations regarding the impacts of variability on our future revenues;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expectations regarding drivers of our future growth, including anticipated sales growth, penetration of new markets, and expansion of our customer base;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plans to continue our expansion into new product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plans to continue to invest in research and development to introduce new systems and improved solutions;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expectations regarding the success of our new products and systems;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expectations regarding our anticipated cash requirements for the next 12 months;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plans to expand our international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plans to file and procure additional patents relating to our intellectual property rights and the adequate protection of these rights;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plans to pursue strategic acquisitions or invest in complementary companies, products or technologies;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preceding list is not intended to be an exhaustive list of all of our forward-looking statements. 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differ materially from the results, levels of activity, performance or achievements expressed or implied by the forward-looking statements. In particular, you should consider the risks described in our Annual Report on Form 20-F for the year ended December 31, 2016, which is on file with the Securities and Exchange Commission ("SEC"), and the other risk factors discussed from time to time by our company in reports filed or furnished to the SEC.</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and events and circumstances reflected in the forward-looking statements will be achieved or will occur.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lowerLetter"/>
      <w:start w:val="1"/>
    </w:lvl>
  </w:abstractNum>
  <w:abstractNum w:abstractNumId="1">
    <w:nsid w:val="7545E146"/>
    <w:multiLevelType w:val="hybridMultilevel"/>
    <w:lvl w:ilvl="0">
      <w:lvlJc w:val="left"/>
      <w:lvlText w:val="%1."/>
      <w:numFmt w:val="lowerLetter"/>
      <w:start w:val="1"/>
    </w:lvl>
  </w:abstractNum>
  <w:abstractNum w:abstractNumId="2">
    <w:nsid w:val="515F007C"/>
    <w:multiLevelType w:val="hybridMultilevel"/>
    <w:lvl w:ilvl="0">
      <w:lvlJc w:val="left"/>
      <w:lvlText w:val="%1."/>
      <w:numFmt w:val="lowerLetter"/>
      <w:start w:val="2"/>
    </w:lvl>
    <w:lvl w:ilvl="1">
      <w:lvlJc w:val="left"/>
      <w:lvlText w:val="%2."/>
      <w:numFmt w:val="decimal"/>
      <w:start w:val="1"/>
    </w:lvl>
  </w:abstractNum>
  <w:abstractNum w:abstractNumId="3">
    <w:nsid w:val="5BD062C2"/>
    <w:multiLevelType w:val="hybridMultilevel"/>
    <w:lvl w:ilvl="0">
      <w:lvlJc w:val="left"/>
      <w:lvlText w:val="%1."/>
      <w:numFmt w:val="decimal"/>
      <w:start w:val="3"/>
    </w:lvl>
  </w:abstractNum>
  <w:abstractNum w:abstractNumId="4">
    <w:nsid w:val="12200854"/>
    <w:multiLevelType w:val="hybridMultilevel"/>
    <w:lvl w:ilvl="0">
      <w:lvlJc w:val="left"/>
      <w:lvlText w:val="%1."/>
      <w:numFmt w:val="decimal"/>
      <w:start w:val="4"/>
    </w:lvl>
  </w:abstractNum>
  <w:abstractNum w:abstractNumId="5">
    <w:nsid w:val="4DB127F8"/>
    <w:multiLevelType w:val="hybridMultilevel"/>
    <w:lvl w:ilvl="0">
      <w:lvlJc w:val="left"/>
      <w:lvlText w:val="%1."/>
      <w:numFmt w:val="decimal"/>
      <w:start w:val="6"/>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3"/>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2"/>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lowerLetter"/>
      <w:start w:val="3"/>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2019-12-08T01:25:22Z</dcterms:created>
  <dcterms:modified xsi:type="dcterms:W3CDTF">2019-12-08T01:25:22Z</dcterms:modified>
</cp:coreProperties>
</file>