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September 2018</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80"/>
        <w:spacing w:after="0" w:line="207" w:lineRule="exact"/>
        <w:tabs>
          <w:tab w:leader="none" w:pos="59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31"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on 2018 First-Half Results</w:t>
      </w:r>
    </w:p>
    <w:p>
      <w:pPr>
        <w:spacing w:after="0" w:line="221"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This Report of Foreign Private Issuer on Form 6-K (this “</w:t>
      </w:r>
      <w:r>
        <w:rPr>
          <w:rFonts w:ascii="Arial" w:cs="Arial" w:eastAsia="Arial" w:hAnsi="Arial"/>
          <w:sz w:val="18"/>
          <w:szCs w:val="18"/>
          <w:b w:val="1"/>
          <w:bCs w:val="1"/>
          <w:color w:val="auto"/>
        </w:rPr>
        <w:t>Form 6-K</w:t>
      </w:r>
      <w:r>
        <w:rPr>
          <w:rFonts w:ascii="Arial" w:cs="Arial" w:eastAsia="Arial" w:hAnsi="Arial"/>
          <w:sz w:val="18"/>
          <w:szCs w:val="18"/>
          <w:color w:val="auto"/>
        </w:rPr>
        <w:t>”) is being furnished by Kornit Digital Ltd. (“</w:t>
      </w:r>
      <w:r>
        <w:rPr>
          <w:rFonts w:ascii="Arial" w:cs="Arial" w:eastAsia="Arial" w:hAnsi="Arial"/>
          <w:sz w:val="18"/>
          <w:szCs w:val="18"/>
          <w:b w:val="1"/>
          <w:bCs w:val="1"/>
          <w:color w:val="auto"/>
        </w:rPr>
        <w:t>Kornit Digital</w:t>
      </w:r>
      <w:r>
        <w:rPr>
          <w:rFonts w:ascii="Arial" w:cs="Arial" w:eastAsia="Arial" w:hAnsi="Arial"/>
          <w:sz w:val="18"/>
          <w:szCs w:val="18"/>
          <w:color w:val="auto"/>
        </w:rPr>
        <w:t>”)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for the sole purposes of: (i) furnishing,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Form 6-K, unaudited interim consolidated financial statements of Kornit Digital as of, and for the six month period ended, June 30, 2018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xml:space="preserve">”); and (ii) furnishing,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to this Form 6-K, Management’s Discussion and Analysis of Financial Condition and Results of Operations, which discusses and analyzes Kornit Digital’s financial condition and results of operations as of, and for the six month period ended, June 30, 2018.</w:t>
      </w:r>
    </w:p>
    <w:p>
      <w:pPr>
        <w:spacing w:after="0" w:line="18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foregoing six-month unaudited condensed interim consolidated financial statements of Kornit Digital, together with Management’s Discussion and Analysis of Financial Condition and Results of Operations covering that six month period, are incorporated by reference into Kornit Digital’s registration statements on Form F-3 (File No. 333-215404) and Form S-8 (File Nos. 333-203970, 333-214015, 333-217039 and 333-223794).</w:t>
      </w:r>
    </w:p>
    <w:p>
      <w:pPr>
        <w:spacing w:after="0" w:line="16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101</w:t>
      </w:r>
      <w:r>
        <w:rPr>
          <w:rFonts w:ascii="Arial" w:cs="Arial" w:eastAsia="Arial" w:hAnsi="Arial"/>
          <w:sz w:val="18"/>
          <w:szCs w:val="18"/>
          <w:color w:val="auto"/>
        </w:rPr>
        <w:t xml:space="preserve"> are the Financial Statements, formatted in XBRL (eXtensible Business Reporting Language), consisting of the following sub-exhibits: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8"/>
                <w:szCs w:val="18"/>
                <w:color w:val="auto"/>
              </w:rPr>
            </w:pPr>
          </w:p>
        </w:tc>
      </w:tr>
      <w:tr>
        <w:trPr>
          <w:trHeight w:val="26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Document Description</w:t>
            </w: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EX-101.INS</w:t>
            </w:r>
          </w:p>
        </w:tc>
        <w:tc>
          <w:tcPr>
            <w:tcW w:w="120" w:type="dxa"/>
            <w:vAlign w:val="bottom"/>
            <w:tcBorders>
              <w:top w:val="single" w:sz="8" w:color="CCEEFF"/>
            </w:tcBorders>
            <w:shd w:val="clear" w:color="auto" w:fill="CCEEFF"/>
          </w:tcPr>
          <w:p>
            <w:pPr>
              <w:spacing w:after="0"/>
              <w:rPr>
                <w:sz w:val="18"/>
                <w:szCs w:val="18"/>
                <w:color w:val="auto"/>
              </w:rPr>
            </w:pPr>
          </w:p>
        </w:tc>
        <w:tc>
          <w:tcPr>
            <w:tcW w:w="10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XBRL Taxonomy Instance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EX-101.SCH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EX-101.CAL</w:t>
            </w: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EX-101.DEF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EX-101.LAB</w:t>
            </w: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EX-101.PRE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87"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XBRL related information in Exhibit 101 to this Form 6-K shall not deemed “filed” for purposes of Section 18 of the Securities Exchange Act of 1934, as amended, or otherwise subject to liability under that section and shall not be incorporated by reference into any filing or other document pursuant to the Securities Act of 1933, as amended, except as shall be expressly set forth by specific reference in such filing or document.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September 21,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877" w:right="7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740" w:type="dxa"/>
            <w:vAlign w:val="bottom"/>
            <w:gridSpan w:val="3"/>
          </w:tcPr>
          <w:p>
            <w:pPr>
              <w:ind w:left="2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9"/>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520" w:type="dxa"/>
            <w:vAlign w:val="bottom"/>
          </w:tcPr>
          <w:p>
            <w:pPr>
              <w:spacing w:after="0"/>
              <w:rPr>
                <w:sz w:val="24"/>
                <w:szCs w:val="24"/>
                <w:color w:val="auto"/>
              </w:rPr>
            </w:pPr>
          </w:p>
        </w:tc>
        <w:tc>
          <w:tcPr>
            <w:tcW w:w="8740" w:type="dxa"/>
            <w:vAlign w:val="bottom"/>
            <w:gridSpan w:val="3"/>
          </w:tcPr>
          <w:p>
            <w:pPr>
              <w:ind w:left="31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260" w:type="dxa"/>
            <w:vAlign w:val="bottom"/>
            <w:tcBorders>
              <w:top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Unaudited condensed interim consolidated financial statements of the registrant as of, and for, the six month period ended June 30, 2018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8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10260" w:type="dxa"/>
            <w:vAlign w:val="bottom"/>
            <w:gridSpan w:val="4"/>
          </w:tcPr>
          <w:p>
            <w:pPr>
              <w:spacing w:after="0" w:line="176" w:lineRule="exact"/>
              <w:rPr>
                <w:sz w:val="20"/>
                <w:szCs w:val="20"/>
                <w:color w:val="auto"/>
              </w:rPr>
            </w:pPr>
            <w:r>
              <w:rPr>
                <w:rFonts w:ascii="Arial" w:cs="Arial" w:eastAsia="Arial" w:hAnsi="Arial"/>
                <w:sz w:val="18"/>
                <w:szCs w:val="18"/>
                <w:color w:val="0000EE"/>
                <w:w w:val="91"/>
              </w:rPr>
              <w:t>Management’s Discussion and Analysis of Financial Condition and Results of Operations of the registrant as of, and for the six month 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ended, June 30, 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EX-101.INS</w:t>
            </w:r>
          </w:p>
        </w:tc>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XBRL Taxonomy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EX-101.SCH</w:t>
            </w:r>
          </w:p>
        </w:tc>
        <w:tc>
          <w:tcPr>
            <w:tcW w:w="102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EX-101.CAL</w:t>
            </w:r>
          </w:p>
        </w:tc>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EX-101.DEF</w:t>
            </w:r>
          </w:p>
        </w:tc>
        <w:tc>
          <w:tcPr>
            <w:tcW w:w="102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EX-101.LAB</w:t>
            </w:r>
          </w:p>
        </w:tc>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EX-101.PRE</w:t>
            </w:r>
          </w:p>
        </w:tc>
        <w:tc>
          <w:tcPr>
            <w:tcW w:w="10260" w:type="dxa"/>
            <w:vAlign w:val="bottom"/>
            <w:gridSpan w:val="4"/>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gridSpan w:val="2"/>
          </w:tcPr>
          <w:p>
            <w:pPr>
              <w:ind w:left="4500"/>
              <w:spacing w:after="0"/>
              <w:rPr>
                <w:sz w:val="20"/>
                <w:szCs w:val="20"/>
                <w:color w:val="auto"/>
              </w:rPr>
            </w:pPr>
            <w:r>
              <w:rPr>
                <w:rFonts w:ascii="Arial" w:cs="Arial" w:eastAsia="Arial" w:hAnsi="Arial"/>
                <w:sz w:val="22"/>
                <w:szCs w:val="22"/>
                <w:color w:val="auto"/>
              </w:rPr>
              <w:t>3</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w:t>
            </w:r>
          </w:p>
        </w:tc>
        <w:tc>
          <w:tcPr>
            <w:tcW w:w="666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b w:val="1"/>
                <w:bCs w:val="1"/>
                <w:color w:val="auto"/>
                <w:w w:val="92"/>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Consolidated Statements of Comprehensive Income (Loss)</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666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b w:val="1"/>
                <w:bCs w:val="1"/>
                <w:color w:val="auto"/>
                <w:w w:val="92"/>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to Consolidated Interim Financial Statements</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b w:val="1"/>
                <w:bCs w:val="1"/>
                <w:color w:val="auto"/>
                <w:w w:val="94"/>
              </w:rPr>
              <w:t>8-21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520" w:type="dxa"/>
            <w:vAlign w:val="bottom"/>
          </w:tcPr>
          <w:p>
            <w:pPr>
              <w:jc w:val="right"/>
              <w:ind w:right="3810"/>
              <w:spacing w:after="0"/>
              <w:rPr>
                <w:sz w:val="20"/>
                <w:szCs w:val="20"/>
                <w:color w:val="auto"/>
              </w:rPr>
            </w:pPr>
            <w:r>
              <w:rPr>
                <w:rFonts w:ascii="Arial" w:cs="Arial" w:eastAsia="Arial" w:hAnsi="Arial"/>
                <w:sz w:val="18"/>
                <w:szCs w:val="18"/>
                <w:color w:val="auto"/>
              </w:rPr>
              <w:t>- - - - - - - - - - - - -</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5" w:name="page6"/>
    <w:bookmarkEnd w:id="5"/>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Short-term bank deposits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Trade receivables, net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33,162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Other accounts receivable</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96,818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89,427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77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Deposits and other long-term assets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Severance pay fund</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Deferred tax asset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long-term assets</w:t>
            </w: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87,034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88,947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183,852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140" w:type="dxa"/>
            <w:vAlign w:val="bottom"/>
            <w:gridSpan w:val="3"/>
            <w:vMerge w:val="restart"/>
          </w:tcPr>
          <w:p>
            <w:pPr>
              <w:spacing w:after="0"/>
              <w:rPr>
                <w:sz w:val="20"/>
                <w:szCs w:val="20"/>
                <w:color w:val="auto"/>
              </w:rPr>
            </w:pPr>
            <w:r>
              <w:rPr>
                <w:rFonts w:ascii="Arial" w:cs="Arial" w:eastAsia="Arial" w:hAnsi="Arial"/>
                <w:sz w:val="18"/>
                <w:szCs w:val="18"/>
                <w:color w:val="auto"/>
                <w:w w:val="98"/>
              </w:rPr>
              <w:t>The accompanying notes are an integral part of the unaudited interim consolidated financial statements.</w:t>
            </w: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8120" w:type="dxa"/>
            <w:vAlign w:val="bottom"/>
            <w:tcBorders>
              <w:bottom w:val="single" w:sz="8" w:color="auto"/>
            </w:tcBorders>
            <w:gridSpan w:val="2"/>
          </w:tcPr>
          <w:p>
            <w:pPr>
              <w:ind w:left="5660"/>
              <w:spacing w:after="0"/>
              <w:rPr>
                <w:sz w:val="20"/>
                <w:szCs w:val="20"/>
                <w:color w:val="auto"/>
              </w:rPr>
            </w:pPr>
            <w:r>
              <w:rPr>
                <w:rFonts w:ascii="Arial" w:cs="Arial" w:eastAsia="Arial" w:hAnsi="Arial"/>
                <w:sz w:val="18"/>
                <w:szCs w:val="18"/>
                <w:color w:val="auto"/>
              </w:rPr>
              <w:t>2</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 w:name="page7"/>
    <w:bookmarkEnd w:id="6"/>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gridSpan w:val="5"/>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6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Employees and payroll accruals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Other payables and accrued expenses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40" w:type="dxa"/>
            <w:vAlign w:val="bottom"/>
            <w:gridSpan w:val="4"/>
          </w:tcPr>
          <w:p>
            <w:pPr>
              <w:spacing w:after="0" w:line="15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rPr>
              <w:t>23,931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25,520</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Borders>
              <w:top w:val="single" w:sz="8" w:color="auto"/>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LONG TERM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Payment obligation related to acquisition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40" w:type="dxa"/>
            <w:vAlign w:val="bottom"/>
            <w:gridSpan w:val="4"/>
          </w:tcPr>
          <w:p>
            <w:pPr>
              <w:spacing w:after="0" w:line="156" w:lineRule="exact"/>
              <w:rPr>
                <w:sz w:val="20"/>
                <w:szCs w:val="20"/>
                <w:color w:val="auto"/>
              </w:rPr>
            </w:pPr>
            <w:r>
              <w:rPr>
                <w:rFonts w:ascii="Arial" w:cs="Arial" w:eastAsia="Arial" w:hAnsi="Arial"/>
                <w:sz w:val="18"/>
                <w:szCs w:val="18"/>
                <w:color w:val="auto"/>
              </w:rPr>
              <w:t>Total long-term liabilities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rPr>
              <w:t>2,119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Borders>
              <w:top w:val="single" w:sz="8" w:color="auto"/>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Ordinary shares of NIS 0.01 par value –</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Authorized: 200,000,000 shares as of December 31, 2017 and June 30, 2018; Issued and Outstanding: 34,124,223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shares and 34,385,330 shares as of December 31, 2017 and June 30, 2018, respectively</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145,170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Receipt on account of shares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8"/>
                <w:szCs w:val="18"/>
                <w:color w:val="auto"/>
              </w:rPr>
              <w:t>157,802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150,699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4"/>
              </w:rPr>
              <w:t>Total</w:t>
            </w:r>
          </w:p>
        </w:tc>
        <w:tc>
          <w:tcPr>
            <w:tcW w:w="8120" w:type="dxa"/>
            <w:vAlign w:val="bottom"/>
            <w:tcBorders>
              <w:bottom w:val="single" w:sz="8" w:color="CCEEFF"/>
            </w:tcBorders>
            <w:vMerge w:val="restart"/>
            <w:shd w:val="clear" w:color="auto" w:fill="CCEEFF"/>
          </w:tcPr>
          <w:p>
            <w:pPr>
              <w:jc w:val="right"/>
              <w:ind w:right="5510"/>
              <w:spacing w:after="0"/>
              <w:rPr>
                <w:sz w:val="20"/>
                <w:szCs w:val="20"/>
                <w:color w:val="auto"/>
              </w:rPr>
            </w:pPr>
            <w:r>
              <w:rPr>
                <w:rFonts w:ascii="Arial" w:cs="Arial" w:eastAsia="Arial" w:hAnsi="Arial"/>
                <w:sz w:val="18"/>
                <w:szCs w:val="18"/>
                <w:color w:val="auto"/>
                <w:w w:val="92"/>
              </w:rPr>
              <w:t>liabilities and shareholders’ equity</w:t>
            </w:r>
          </w:p>
        </w:tc>
        <w:tc>
          <w:tcPr>
            <w:tcW w:w="320" w:type="dxa"/>
            <w:vAlign w:val="bottom"/>
            <w:tcBorders>
              <w:bottom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183,852</w:t>
            </w:r>
          </w:p>
        </w:tc>
        <w:tc>
          <w:tcPr>
            <w:tcW w:w="320" w:type="dxa"/>
            <w:vAlign w:val="bottom"/>
            <w:tcBorders>
              <w:bottom w:val="single" w:sz="8" w:color="CCEEFF"/>
            </w:tcBorders>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178,374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60" w:type="dxa"/>
            <w:vAlign w:val="bottom"/>
            <w:gridSpan w:val="2"/>
            <w:shd w:val="clear" w:color="auto" w:fill="CCEEFF"/>
          </w:tcPr>
          <w:p>
            <w:pPr>
              <w:spacing w:after="0"/>
              <w:rPr>
                <w:sz w:val="5"/>
                <w:szCs w:val="5"/>
                <w:color w:val="auto"/>
              </w:rPr>
            </w:pPr>
          </w:p>
        </w:tc>
        <w:tc>
          <w:tcPr>
            <w:tcW w:w="812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6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8640" w:type="dxa"/>
            <w:vAlign w:val="bottom"/>
            <w:tcBorders>
              <w:bottom w:val="single" w:sz="8" w:color="auto"/>
            </w:tcBorders>
            <w:gridSpan w:val="4"/>
          </w:tcPr>
          <w:p>
            <w:pPr>
              <w:jc w:val="right"/>
              <w:ind w:right="281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5715</wp:posOffset>
            </wp:positionV>
            <wp:extent cx="15862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1" w:lineRule="exact"/>
        <w:rPr>
          <w:sz w:val="20"/>
          <w:szCs w:val="20"/>
          <w:color w:val="auto"/>
        </w:rPr>
      </w:pPr>
    </w:p>
    <w:p>
      <w:pPr>
        <w:ind w:left="9200"/>
        <w:spacing w:after="0"/>
        <w:tabs>
          <w:tab w:leader="none" w:pos="105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1586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Services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Products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Restructuring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w:t>
      </w:r>
      <w:r>
        <w:rPr>
          <w:rFonts w:ascii="Arial" w:cs="Arial" w:eastAsia="Arial" w:hAnsi="Arial"/>
          <w:sz w:val="18"/>
          <w:szCs w:val="18"/>
          <w:color w:val="auto"/>
        </w:rPr>
        <w:t xml:space="preserve">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Finance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Income (loss) before taxes on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58,850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50,406</w:t>
            </w:r>
          </w:p>
        </w:tc>
        <w:tc>
          <w:tcPr>
            <w:tcW w:w="60" w:type="dxa"/>
            <w:vAlign w:val="bottom"/>
          </w:tcPr>
          <w:p>
            <w:pPr>
              <w:spacing w:after="0"/>
              <w:rPr>
                <w:sz w:val="19"/>
                <w:szCs w:val="19"/>
                <w:color w:val="auto"/>
              </w:rPr>
            </w:pPr>
          </w:p>
        </w:tc>
      </w:tr>
      <w:tr>
        <w:trPr>
          <w:trHeight w:val="237"/>
        </w:trPr>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5,285</w:t>
            </w:r>
          </w:p>
        </w:tc>
        <w:tc>
          <w:tcPr>
            <w:tcW w:w="60" w:type="dxa"/>
            <w:vAlign w:val="bottom"/>
          </w:tcPr>
          <w:p>
            <w:pPr>
              <w:spacing w:after="0"/>
              <w:rPr>
                <w:sz w:val="20"/>
                <w:szCs w:val="20"/>
                <w:color w:val="auto"/>
              </w:rPr>
            </w:pPr>
          </w:p>
        </w:tc>
      </w:t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55,691</w:t>
            </w:r>
          </w:p>
        </w:tc>
        <w:tc>
          <w:tcPr>
            <w:tcW w:w="60" w:type="dxa"/>
            <w:vAlign w:val="bottom"/>
          </w:tcPr>
          <w:p>
            <w:pPr>
              <w:spacing w:after="0"/>
              <w:rPr>
                <w:sz w:val="19"/>
                <w:szCs w:val="19"/>
                <w:color w:val="auto"/>
              </w:rPr>
            </w:pPr>
          </w:p>
        </w:tc>
      </w:tr>
      <w:tr>
        <w:trPr>
          <w:trHeight w:val="647"/>
        </w:trPr>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25,232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24,075</w:t>
            </w:r>
          </w:p>
        </w:tc>
        <w:tc>
          <w:tcPr>
            <w:tcW w:w="6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6,556</w:t>
            </w:r>
          </w:p>
        </w:tc>
        <w:tc>
          <w:tcPr>
            <w:tcW w:w="60" w:type="dxa"/>
            <w:vAlign w:val="bottom"/>
          </w:tcPr>
          <w:p>
            <w:pPr>
              <w:spacing w:after="0"/>
              <w:rPr>
                <w:sz w:val="20"/>
                <w:szCs w:val="20"/>
                <w:color w:val="auto"/>
              </w:rPr>
            </w:pPr>
          </w:p>
        </w:tc>
      </w:t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30,631</w:t>
            </w:r>
          </w:p>
        </w:tc>
        <w:tc>
          <w:tcPr>
            <w:tcW w:w="60" w:type="dxa"/>
            <w:vAlign w:val="bottom"/>
          </w:tcPr>
          <w:p>
            <w:pPr>
              <w:spacing w:after="0"/>
              <w:rPr>
                <w:sz w:val="19"/>
                <w:szCs w:val="19"/>
                <w:color w:val="auto"/>
              </w:rPr>
            </w:pPr>
          </w:p>
        </w:tc>
      </w:tr>
      <w:tr>
        <w:trPr>
          <w:trHeight w:val="446"/>
        </w:trPr>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32,817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25,060</w:t>
            </w:r>
          </w:p>
        </w:tc>
        <w:tc>
          <w:tcPr>
            <w:tcW w:w="60" w:type="dxa"/>
            <w:vAlign w:val="bottom"/>
          </w:tcPr>
          <w:p>
            <w:pPr>
              <w:spacing w:after="0"/>
              <w:rPr>
                <w:sz w:val="24"/>
                <w:szCs w:val="24"/>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4"/>
        </w:trPr>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10,589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9,342</w:t>
            </w:r>
          </w:p>
        </w:tc>
        <w:tc>
          <w:tcPr>
            <w:tcW w:w="6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10,829</w:t>
            </w:r>
          </w:p>
        </w:tc>
        <w:tc>
          <w:tcPr>
            <w:tcW w:w="60" w:type="dxa"/>
            <w:vAlign w:val="bottom"/>
          </w:tcPr>
          <w:p>
            <w:pPr>
              <w:spacing w:after="0"/>
              <w:rPr>
                <w:sz w:val="18"/>
                <w:szCs w:val="18"/>
                <w:color w:val="auto"/>
              </w:rPr>
            </w:pPr>
          </w:p>
        </w:tc>
      </w:tr>
      <w:tr>
        <w:trPr>
          <w:trHeight w:val="230"/>
        </w:trPr>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6,138</w:t>
            </w:r>
          </w:p>
        </w:tc>
        <w:tc>
          <w:tcPr>
            <w:tcW w:w="6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0"/>
                <w:szCs w:val="20"/>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6"/>
        </w:trPr>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31,110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26,402</w:t>
            </w:r>
          </w:p>
        </w:tc>
        <w:tc>
          <w:tcPr>
            <w:tcW w:w="60" w:type="dxa"/>
            <w:vAlign w:val="bottom"/>
          </w:tcPr>
          <w:p>
            <w:pPr>
              <w:spacing w:after="0"/>
              <w:rPr>
                <w:sz w:val="24"/>
                <w:szCs w:val="24"/>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6"/>
        </w:trPr>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(1,342)</w:t>
            </w: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6"/>
        </w:trPr>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4"/>
                <w:szCs w:val="24"/>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0"/>
        </w:trPr>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(1,249)</w:t>
            </w:r>
          </w:p>
        </w:tc>
      </w:tr>
    </w:tbl>
    <w:p>
      <w:pPr>
        <w:spacing w:after="0" w:line="20" w:lineRule="exact"/>
        <w:rPr>
          <w:sz w:val="20"/>
          <w:szCs w:val="20"/>
          <w:color w:val="auto"/>
        </w:rPr>
      </w:pPr>
    </w:p>
    <w:p>
      <w:pPr>
        <w:sectPr>
          <w:pgSz w:w="11900" w:h="16838" w:orient="portrait"/>
          <w:cols w:equalWidth="0" w:num="2">
            <w:col w:w="8100" w:space="720"/>
            <w:col w:w="260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(1,522</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w w:val="98"/>
              </w:rPr>
              <w:t>The accompanying notes are an integral part of the unaudited interim consolidated financial statements.</w:t>
            </w: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8120" w:type="dxa"/>
            <w:vAlign w:val="bottom"/>
            <w:tcBorders>
              <w:bottom w:val="single" w:sz="8" w:color="auto"/>
            </w:tcBorders>
          </w:tcPr>
          <w:p>
            <w:pPr>
              <w:jc w:val="right"/>
              <w:ind w:right="2290"/>
              <w:spacing w:after="0"/>
              <w:rPr>
                <w:sz w:val="20"/>
                <w:szCs w:val="20"/>
                <w:color w:val="auto"/>
              </w:rPr>
            </w:pPr>
            <w:r>
              <w:rPr>
                <w:rFonts w:ascii="Arial" w:cs="Arial" w:eastAsia="Arial" w:hAnsi="Arial"/>
                <w:sz w:val="18"/>
                <w:szCs w:val="18"/>
                <w:color w:val="auto"/>
              </w:rPr>
              <w:t>4</w:t>
            </w: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type w:val="continuous"/>
        </w:sectPr>
      </w:pPr>
    </w:p>
    <w:bookmarkStart w:id="8" w:name="page9"/>
    <w:bookmarkEnd w:id="8"/>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on marketable securities: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Unrealized gains (loss) arising during the period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Gains reclassified into net loss</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on cash flow hedges: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Unrealized gains (loss) arising during the period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Gains (loss) reclassified into net income (loss)</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(1,334</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unaudited interim financial statements</w:t>
            </w: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64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762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 w:name="page10"/>
    <w:bookmarkEnd w:id="9"/>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140" w:type="dxa"/>
            <w:vAlign w:val="bottom"/>
            <w:gridSpan w:val="5"/>
            <w:vMerge w:val="restart"/>
          </w:tcPr>
          <w:p>
            <w:pPr>
              <w:spacing w:after="0"/>
              <w:rPr>
                <w:sz w:val="20"/>
                <w:szCs w:val="20"/>
                <w:color w:val="auto"/>
              </w:rPr>
            </w:pPr>
            <w:r>
              <w:rPr>
                <w:rFonts w:ascii="Arial" w:cs="Arial" w:eastAsia="Arial" w:hAnsi="Arial"/>
                <w:sz w:val="18"/>
                <w:szCs w:val="18"/>
                <w:color w:val="auto"/>
              </w:rPr>
              <w:t>Cash flows used in operating activities:</w:t>
            </w:r>
          </w:p>
        </w:tc>
        <w:tc>
          <w:tcPr>
            <w:tcW w:w="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140" w:type="dxa"/>
            <w:vAlign w:val="bottom"/>
            <w:gridSpan w:val="5"/>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28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Warrants to customers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Amortization of premium on marketable securities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Realized gain on sale of marketable securities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Increase in accrued severance pay, net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 (increase) in trade receivables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 (increase) in inventories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Change in deferred taxes, net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 (increase) in other assets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Decrease in trade payables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employees and payroll accruals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other payables and accrued expenses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Increase in other long-term liabilities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from sale of property and equipment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Foreign currency translation loss (gain) on inter company balances with foreign subsidiaries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6,684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4"/>
          </w:tcPr>
          <w:p>
            <w:pPr>
              <w:spacing w:after="0" w:line="176" w:lineRule="exact"/>
              <w:rPr>
                <w:sz w:val="20"/>
                <w:szCs w:val="20"/>
                <w:color w:val="auto"/>
              </w:rPr>
            </w:pPr>
            <w:r>
              <w:rPr>
                <w:rFonts w:ascii="Arial" w:cs="Arial" w:eastAsia="Arial" w:hAnsi="Arial"/>
                <w:sz w:val="18"/>
                <w:szCs w:val="18"/>
                <w:color w:val="auto"/>
              </w:rPr>
              <w:t>Cash flows used in investing activities: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Purchase of property and equipment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Investments in bank deposits, net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Proceeds from maturity of marketable securities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Purchase of marketable securities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(6,130)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(8,224)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4"/>
          </w:tcPr>
          <w:p>
            <w:pPr>
              <w:spacing w:after="0" w:line="176" w:lineRule="exact"/>
              <w:rPr>
                <w:sz w:val="20"/>
                <w:szCs w:val="20"/>
                <w:color w:val="auto"/>
              </w:rPr>
            </w:pPr>
            <w:r>
              <w:rPr>
                <w:rFonts w:ascii="Arial" w:cs="Arial" w:eastAsia="Arial" w:hAnsi="Arial"/>
                <w:sz w:val="18"/>
                <w:szCs w:val="18"/>
                <w:color w:val="auto"/>
              </w:rPr>
              <w:t>Cash flows provided by financing activities: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issuance of ordinary shares in a follow-on offering, net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Exercise of employee stock options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18,629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Cash and cash equivalents at the end of the period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17,223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25,707</w:t>
            </w:r>
          </w:p>
        </w:tc>
        <w:tc>
          <w:tcPr>
            <w:tcW w:w="0" w:type="dxa"/>
            <w:vAlign w:val="bottom"/>
          </w:tcPr>
          <w:p>
            <w:pPr>
              <w:spacing w:after="0"/>
              <w:rPr>
                <w:sz w:val="1"/>
                <w:szCs w:val="1"/>
                <w:color w:val="auto"/>
              </w:rPr>
            </w:pPr>
          </w:p>
        </w:tc>
      </w:tr>
      <w:tr>
        <w:trPr>
          <w:trHeight w:val="21"/>
        </w:trPr>
        <w:tc>
          <w:tcPr>
            <w:tcW w:w="8140" w:type="dxa"/>
            <w:vAlign w:val="bottom"/>
            <w:gridSpan w:val="5"/>
            <w:vMerge w:val="restart"/>
          </w:tcPr>
          <w:p>
            <w:pPr>
              <w:spacing w:after="0"/>
              <w:rPr>
                <w:sz w:val="20"/>
                <w:szCs w:val="20"/>
                <w:color w:val="auto"/>
              </w:rPr>
            </w:pPr>
            <w:r>
              <w:rPr>
                <w:rFonts w:ascii="Arial" w:cs="Arial" w:eastAsia="Arial" w:hAnsi="Arial"/>
                <w:sz w:val="18"/>
                <w:szCs w:val="18"/>
                <w:color w:val="auto"/>
                <w:w w:val="98"/>
              </w:rPr>
              <w:t>The accompanying notes are an integral part of the unaudited interim consolidated financial statements.</w:t>
            </w: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4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8120" w:type="dxa"/>
            <w:vAlign w:val="bottom"/>
            <w:tcBorders>
              <w:bottom w:val="single" w:sz="8" w:color="auto"/>
            </w:tcBorders>
            <w:gridSpan w:val="4"/>
          </w:tcPr>
          <w:p>
            <w:pPr>
              <w:jc w:val="right"/>
              <w:ind w:right="2380"/>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0" w:name="page11"/>
    <w:bookmarkEnd w:id="10"/>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814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Borders>
              <w:top w:val="single" w:sz="8" w:color="auto"/>
            </w:tcBorders>
          </w:tcPr>
          <w:p>
            <w:pPr>
              <w:spacing w:after="0"/>
              <w:rPr>
                <w:sz w:val="22"/>
                <w:szCs w:val="22"/>
                <w:color w:val="auto"/>
              </w:rPr>
            </w:pPr>
          </w:p>
        </w:tc>
        <w:tc>
          <w:tcPr>
            <w:tcW w:w="3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Property and equipment acquired in credit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
        </w:trPr>
        <w:tc>
          <w:tcPr>
            <w:tcW w:w="51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Inventory transferred to be used as property and equipment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
        </w:trPr>
        <w:tc>
          <w:tcPr>
            <w:tcW w:w="51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Receipts on account of shares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
        </w:trPr>
        <w:tc>
          <w:tcPr>
            <w:tcW w:w="8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8"/>
              </w:rPr>
              <w:t>The accompanying notes are an integral part of the unaudited interim consolidated financial statements.</w:t>
            </w: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140" w:type="dxa"/>
            <w:vAlign w:val="bottom"/>
            <w:tcBorders>
              <w:bottom w:val="single" w:sz="8" w:color="auto"/>
            </w:tcBorders>
            <w:gridSpan w:val="2"/>
          </w:tcPr>
          <w:p>
            <w:pPr>
              <w:ind w:left="5680"/>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1540" w:right="100" w:hanging="506"/>
        <w:spacing w:after="0" w:line="259" w:lineRule="auto"/>
        <w:tabs>
          <w:tab w:leader="none" w:pos="1540" w:val="left"/>
        </w:tabs>
        <w:numPr>
          <w:ilvl w:val="1"/>
          <w:numId w:val="1"/>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p>
      <w:pPr>
        <w:spacing w:after="0" w:line="186" w:lineRule="exact"/>
        <w:rPr>
          <w:rFonts w:ascii="Arial" w:cs="Arial" w:eastAsia="Arial" w:hAnsi="Arial"/>
          <w:sz w:val="18"/>
          <w:szCs w:val="18"/>
          <w:color w:val="auto"/>
        </w:rPr>
      </w:pPr>
    </w:p>
    <w:p>
      <w:pPr>
        <w:ind w:left="1540" w:right="140" w:hanging="506"/>
        <w:spacing w:after="0" w:line="264" w:lineRule="auto"/>
        <w:tabs>
          <w:tab w:leader="none" w:pos="154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Company has established wholly-owned subsidiaries in Israel, the United States, Germany, Hong Kong and the United Kingdom. The Company’s subsidiaries are engaged primarily in sales, and marketing, except for the Israeli subsidiary which is engaged primarily in research and development and manufacturing.</w:t>
      </w:r>
    </w:p>
    <w:p>
      <w:pPr>
        <w:spacing w:after="0" w:line="181" w:lineRule="exact"/>
        <w:rPr>
          <w:rFonts w:ascii="Arial" w:cs="Arial" w:eastAsia="Arial" w:hAnsi="Arial"/>
          <w:sz w:val="18"/>
          <w:szCs w:val="18"/>
          <w:color w:val="auto"/>
        </w:rPr>
      </w:pPr>
    </w:p>
    <w:p>
      <w:pPr>
        <w:jc w:val="both"/>
        <w:ind w:left="1520" w:right="420" w:hanging="499"/>
        <w:spacing w:after="0" w:line="264" w:lineRule="auto"/>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January 31, 2017, the Company closed a follow on and secondary offering where by 8,625,000 ordinary shares were sold in the transaction to the public. The aggregate net proceeds received by the Company from the offering were $35,077, net of underwriting discounts, commissions and offering expenses.</w:t>
      </w:r>
    </w:p>
    <w:p>
      <w:pPr>
        <w:spacing w:after="0" w:line="181" w:lineRule="exact"/>
        <w:rPr>
          <w:rFonts w:ascii="Arial" w:cs="Arial" w:eastAsia="Arial" w:hAnsi="Arial"/>
          <w:sz w:val="18"/>
          <w:szCs w:val="18"/>
          <w:color w:val="auto"/>
        </w:rPr>
      </w:pPr>
    </w:p>
    <w:p>
      <w:pPr>
        <w:ind w:left="1520" w:right="580" w:hanging="499"/>
        <w:spacing w:after="0" w:line="308" w:lineRule="auto"/>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May 15, 2017, the Company made an underwritten secondary offering of 4,250,000 ordinary shares by the Company’s largest shareholder. The Company did not receive any of the proceeds from the sale of the ordinary shares.</w:t>
      </w:r>
    </w:p>
    <w:p>
      <w:pPr>
        <w:spacing w:after="0" w:line="146" w:lineRule="exact"/>
        <w:rPr>
          <w:rFonts w:ascii="Arial" w:cs="Arial" w:eastAsia="Arial" w:hAnsi="Arial"/>
          <w:sz w:val="17"/>
          <w:szCs w:val="17"/>
          <w:color w:val="auto"/>
        </w:rPr>
      </w:pPr>
    </w:p>
    <w:p>
      <w:pPr>
        <w:ind w:left="1520" w:right="40" w:hanging="499"/>
        <w:spacing w:after="0" w:line="259" w:lineRule="auto"/>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depends on five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1520" w:hanging="499"/>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Unaudited interim consolidated financial statements:</w:t>
      </w:r>
    </w:p>
    <w:p>
      <w:pPr>
        <w:spacing w:after="0" w:line="225" w:lineRule="exact"/>
        <w:rPr>
          <w:rFonts w:ascii="Arial" w:cs="Arial" w:eastAsia="Arial" w:hAnsi="Arial"/>
          <w:sz w:val="18"/>
          <w:szCs w:val="18"/>
          <w:color w:val="auto"/>
        </w:rPr>
      </w:pPr>
    </w:p>
    <w:p>
      <w:pPr>
        <w:ind w:left="1540" w:right="40"/>
        <w:spacing w:after="0" w:line="259" w:lineRule="auto"/>
        <w:rPr>
          <w:rFonts w:ascii="Arial" w:cs="Arial" w:eastAsia="Arial" w:hAnsi="Arial"/>
          <w:sz w:val="18"/>
          <w:szCs w:val="18"/>
          <w:color w:val="auto"/>
        </w:rPr>
      </w:pPr>
      <w:r>
        <w:rPr>
          <w:rFonts w:ascii="Arial" w:cs="Arial" w:eastAsia="Arial" w:hAnsi="Arial"/>
          <w:sz w:val="18"/>
          <w:szCs w:val="18"/>
          <w:color w:val="auto"/>
        </w:rPr>
        <w:t>The accompanying unaudited interim consolidated financial statements have been prepared in accordance with U.S. generally accepted accounting principles (“U.S. GAAP”) for interim financial information. In the opinion of management, the unaudited interim consolidated financial statements include all adjustments of a normal recurring nature necessary for a fair presentation of the Company’s consolidated financial statements.</w:t>
      </w:r>
    </w:p>
    <w:p>
      <w:pPr>
        <w:spacing w:after="0" w:line="186" w:lineRule="exact"/>
        <w:rPr>
          <w:rFonts w:ascii="Arial" w:cs="Arial" w:eastAsia="Arial" w:hAnsi="Arial"/>
          <w:sz w:val="18"/>
          <w:szCs w:val="18"/>
          <w:color w:val="auto"/>
        </w:rPr>
      </w:pPr>
    </w:p>
    <w:p>
      <w:pPr>
        <w:ind w:left="1540" w:right="340"/>
        <w:spacing w:after="0" w:line="342" w:lineRule="auto"/>
        <w:rPr>
          <w:rFonts w:ascii="Arial" w:cs="Arial" w:eastAsia="Arial" w:hAnsi="Arial"/>
          <w:sz w:val="18"/>
          <w:szCs w:val="18"/>
          <w:color w:val="auto"/>
        </w:rPr>
      </w:pPr>
      <w:r>
        <w:rPr>
          <w:rFonts w:ascii="Arial" w:cs="Arial" w:eastAsia="Arial" w:hAnsi="Arial"/>
          <w:sz w:val="16"/>
          <w:szCs w:val="16"/>
          <w:color w:val="auto"/>
        </w:rPr>
        <w:t>The balance sheet at December 31, 2017 has been derived from the audited consolidated financial statements of the Company at that date but does not include all information and footnotes required by U.S. GAAP for complete financial statements.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40" w:right="20"/>
        <w:spacing w:after="0" w:line="272" w:lineRule="auto"/>
        <w:rPr>
          <w:sz w:val="20"/>
          <w:szCs w:val="20"/>
          <w:color w:val="auto"/>
        </w:rPr>
      </w:pPr>
      <w:r>
        <w:rPr>
          <w:rFonts w:ascii="Arial" w:cs="Arial" w:eastAsia="Arial" w:hAnsi="Arial"/>
          <w:sz w:val="17"/>
          <w:szCs w:val="17"/>
          <w:color w:val="auto"/>
        </w:rPr>
        <w:t>The accompanying unaudited interim consolidated financial statements should be read in conjunction with the audited consolidated financial statements and accompanying notes for the year ended December 31, 2017, included in the Company’s Annual Report on Form 20-F filed with the U.S. Securities and Exchange Commission (“SEC”) on March 20, 2018. The significant accounting policies applied in the Company’s audited 2017 consolidated financial statements and notes thereto included in the Annual Report are applied consistently in these unaudited interim consolidated financial statements, except for changes associated with the new revenue recognition standard for the six months ended June 30, 2018, as detailed in Note 2 (e). Results for the six months ended June 30, 2018 are not necessarily indicative of results that may be expected for the year ending December 31, 2018.</w:t>
      </w:r>
    </w:p>
    <w:p>
      <w:pPr>
        <w:spacing w:after="0" w:line="178" w:lineRule="exact"/>
        <w:rPr>
          <w:sz w:val="20"/>
          <w:szCs w:val="20"/>
          <w:color w:val="auto"/>
        </w:rPr>
      </w:pPr>
    </w:p>
    <w:p>
      <w:pPr>
        <w:ind w:left="1520" w:hanging="499"/>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72" w:lineRule="exact"/>
        <w:rPr>
          <w:rFonts w:ascii="Arial" w:cs="Arial" w:eastAsia="Arial" w:hAnsi="Arial"/>
          <w:sz w:val="18"/>
          <w:szCs w:val="18"/>
          <w:color w:val="auto"/>
        </w:rPr>
      </w:pPr>
    </w:p>
    <w:p>
      <w:pPr>
        <w:ind w:left="1520" w:hanging="499"/>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recently issued accounting standards:</w:t>
      </w:r>
    </w:p>
    <w:p>
      <w:pPr>
        <w:spacing w:after="0" w:line="225" w:lineRule="exact"/>
        <w:rPr>
          <w:rFonts w:ascii="Arial" w:cs="Arial" w:eastAsia="Arial" w:hAnsi="Arial"/>
          <w:sz w:val="18"/>
          <w:szCs w:val="18"/>
          <w:color w:val="auto"/>
        </w:rPr>
      </w:pPr>
    </w:p>
    <w:p>
      <w:pPr>
        <w:ind w:left="2180" w:right="20" w:hanging="322"/>
        <w:spacing w:after="0" w:line="269" w:lineRule="auto"/>
        <w:tabs>
          <w:tab w:leader="none" w:pos="218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 February 2016, the FASB issued Accounting Standards Update No. 2016-02 (Topic 842) “Leases.” Topic 842 supersedes the lease requirements in Accounting Standards Codification (ASC) Topic 840, “Leases.” Under Topic 842, lessees are required to recognize assets and liabilities on the balance sheet for most leases and provide enhanced disclosures. Leases will continue to be classified as either finance or operating. This ASU is effective for fiscal years, and interim periods within those fiscal years, beginning after December 15, 2018 and must be adopted using a modified retrospective approach, which (following the amendment in July 2018) requires lessees and lessors to recognize and measure all leases within the scope of this ASU using one of the following transition methods: (i) as of the beginning of the earliest comparative period presented in the financial statements, or (ii) as of the beginning of the period in which this ASU is adopted. There are additional optional practical expedients that an entity may elect to apply. The Company is in the process of implementing changes to its systems and processes in conjunction with the review of lease agreements. The Company will adopt Topic 842 effective January 1, 2019 and expect to elect certain available transitional practical expedients. The Company is evaluating the potential impact of this pronouncement.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2180" w:right="40" w:hanging="322"/>
        <w:spacing w:after="0" w:line="273" w:lineRule="auto"/>
        <w:tabs>
          <w:tab w:leader="none" w:pos="2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June 2016, the FASB issued Accounting Standards Update No. 2016-13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methodology, which will result in more timely recognition of credit losses. ASU 2016-13 is effective for annual reporting periods, and interim periods within those years, beginning after December 15, 2019. The Company is evaluating the potential impact of this pronouncement.</w:t>
      </w:r>
    </w:p>
    <w:p>
      <w:pPr>
        <w:spacing w:after="0" w:line="178" w:lineRule="exact"/>
        <w:rPr>
          <w:rFonts w:ascii="Arial" w:cs="Arial" w:eastAsia="Arial" w:hAnsi="Arial"/>
          <w:sz w:val="17"/>
          <w:szCs w:val="17"/>
          <w:color w:val="auto"/>
        </w:rPr>
      </w:pPr>
    </w:p>
    <w:p>
      <w:pPr>
        <w:ind w:left="2180" w:hanging="322"/>
        <w:spacing w:after="0" w:line="272" w:lineRule="auto"/>
        <w:tabs>
          <w:tab w:leader="none" w:pos="2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January 2017, the FASB issued Accounting Standards Update No. 2017-04 (ASU 2017-04) “Intangibles-Goodwill and Other (Topic 350): Simplifying the Test for Goodwill Impairment.”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early adoption is permitted. The Company does not expect that this new guidance will have a material impact on the Company’s Consolidated Financial Statements.</w:t>
      </w:r>
    </w:p>
    <w:p>
      <w:pPr>
        <w:spacing w:after="0" w:line="177" w:lineRule="exact"/>
        <w:rPr>
          <w:rFonts w:ascii="Arial" w:cs="Arial" w:eastAsia="Arial" w:hAnsi="Arial"/>
          <w:sz w:val="17"/>
          <w:szCs w:val="17"/>
          <w:color w:val="auto"/>
        </w:rPr>
      </w:pPr>
    </w:p>
    <w:p>
      <w:pPr>
        <w:ind w:left="2180" w:right="20" w:hanging="322"/>
        <w:spacing w:after="0" w:line="255" w:lineRule="auto"/>
        <w:tabs>
          <w:tab w:leader="none" w:pos="2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August 2017, the FASB issued ASU No. 2017-12 (Topic 815) Derivatives and Hedging — Targeted Improvements to Accounting for Hedging Activities, which expands an entity’s ability to hedge financial and nonfinancial risk components and amends how companies assess effectiveness as well as changes the presentation and disclosure requirements. The new standard is to be applied on a modified retrospective basis and is effective for interim and annual periods beginning after December 15, 2018, with early adoption permitted. The Company is currently evaluating the impact of adoption on the Consolidated Financial Statements.</w:t>
      </w:r>
    </w:p>
    <w:p>
      <w:pPr>
        <w:spacing w:after="0" w:line="193" w:lineRule="exact"/>
        <w:rPr>
          <w:rFonts w:ascii="Arial" w:cs="Arial" w:eastAsia="Arial" w:hAnsi="Arial"/>
          <w:sz w:val="18"/>
          <w:szCs w:val="18"/>
          <w:color w:val="auto"/>
        </w:rPr>
      </w:pPr>
    </w:p>
    <w:p>
      <w:pPr>
        <w:ind w:left="2180" w:right="120" w:hanging="322"/>
        <w:spacing w:after="0" w:line="291" w:lineRule="auto"/>
        <w:tabs>
          <w:tab w:leader="none" w:pos="2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June 2018, the FASB issued ASU No. 2018-07, “Compensation - Stock Compensation (Topic 718): Improvements to Nonemployee Share-Based Payment Accounting.” These amendments expand the scope of Topic 718, Compensation - Stock Compensation (which currently only includes share-based payments to employees) to include share-based payments issued to nonemployees for goods or services. Consequently, the accounting for share-based payments to nonemployees and employees will be substantially aligned. This ASU supersedes Subtopic 505-50, Equity - Equity-Based Payments to Non-Employees. The guidance is effective for the interim and annual periods beginning after December 15, 2018, and early adoption is permitted. The Company is currently evaluating the potential effect on its consolidated financial statements.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Recently adopted accounting standard:</w:t>
      </w:r>
    </w:p>
    <w:p>
      <w:pPr>
        <w:spacing w:after="0" w:line="225" w:lineRule="exact"/>
        <w:rPr>
          <w:rFonts w:ascii="Arial" w:cs="Arial" w:eastAsia="Arial" w:hAnsi="Arial"/>
          <w:sz w:val="18"/>
          <w:szCs w:val="18"/>
          <w:color w:val="auto"/>
        </w:rPr>
      </w:pPr>
    </w:p>
    <w:p>
      <w:pPr>
        <w:ind w:left="1540" w:right="100"/>
        <w:spacing w:after="0" w:line="273" w:lineRule="auto"/>
        <w:rPr>
          <w:rFonts w:ascii="Arial" w:cs="Arial" w:eastAsia="Arial" w:hAnsi="Arial"/>
          <w:sz w:val="18"/>
          <w:szCs w:val="18"/>
          <w:color w:val="auto"/>
        </w:rPr>
      </w:pPr>
      <w:r>
        <w:rPr>
          <w:rFonts w:ascii="Arial" w:cs="Arial" w:eastAsia="Arial" w:hAnsi="Arial"/>
          <w:sz w:val="17"/>
          <w:szCs w:val="17"/>
          <w:color w:val="auto"/>
        </w:rPr>
        <w:t>In May 2014, the Financial Accounting Standards Board (“FASB”) issued new guidance related to revenue recognition: “Revenue from Contracts with Customers” (“ASC 606”), which outlines a comprehensive revenue recognition model and supersedes most current revenue recognition guidance. The Company adopted ASC 606 on January 1, 2018, using the modified retrospective transition method applied to those contracts which were not completed as of January 1, 2018. The new standard application had no material effect on the pattern of revenue recognition, nevertheless, the revenue recognition disclosure has been adjusted in accordance to ASC 606 guidance. See Revenue Recognition below for further details.</w:t>
      </w:r>
    </w:p>
    <w:p>
      <w:pPr>
        <w:spacing w:after="0" w:line="178" w:lineRule="exact"/>
        <w:rPr>
          <w:rFonts w:ascii="Arial" w:cs="Arial" w:eastAsia="Arial" w:hAnsi="Arial"/>
          <w:sz w:val="18"/>
          <w:szCs w:val="18"/>
          <w:color w:val="auto"/>
        </w:rPr>
      </w:pPr>
    </w:p>
    <w:p>
      <w:pPr>
        <w:ind w:left="1520" w:hanging="499"/>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540" w:right="240"/>
        <w:spacing w:after="0" w:line="308" w:lineRule="auto"/>
        <w:rPr>
          <w:rFonts w:ascii="Arial" w:cs="Arial" w:eastAsia="Arial" w:hAnsi="Arial"/>
          <w:sz w:val="18"/>
          <w:szCs w:val="18"/>
          <w:color w:val="auto"/>
        </w:rPr>
      </w:pPr>
      <w:r>
        <w:rPr>
          <w:rFonts w:ascii="Arial" w:cs="Arial" w:eastAsia="Arial" w:hAnsi="Arial"/>
          <w:sz w:val="17"/>
          <w:szCs w:val="17"/>
          <w:color w:val="auto"/>
        </w:rPr>
        <w:t>The Company generates revenues from sales of systems, consumables and services. The Company generates revenues from sale of its products directly to end-users and indirectly through independent distributors, all of whom are considered end-users.</w:t>
      </w:r>
    </w:p>
    <w:p>
      <w:pPr>
        <w:spacing w:after="0" w:line="146" w:lineRule="exact"/>
        <w:rPr>
          <w:rFonts w:ascii="Arial" w:cs="Arial" w:eastAsia="Arial" w:hAnsi="Arial"/>
          <w:sz w:val="18"/>
          <w:szCs w:val="18"/>
          <w:color w:val="auto"/>
        </w:rPr>
      </w:pPr>
    </w:p>
    <w:p>
      <w:pPr>
        <w:ind w:left="1540"/>
        <w:spacing w:after="0" w:line="259" w:lineRule="auto"/>
        <w:rPr>
          <w:rFonts w:ascii="Arial" w:cs="Arial" w:eastAsia="Arial" w:hAnsi="Arial"/>
          <w:sz w:val="18"/>
          <w:szCs w:val="18"/>
          <w:color w:val="auto"/>
        </w:rPr>
      </w:pPr>
      <w:r>
        <w:rPr>
          <w:rFonts w:ascii="Arial" w:cs="Arial" w:eastAsia="Arial" w:hAnsi="Arial"/>
          <w:sz w:val="18"/>
          <w:szCs w:val="18"/>
          <w:color w:val="auto"/>
        </w:rPr>
        <w:t>The Company recognizes revenues in accordance with ASC No. 606, “Revenue from Contracts with Customers”.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186" w:lineRule="exact"/>
        <w:rPr>
          <w:rFonts w:ascii="Arial" w:cs="Arial" w:eastAsia="Arial" w:hAnsi="Arial"/>
          <w:sz w:val="18"/>
          <w:szCs w:val="18"/>
          <w:color w:val="auto"/>
        </w:rPr>
      </w:pPr>
    </w:p>
    <w:p>
      <w:pPr>
        <w:ind w:left="1540" w:right="40"/>
        <w:spacing w:after="0" w:line="276" w:lineRule="auto"/>
        <w:rPr>
          <w:rFonts w:ascii="Arial" w:cs="Arial" w:eastAsia="Arial" w:hAnsi="Arial"/>
          <w:sz w:val="18"/>
          <w:szCs w:val="18"/>
          <w:color w:val="auto"/>
        </w:rPr>
      </w:pPr>
      <w:r>
        <w:rPr>
          <w:rFonts w:ascii="Arial" w:cs="Arial" w:eastAsia="Arial" w:hAnsi="Arial"/>
          <w:sz w:val="17"/>
          <w:szCs w:val="17"/>
          <w:color w:val="auto"/>
        </w:rPr>
        <w:t>Revenues from products, which consist of systems and consumables, are recognized at the point of time when control has passed, in accordance with the agreed-upon delivery terms. Revenues from services are derived mainly from the sale of print heads, spare parts, upgrade kits and sale of service contracts. The Company’s print heads, spare parts and upgrade kits revenues (collectively “Spare parts”) are recognized at the point of time when control has passed, in accordance with the agreed-upon delivery terms. The service contracts are recognized over time, on a straight-line basis, over the period of the service.</w:t>
      </w:r>
    </w:p>
    <w:p>
      <w:pPr>
        <w:spacing w:after="0" w:line="172" w:lineRule="exact"/>
        <w:rPr>
          <w:rFonts w:ascii="Arial" w:cs="Arial" w:eastAsia="Arial" w:hAnsi="Arial"/>
          <w:sz w:val="18"/>
          <w:szCs w:val="18"/>
          <w:color w:val="auto"/>
        </w:rPr>
      </w:pPr>
    </w:p>
    <w:p>
      <w:pPr>
        <w:ind w:left="1540" w:right="40"/>
        <w:spacing w:after="0" w:line="255" w:lineRule="auto"/>
        <w:rPr>
          <w:rFonts w:ascii="Arial" w:cs="Arial" w:eastAsia="Arial" w:hAnsi="Arial"/>
          <w:sz w:val="18"/>
          <w:szCs w:val="18"/>
          <w:color w:val="auto"/>
        </w:rPr>
      </w:pPr>
      <w:r>
        <w:rPr>
          <w:rFonts w:ascii="Arial" w:cs="Arial" w:eastAsia="Arial" w:hAnsi="Arial"/>
          <w:sz w:val="18"/>
          <w:szCs w:val="18"/>
          <w:color w:val="auto"/>
        </w:rPr>
        <w:t>For multiple performance obligations arrangements, such as selling a system with consumables, installation and training, the Company accounts for each performance obligation separately as it is distinct. The transaction price is allocated to each distinct performance obligation on a relative standalone selling price (“SSP”) basis and revenue is recognized for each performance obligation when control has passed. In most cases, the Company is able to establish SSP based on the observable prices of services sold separately in comparable circumstances to similar customers and for products based on the Company’s best estimates of the price at which the Company would have sold the product regularly on a stand-alone basis. The Company reassesses the SSP on a periodic basis or when facts and circumstances change.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40" w:right="20"/>
        <w:spacing w:after="0" w:line="259" w:lineRule="auto"/>
        <w:rPr>
          <w:sz w:val="20"/>
          <w:szCs w:val="20"/>
          <w:color w:val="auto"/>
        </w:rPr>
      </w:pPr>
      <w:r>
        <w:rPr>
          <w:rFonts w:ascii="Arial" w:cs="Arial" w:eastAsia="Arial" w:hAnsi="Arial"/>
          <w:sz w:val="18"/>
          <w:szCs w:val="18"/>
          <w:color w:val="auto"/>
        </w:rPr>
        <w:t>The Company periodically provides customer incentive programs including product discounts, volume-based rebates and warrants, which are accounted for as reductions to revenue in the period in which the revenue is recognized. These reductions to revenue are made based upon reasonable and reliable estimates that are determined according to historical experience and the specific terms and conditions of the incentive.</w:t>
      </w:r>
    </w:p>
    <w:p>
      <w:pPr>
        <w:spacing w:after="0" w:line="18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Revenue disaggregated by revenue source for the six months ended June 30, 2018 and 2017, consists of the following:</w:t>
      </w:r>
    </w:p>
    <w:p>
      <w:pPr>
        <w:spacing w:after="0" w:line="221"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69010" cy="14833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9010" cy="1483360"/>
                    </a:xfrm>
                    <a:prstGeom prst="rect">
                      <a:avLst/>
                    </a:prstGeom>
                    <a:noFill/>
                  </pic:spPr>
                </pic:pic>
              </a:graphicData>
            </a:graphic>
          </wp:anchor>
        </w:drawing>
      </w:r>
    </w:p>
    <w:p>
      <w:pPr>
        <w:spacing w:after="0" w:line="7"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Systems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33,150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540"/>
              <w:spacing w:after="0"/>
              <w:rPr>
                <w:sz w:val="20"/>
                <w:szCs w:val="20"/>
                <w:color w:val="auto"/>
              </w:rPr>
            </w:pPr>
            <w:r>
              <w:rPr>
                <w:rFonts w:ascii="Arial" w:cs="Arial" w:eastAsia="Arial" w:hAnsi="Arial"/>
                <w:sz w:val="18"/>
                <w:szCs w:val="18"/>
                <w:color w:val="auto"/>
              </w:rPr>
              <w:t>Ink and consumables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25,700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Spare parts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6,621</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540"/>
              <w:spacing w:after="0"/>
              <w:rPr>
                <w:sz w:val="20"/>
                <w:szCs w:val="20"/>
                <w:color w:val="auto"/>
              </w:rPr>
            </w:pPr>
            <w:r>
              <w:rPr>
                <w:rFonts w:ascii="Arial" w:cs="Arial" w:eastAsia="Arial" w:hAnsi="Arial"/>
                <w:sz w:val="18"/>
                <w:szCs w:val="18"/>
                <w:color w:val="auto"/>
              </w:rPr>
              <w:t>Service contracts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1,525</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700" w:type="dxa"/>
            <w:vAlign w:val="bottom"/>
          </w:tcPr>
          <w:p>
            <w:pPr>
              <w:ind w:left="1540"/>
              <w:spacing w:after="0"/>
              <w:rPr>
                <w:sz w:val="20"/>
                <w:szCs w:val="20"/>
                <w:color w:val="auto"/>
              </w:rPr>
            </w:pPr>
            <w:r>
              <w:rPr>
                <w:rFonts w:ascii="Arial" w:cs="Arial" w:eastAsia="Arial" w:hAnsi="Arial"/>
                <w:sz w:val="18"/>
                <w:szCs w:val="18"/>
                <w:color w:val="auto"/>
              </w:rPr>
              <w:t>Total revenue</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66,996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55,691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700" w:type="dxa"/>
            <w:vAlign w:val="bottom"/>
            <w:vMerge w:val="restart"/>
          </w:tcPr>
          <w:p>
            <w:pPr>
              <w:ind w:left="1540"/>
              <w:spacing w:after="0"/>
              <w:rPr>
                <w:sz w:val="20"/>
                <w:szCs w:val="20"/>
                <w:color w:val="auto"/>
              </w:rPr>
            </w:pPr>
            <w:r>
              <w:rPr>
                <w:rFonts w:ascii="Arial" w:cs="Arial" w:eastAsia="Arial" w:hAnsi="Arial"/>
                <w:sz w:val="18"/>
                <w:szCs w:val="18"/>
                <w:color w:val="auto"/>
                <w:w w:val="94"/>
              </w:rPr>
              <w:t>The following table presents revenue disaggregated by geography based on customer location:</w:t>
            </w: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8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U.S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36,137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540"/>
              <w:spacing w:after="0"/>
              <w:rPr>
                <w:sz w:val="20"/>
                <w:szCs w:val="20"/>
                <w:color w:val="auto"/>
              </w:rPr>
            </w:pPr>
            <w:r>
              <w:rPr>
                <w:rFonts w:ascii="Arial" w:cs="Arial" w:eastAsia="Arial" w:hAnsi="Arial"/>
                <w:sz w:val="18"/>
                <w:szCs w:val="18"/>
                <w:color w:val="auto"/>
              </w:rPr>
              <w:t>EMEA</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22,165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Asia Pacific</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6,938</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5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1,756</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700" w:type="dxa"/>
            <w:vAlign w:val="bottom"/>
          </w:tcPr>
          <w:p>
            <w:pPr>
              <w:ind w:left="1540"/>
              <w:spacing w:after="0"/>
              <w:rPr>
                <w:sz w:val="20"/>
                <w:szCs w:val="20"/>
                <w:color w:val="auto"/>
              </w:rPr>
            </w:pPr>
            <w:r>
              <w:rPr>
                <w:rFonts w:ascii="Arial" w:cs="Arial" w:eastAsia="Arial" w:hAnsi="Arial"/>
                <w:sz w:val="18"/>
                <w:szCs w:val="18"/>
                <w:color w:val="auto"/>
              </w:rPr>
              <w:t>Total revenue</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66,996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55,691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-1508760</wp:posOffset>
            </wp:positionV>
            <wp:extent cx="969010" cy="14833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9010" cy="1483360"/>
                    </a:xfrm>
                    <a:prstGeom prst="rect">
                      <a:avLst/>
                    </a:prstGeom>
                    <a:noFill/>
                  </pic:spPr>
                </pic:pic>
              </a:graphicData>
            </a:graphic>
          </wp:anchor>
        </w:drawing>
      </w:r>
    </w:p>
    <w:p>
      <w:pPr>
        <w:spacing w:after="0" w:line="182" w:lineRule="exact"/>
        <w:rPr>
          <w:sz w:val="20"/>
          <w:szCs w:val="20"/>
          <w:color w:val="auto"/>
        </w:rPr>
      </w:pPr>
    </w:p>
    <w:p>
      <w:pPr>
        <w:ind w:left="1540" w:right="120"/>
        <w:spacing w:after="0" w:line="264" w:lineRule="auto"/>
        <w:rPr>
          <w:sz w:val="20"/>
          <w:szCs w:val="20"/>
          <w:color w:val="auto"/>
        </w:rPr>
      </w:pPr>
      <w:r>
        <w:rPr>
          <w:rFonts w:ascii="Arial" w:cs="Arial" w:eastAsia="Arial" w:hAnsi="Arial"/>
          <w:sz w:val="18"/>
          <w:szCs w:val="18"/>
          <w:color w:val="auto"/>
        </w:rPr>
        <w:t>Contract liabilities include amounts received from customers for which revenue has not yet been recognized. Contract liabilities are presented under deferred revenues and advances from customers. During the six months ended June 30, 2018, the Company recognized $672 that was included in the deferred revenues balance at January 1, 2018.</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40" w:right="320"/>
        <w:spacing w:after="0" w:line="277" w:lineRule="auto"/>
        <w:rPr>
          <w:sz w:val="20"/>
          <w:szCs w:val="20"/>
          <w:color w:val="auto"/>
        </w:rPr>
      </w:pPr>
      <w:r>
        <w:rPr>
          <w:rFonts w:ascii="Arial" w:cs="Arial" w:eastAsia="Arial" w:hAnsi="Arial"/>
          <w:sz w:val="18"/>
          <w:szCs w:val="18"/>
          <w:color w:val="auto"/>
        </w:rPr>
        <w:t>The following table represents the outstanding performance obligations as of June 30, 2018, included in deferred revenues which are expected to be satisfied and recognized in future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Remainder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2020 and</w:t>
            </w:r>
          </w:p>
        </w:tc>
        <w:tc>
          <w:tcPr>
            <w:tcW w:w="0" w:type="dxa"/>
            <w:vAlign w:val="bottom"/>
          </w:tcPr>
          <w:p>
            <w:pPr>
              <w:spacing w:after="0"/>
              <w:rPr>
                <w:sz w:val="1"/>
                <w:szCs w:val="1"/>
                <w:color w:val="auto"/>
              </w:rPr>
            </w:pPr>
          </w:p>
        </w:tc>
      </w:tr>
      <w:tr>
        <w:trPr>
          <w:trHeight w:val="241"/>
        </w:trPr>
        <w:tc>
          <w:tcPr>
            <w:tcW w:w="5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of 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thereafter</w:t>
            </w:r>
          </w:p>
        </w:tc>
        <w:tc>
          <w:tcPr>
            <w:tcW w:w="0" w:type="dxa"/>
            <w:vAlign w:val="bottom"/>
          </w:tcPr>
          <w:p>
            <w:pPr>
              <w:spacing w:after="0"/>
              <w:rPr>
                <w:sz w:val="1"/>
                <w:szCs w:val="1"/>
                <w:color w:val="auto"/>
              </w:rPr>
            </w:pPr>
          </w:p>
        </w:tc>
      </w:tr>
      <w:tr>
        <w:trPr>
          <w:trHeight w:val="216"/>
        </w:trPr>
        <w:tc>
          <w:tcPr>
            <w:tcW w:w="5380" w:type="dxa"/>
            <w:vAlign w:val="bottom"/>
            <w:tcBorders>
              <w:top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Product</w:t>
            </w:r>
          </w:p>
        </w:tc>
        <w:tc>
          <w:tcPr>
            <w:tcW w:w="1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1540"/>
              <w:spacing w:after="0"/>
              <w:rPr>
                <w:sz w:val="20"/>
                <w:szCs w:val="20"/>
                <w:color w:val="auto"/>
              </w:rPr>
            </w:pPr>
            <w:r>
              <w:rPr>
                <w:rFonts w:ascii="Arial" w:cs="Arial" w:eastAsia="Arial" w:hAnsi="Arial"/>
                <w:sz w:val="18"/>
                <w:szCs w:val="18"/>
                <w:color w:val="auto"/>
              </w:rPr>
              <w:t>Services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154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2,016</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NOTE 3:- MARKETABLE SECURITIES</w:t>
            </w: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3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5"/>
          </w:tcPr>
          <w:p>
            <w:pPr>
              <w:ind w:left="1020"/>
              <w:spacing w:after="0"/>
              <w:rPr>
                <w:sz w:val="20"/>
                <w:szCs w:val="20"/>
                <w:color w:val="auto"/>
              </w:rPr>
            </w:pPr>
            <w:r>
              <w:rPr>
                <w:rFonts w:ascii="Arial" w:cs="Arial" w:eastAsia="Arial" w:hAnsi="Arial"/>
                <w:sz w:val="18"/>
                <w:szCs w:val="18"/>
                <w:color w:val="auto"/>
                <w:w w:val="91"/>
              </w:rPr>
              <w:t>The following tables summarize our marketable securities by significant investing categories: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8"/>
                <w:szCs w:val="18"/>
                <w:b w:val="1"/>
                <w:bCs w:val="1"/>
                <w:color w:val="auto"/>
              </w:rPr>
              <w:t>June 30, 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cost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gain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7"/>
              </w:rPr>
              <w:t>loss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432"/>
        </w:trPr>
        <w:tc>
          <w:tcPr>
            <w:tcW w:w="5380" w:type="dxa"/>
            <w:vAlign w:val="bottom"/>
          </w:tcPr>
          <w:p>
            <w:pPr>
              <w:ind w:left="1020"/>
              <w:spacing w:after="0"/>
              <w:rPr>
                <w:sz w:val="20"/>
                <w:szCs w:val="20"/>
                <w:color w:val="auto"/>
              </w:rPr>
            </w:pPr>
            <w:r>
              <w:rPr>
                <w:rFonts w:ascii="Arial" w:cs="Arial" w:eastAsia="Arial" w:hAnsi="Arial"/>
                <w:sz w:val="18"/>
                <w:szCs w:val="18"/>
                <w:color w:val="auto"/>
              </w:rPr>
              <w:t>Matures within one year:</w:t>
            </w:r>
          </w:p>
        </w:tc>
        <w:tc>
          <w:tcPr>
            <w:tcW w:w="1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Corporate debentures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10,191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1120"/>
              <w:spacing w:after="0"/>
              <w:rPr>
                <w:sz w:val="20"/>
                <w:szCs w:val="20"/>
                <w:color w:val="auto"/>
              </w:rPr>
            </w:pPr>
            <w:r>
              <w:rPr>
                <w:rFonts w:ascii="Arial" w:cs="Arial" w:eastAsia="Arial" w:hAnsi="Arial"/>
                <w:sz w:val="18"/>
                <w:szCs w:val="18"/>
                <w:color w:val="auto"/>
              </w:rPr>
              <w:t>Government debentures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Matures after one year through three years: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120"/>
              <w:spacing w:after="0"/>
              <w:rPr>
                <w:sz w:val="20"/>
                <w:szCs w:val="20"/>
                <w:color w:val="auto"/>
              </w:rPr>
            </w:pPr>
            <w:r>
              <w:rPr>
                <w:rFonts w:ascii="Arial" w:cs="Arial" w:eastAsia="Arial" w:hAnsi="Arial"/>
                <w:sz w:val="18"/>
                <w:szCs w:val="18"/>
                <w:color w:val="auto"/>
              </w:rPr>
              <w:t>Corporate debentures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54,855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Government debentures</w:t>
            </w: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12,811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67,666</w:t>
            </w:r>
          </w:p>
        </w:tc>
        <w:tc>
          <w:tcPr>
            <w:tcW w:w="1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(325</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67,341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1020"/>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78,141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(325</w:t>
            </w:r>
            <w:r>
              <w:rPr>
                <w:rFonts w:ascii="Arial" w:cs="Arial" w:eastAsia="Arial" w:hAnsi="Arial"/>
                <w:sz w:val="29"/>
                <w:szCs w:val="29"/>
                <w:color w:val="auto"/>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77,998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b w:val="1"/>
                <w:bCs w:val="1"/>
                <w:color w:val="auto"/>
              </w:rPr>
              <w:t>December 31, 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cost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gain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7"/>
              </w:rPr>
              <w:t>loss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432"/>
        </w:trPr>
        <w:tc>
          <w:tcPr>
            <w:tcW w:w="5380" w:type="dxa"/>
            <w:vAlign w:val="bottom"/>
          </w:tcPr>
          <w:p>
            <w:pPr>
              <w:ind w:left="1020"/>
              <w:spacing w:after="0"/>
              <w:rPr>
                <w:sz w:val="20"/>
                <w:szCs w:val="20"/>
                <w:color w:val="auto"/>
              </w:rPr>
            </w:pPr>
            <w:r>
              <w:rPr>
                <w:rFonts w:ascii="Arial" w:cs="Arial" w:eastAsia="Arial" w:hAnsi="Arial"/>
                <w:sz w:val="18"/>
                <w:szCs w:val="18"/>
                <w:color w:val="auto"/>
              </w:rPr>
              <w:t>Matures within one year:</w:t>
            </w:r>
          </w:p>
        </w:tc>
        <w:tc>
          <w:tcPr>
            <w:tcW w:w="1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Corporate debentures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1120"/>
              <w:spacing w:after="0"/>
              <w:rPr>
                <w:sz w:val="20"/>
                <w:szCs w:val="20"/>
                <w:color w:val="auto"/>
              </w:rPr>
            </w:pPr>
            <w:r>
              <w:rPr>
                <w:rFonts w:ascii="Arial" w:cs="Arial" w:eastAsia="Arial" w:hAnsi="Arial"/>
                <w:sz w:val="18"/>
                <w:szCs w:val="18"/>
                <w:color w:val="auto"/>
              </w:rPr>
              <w:t>Government debentures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Matures after one year through three years: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120"/>
              <w:spacing w:after="0"/>
              <w:rPr>
                <w:sz w:val="20"/>
                <w:szCs w:val="20"/>
                <w:color w:val="auto"/>
              </w:rPr>
            </w:pPr>
            <w:r>
              <w:rPr>
                <w:rFonts w:ascii="Arial" w:cs="Arial" w:eastAsia="Arial" w:hAnsi="Arial"/>
                <w:sz w:val="18"/>
                <w:szCs w:val="18"/>
                <w:color w:val="auto"/>
              </w:rPr>
              <w:t>Corporate debentures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56,514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Government debentures</w:t>
            </w: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12,403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68,917</w:t>
            </w:r>
          </w:p>
        </w:tc>
        <w:tc>
          <w:tcPr>
            <w:tcW w:w="1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68,835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1020"/>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74,402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(82</w:t>
            </w:r>
            <w:r>
              <w:rPr>
                <w:rFonts w:ascii="Arial" w:cs="Arial" w:eastAsia="Arial" w:hAnsi="Arial"/>
                <w:sz w:val="29"/>
                <w:szCs w:val="29"/>
                <w:color w:val="auto"/>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74,372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-6542405</wp:posOffset>
            </wp:positionV>
            <wp:extent cx="969010" cy="909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9010" cy="909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-4921885</wp:posOffset>
            </wp:positionV>
            <wp:extent cx="643255" cy="4896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3255" cy="4896485"/>
                    </a:xfrm>
                    <a:prstGeom prst="rect">
                      <a:avLst/>
                    </a:prstGeom>
                    <a:noFill/>
                  </pic:spPr>
                </pic:pic>
              </a:graphicData>
            </a:graphic>
          </wp:anchor>
        </w:drawing>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All investments with an unrealized loss as of June 30, 2018 and 2017 are with continuous unrealized losses for less than 12 months.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ind w:left="1020" w:right="100"/>
        <w:spacing w:after="0" w:line="255" w:lineRule="auto"/>
        <w:rPr>
          <w:sz w:val="20"/>
          <w:szCs w:val="20"/>
          <w:color w:val="auto"/>
        </w:rPr>
      </w:pPr>
      <w:r>
        <w:rPr>
          <w:rFonts w:ascii="Arial" w:cs="Arial" w:eastAsia="Arial" w:hAnsi="Arial"/>
          <w:sz w:val="18"/>
          <w:szCs w:val="18"/>
          <w:color w:val="auto"/>
        </w:rPr>
        <w:t>FASB Accounting Standards Codification (“ASC”) No. 820, “Fair Value Measurements and Disclosures” defines fair value and establishes a framework for measuring fair value. According to ASC No. 820, fair value is an exit price, representing the amount that would be received for selling an asset or paid for the transfer of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ectPr>
          <w:pgSz w:w="11900" w:h="16838" w:orient="portrait"/>
          <w:cols w:equalWidth="0" w:num="1">
            <w:col w:w="11420"/>
          </w:cols>
          <w:pgMar w:left="240" w:top="337" w:right="239" w:bottom="1440" w:gutter="0" w:footer="0" w:header="0"/>
        </w:sectPr>
      </w:pPr>
    </w:p>
    <w:p>
      <w:pPr>
        <w:spacing w:after="0" w:line="19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Level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Unadjusted quoted prices in active markets that are accessible on the measurement date for identical, unrestricted assets or liabilities;</w:t>
      </w:r>
    </w:p>
    <w:p>
      <w:pPr>
        <w:spacing w:after="0" w:line="170" w:lineRule="exact"/>
        <w:rPr>
          <w:sz w:val="20"/>
          <w:szCs w:val="20"/>
          <w:color w:val="auto"/>
        </w:rPr>
      </w:pPr>
    </w:p>
    <w:p>
      <w:pPr>
        <w:sectPr>
          <w:pgSz w:w="11900" w:h="16838" w:orient="portrait"/>
          <w:cols w:equalWidth="0" w:num="3">
            <w:col w:w="1440" w:space="120"/>
            <w:col w:w="120" w:space="480"/>
            <w:col w:w="9260"/>
          </w:cols>
          <w:pgMar w:left="240" w:top="337" w:right="239" w:bottom="1440" w:gutter="0" w:footer="0" w:header="0"/>
          <w:type w:val="continuous"/>
        </w:sectPr>
      </w:pPr>
    </w:p>
    <w:p>
      <w:pPr>
        <w:ind w:left="1020"/>
        <w:spacing w:after="0"/>
        <w:rPr>
          <w:sz w:val="20"/>
          <w:szCs w:val="20"/>
          <w:color w:val="auto"/>
        </w:rPr>
      </w:pPr>
      <w:r>
        <w:rPr>
          <w:rFonts w:ascii="Arial" w:cs="Arial" w:eastAsia="Arial" w:hAnsi="Arial"/>
          <w:sz w:val="17"/>
          <w:szCs w:val="17"/>
          <w:color w:val="auto"/>
        </w:rPr>
        <w:t>Level II:</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Quoted prices in markets that are not active, or inputs that are observable, either directly or indirectly, for substantially the full term of the asset or liability; and</w:t>
      </w:r>
    </w:p>
    <w:p>
      <w:pPr>
        <w:spacing w:after="0" w:line="170" w:lineRule="exact"/>
        <w:rPr>
          <w:sz w:val="20"/>
          <w:szCs w:val="20"/>
          <w:color w:val="auto"/>
        </w:rPr>
      </w:pPr>
    </w:p>
    <w:p>
      <w:pPr>
        <w:sectPr>
          <w:pgSz w:w="11900" w:h="16838" w:orient="portrait"/>
          <w:cols w:equalWidth="0" w:num="2">
            <w:col w:w="1640" w:space="520"/>
            <w:col w:w="9260"/>
          </w:cols>
          <w:pgMar w:left="240" w:top="337" w:right="239" w:bottom="1440" w:gutter="0" w:footer="0" w:header="0"/>
          <w:type w:val="continuous"/>
        </w:sectPr>
      </w:pPr>
    </w:p>
    <w:p>
      <w:pPr>
        <w:ind w:left="1020"/>
        <w:spacing w:after="0"/>
        <w:rPr>
          <w:sz w:val="20"/>
          <w:szCs w:val="20"/>
          <w:color w:val="auto"/>
        </w:rPr>
      </w:pPr>
      <w:r>
        <w:rPr>
          <w:rFonts w:ascii="Arial" w:cs="Arial" w:eastAsia="Arial" w:hAnsi="Arial"/>
          <w:sz w:val="17"/>
          <w:szCs w:val="17"/>
          <w:color w:val="auto"/>
        </w:rPr>
        <w:t>Level III:</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Prices or valuation techniques that require inputs that are both significant to the fair value measurement and unobservable (supported by little or no market activity).</w:t>
      </w:r>
    </w:p>
    <w:p>
      <w:pPr>
        <w:spacing w:after="0" w:line="170" w:lineRule="exact"/>
        <w:rPr>
          <w:sz w:val="20"/>
          <w:szCs w:val="20"/>
          <w:color w:val="auto"/>
        </w:rPr>
      </w:pPr>
    </w:p>
    <w:p>
      <w:pPr>
        <w:sectPr>
          <w:pgSz w:w="11900" w:h="16838" w:orient="portrait"/>
          <w:cols w:equalWidth="0" w:num="2">
            <w:col w:w="1700" w:space="460"/>
            <w:col w:w="9260"/>
          </w:cols>
          <w:pgMar w:left="240" w:top="337" w:right="239" w:bottom="1440" w:gutter="0" w:footer="0" w:header="0"/>
          <w:type w:val="continuous"/>
        </w:sectPr>
      </w:pPr>
    </w:p>
    <w:p>
      <w:pPr>
        <w:ind w:left="1020" w:right="60"/>
        <w:spacing w:after="0" w:line="279" w:lineRule="auto"/>
        <w:rPr>
          <w:sz w:val="20"/>
          <w:szCs w:val="20"/>
          <w:color w:val="auto"/>
        </w:rPr>
      </w:pPr>
      <w:r>
        <w:rPr>
          <w:rFonts w:ascii="Arial" w:cs="Arial" w:eastAsia="Arial" w:hAnsi="Arial"/>
          <w:sz w:val="17"/>
          <w:szCs w:val="17"/>
          <w:color w:val="auto"/>
        </w:rPr>
        <w:t>The Company measures its marketable securities, foreign currency derivative contracts and the contingent payments obligation in connection with acquisition (the “Contingent Payments”) at fair value. Marketable securities and foreign currency derivative contracts are classified within Level II as the valuation inputs are based on quoted prices and market observable data of similar instruments. The Contingent Payments are classified within level III as the valuation inputs are based on significant inputs not observable in the market.</w:t>
      </w:r>
    </w:p>
    <w:p>
      <w:pPr>
        <w:spacing w:after="0" w:line="171" w:lineRule="exact"/>
        <w:rPr>
          <w:sz w:val="20"/>
          <w:szCs w:val="20"/>
          <w:color w:val="auto"/>
        </w:rPr>
      </w:pPr>
    </w:p>
    <w:p>
      <w:pPr>
        <w:ind w:left="1020" w:right="120"/>
        <w:spacing w:after="0" w:line="258" w:lineRule="auto"/>
        <w:rPr>
          <w:sz w:val="20"/>
          <w:szCs w:val="20"/>
          <w:color w:val="auto"/>
        </w:rPr>
      </w:pPr>
      <w:r>
        <w:rPr>
          <w:rFonts w:ascii="Arial" w:cs="Arial" w:eastAsia="Arial" w:hAnsi="Arial"/>
          <w:sz w:val="18"/>
          <w:szCs w:val="18"/>
          <w:color w:val="auto"/>
        </w:rPr>
        <w:t>The below table sets forth the Company’s assets and liabilities that were measured at fair value as of June 30, 2018 and December 31, 2017 by level within the fair value hierarchy.</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Assets and liabilities are classified in their entirety based on the lowest level of input that is significant to the fair value measurement.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rPr>
              <w:t>As of June 30, 2018</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020"/>
              <w:spacing w:after="0"/>
              <w:rPr>
                <w:sz w:val="20"/>
                <w:szCs w:val="20"/>
                <w:color w:val="auto"/>
              </w:rPr>
            </w:pPr>
            <w:r>
              <w:rPr>
                <w:rFonts w:ascii="Arial" w:cs="Arial" w:eastAsia="Arial" w:hAnsi="Arial"/>
                <w:sz w:val="18"/>
                <w:szCs w:val="18"/>
                <w:color w:val="auto"/>
              </w:rPr>
              <w:t>Assets:</w:t>
            </w: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Marketable securities</w:t>
            </w:r>
          </w:p>
        </w:tc>
        <w:tc>
          <w:tcPr>
            <w:tcW w:w="8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77,998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vMerge w:val="restart"/>
          </w:tcPr>
          <w:p>
            <w:pPr>
              <w:ind w:left="102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77,998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77,998</w:t>
            </w:r>
          </w:p>
        </w:tc>
        <w:tc>
          <w:tcPr>
            <w:tcW w:w="0" w:type="dxa"/>
            <w:vAlign w:val="bottom"/>
          </w:tcPr>
          <w:p>
            <w:pPr>
              <w:spacing w:after="0"/>
              <w:rPr>
                <w:sz w:val="1"/>
                <w:szCs w:val="1"/>
                <w:color w:val="auto"/>
              </w:rPr>
            </w:pPr>
          </w:p>
        </w:tc>
      </w:tr>
      <w:tr>
        <w:trPr>
          <w:trHeight w:val="216"/>
        </w:trPr>
        <w:tc>
          <w:tcPr>
            <w:tcW w:w="6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ind w:left="10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Payment obligation related to acquisition</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6620" w:type="dxa"/>
            <w:vAlign w:val="bottom"/>
          </w:tcPr>
          <w:p>
            <w:pPr>
              <w:ind w:left="1020"/>
              <w:spacing w:after="0"/>
              <w:rPr>
                <w:sz w:val="20"/>
                <w:szCs w:val="20"/>
                <w:color w:val="auto"/>
              </w:rPr>
            </w:pPr>
            <w:r>
              <w:rPr>
                <w:rFonts w:ascii="Arial" w:cs="Arial" w:eastAsia="Arial" w:hAnsi="Arial"/>
                <w:sz w:val="18"/>
                <w:szCs w:val="18"/>
                <w:color w:val="auto"/>
              </w:rPr>
              <w:t>Foreign currency derivative contracts</w:t>
            </w:r>
          </w:p>
        </w:tc>
        <w:tc>
          <w:tcPr>
            <w:tcW w:w="86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620" w:type="dxa"/>
            <w:vAlign w:val="bottom"/>
            <w:vMerge w:val="restart"/>
            <w:shd w:val="clear" w:color="auto" w:fill="CCEEFF"/>
          </w:tcPr>
          <w:p>
            <w:pPr>
              <w:ind w:left="1020"/>
              <w:spacing w:after="0"/>
              <w:rPr>
                <w:sz w:val="20"/>
                <w:szCs w:val="20"/>
                <w:color w:val="auto"/>
              </w:rPr>
            </w:pPr>
            <w:r>
              <w:rPr>
                <w:rFonts w:ascii="Arial" w:cs="Arial" w:eastAsia="Arial" w:hAnsi="Arial"/>
                <w:sz w:val="18"/>
                <w:szCs w:val="18"/>
                <w:color w:val="auto"/>
              </w:rPr>
              <w:t>Total liabilities</w:t>
            </w: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
        </w:trPr>
        <w:tc>
          <w:tcPr>
            <w:tcW w:w="6620" w:type="dxa"/>
            <w:vAlign w:val="bottom"/>
            <w:tcBorders>
              <w:top w:val="single" w:sz="8" w:color="CCEEFF"/>
              <w:bottom w:val="single" w:sz="8" w:color="CCEEFF"/>
            </w:tcBorders>
            <w:vMerge w:val="restart"/>
          </w:tcPr>
          <w:p>
            <w:pPr>
              <w:ind w:left="5640"/>
              <w:spacing w:after="0"/>
              <w:rPr>
                <w:sz w:val="20"/>
                <w:szCs w:val="20"/>
                <w:color w:val="auto"/>
              </w:rPr>
            </w:pPr>
            <w:r>
              <w:rPr>
                <w:rFonts w:ascii="Arial" w:cs="Arial" w:eastAsia="Arial" w:hAnsi="Arial"/>
                <w:sz w:val="18"/>
                <w:szCs w:val="18"/>
                <w:color w:val="auto"/>
              </w:rPr>
              <w:t>14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662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-1997710</wp:posOffset>
            </wp:positionV>
            <wp:extent cx="643255" cy="1569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3255" cy="156908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8" w:name="page19"/>
    <w:bookmarkEnd w:id="18"/>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 (Cont.)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89"/>
              </w:rPr>
              <w:t>As of December 31, 2017</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020"/>
              <w:spacing w:after="0"/>
              <w:rPr>
                <w:sz w:val="20"/>
                <w:szCs w:val="20"/>
                <w:color w:val="auto"/>
              </w:rPr>
            </w:pPr>
            <w:r>
              <w:rPr>
                <w:rFonts w:ascii="Arial" w:cs="Arial" w:eastAsia="Arial" w:hAnsi="Arial"/>
                <w:sz w:val="18"/>
                <w:szCs w:val="18"/>
                <w:color w:val="auto"/>
              </w:rPr>
              <w:t>Assets:</w:t>
            </w: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Marketable securities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020"/>
              <w:spacing w:after="0"/>
              <w:rPr>
                <w:sz w:val="20"/>
                <w:szCs w:val="20"/>
                <w:color w:val="auto"/>
              </w:rPr>
            </w:pPr>
            <w:r>
              <w:rPr>
                <w:rFonts w:ascii="Arial" w:cs="Arial" w:eastAsia="Arial" w:hAnsi="Arial"/>
                <w:sz w:val="18"/>
                <w:szCs w:val="18"/>
                <w:color w:val="auto"/>
              </w:rPr>
              <w:t>Foreign currency derivative contracts</w:t>
            </w:r>
          </w:p>
        </w:tc>
        <w:tc>
          <w:tcPr>
            <w:tcW w:w="86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20" w:type="dxa"/>
            <w:vAlign w:val="bottom"/>
            <w:vMerge w:val="restart"/>
            <w:shd w:val="clear" w:color="auto" w:fill="CCEEFF"/>
          </w:tcPr>
          <w:p>
            <w:pPr>
              <w:ind w:left="102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74,417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020"/>
              <w:spacing w:after="0"/>
              <w:rPr>
                <w:sz w:val="20"/>
                <w:szCs w:val="20"/>
                <w:color w:val="auto"/>
              </w:rPr>
            </w:pPr>
            <w:r>
              <w:rPr>
                <w:rFonts w:ascii="Arial" w:cs="Arial" w:eastAsia="Arial" w:hAnsi="Arial"/>
                <w:sz w:val="18"/>
                <w:szCs w:val="18"/>
                <w:color w:val="auto"/>
              </w:rPr>
              <w:t>Payment obligation related to acquisition</w:t>
            </w:r>
          </w:p>
        </w:tc>
        <w:tc>
          <w:tcPr>
            <w:tcW w:w="86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20" w:type="dxa"/>
            <w:vAlign w:val="bottom"/>
            <w:vMerge w:val="restart"/>
            <w:shd w:val="clear" w:color="auto" w:fill="CCEEFF"/>
          </w:tcPr>
          <w:p>
            <w:pPr>
              <w:ind w:left="1020"/>
              <w:spacing w:after="0"/>
              <w:rPr>
                <w:sz w:val="20"/>
                <w:szCs w:val="20"/>
                <w:color w:val="auto"/>
              </w:rPr>
            </w:pPr>
            <w:r>
              <w:rPr>
                <w:rFonts w:ascii="Arial" w:cs="Arial" w:eastAsia="Arial" w:hAnsi="Arial"/>
                <w:sz w:val="18"/>
                <w:szCs w:val="18"/>
                <w:color w:val="auto"/>
              </w:rPr>
              <w:t>Total liabilities</w:t>
            </w: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960" w:type="dxa"/>
            <w:vAlign w:val="bottom"/>
            <w:gridSpan w:val="8"/>
          </w:tcPr>
          <w:p>
            <w:pPr>
              <w:ind w:left="1020"/>
              <w:spacing w:after="0"/>
              <w:rPr>
                <w:sz w:val="20"/>
                <w:szCs w:val="20"/>
                <w:color w:val="auto"/>
              </w:rPr>
            </w:pPr>
            <w:r>
              <w:rPr>
                <w:rFonts w:ascii="Arial" w:cs="Arial" w:eastAsia="Arial" w:hAnsi="Arial"/>
                <w:sz w:val="18"/>
                <w:szCs w:val="18"/>
                <w:color w:val="auto"/>
                <w:w w:val="96"/>
              </w:rPr>
              <w:t>The following table set forth the change of fair value measurements that are categorized within Level 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Total fair value as of January 1, 2018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80" w:type="dxa"/>
            <w:vAlign w:val="bottom"/>
            <w:gridSpan w:val="2"/>
          </w:tcPr>
          <w:p>
            <w:pPr>
              <w:ind w:left="1020"/>
              <w:spacing w:after="0"/>
              <w:rPr>
                <w:sz w:val="20"/>
                <w:szCs w:val="20"/>
                <w:color w:val="auto"/>
              </w:rPr>
            </w:pPr>
            <w:r>
              <w:rPr>
                <w:rFonts w:ascii="Arial" w:cs="Arial" w:eastAsia="Arial" w:hAnsi="Arial"/>
                <w:sz w:val="18"/>
                <w:szCs w:val="18"/>
                <w:color w:val="auto"/>
              </w:rPr>
              <w:t>Accretion of payments obligation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480" w:type="dxa"/>
            <w:vAlign w:val="bottom"/>
            <w:gridSpan w:val="2"/>
          </w:tcPr>
          <w:p>
            <w:pPr>
              <w:ind w:left="1020"/>
              <w:spacing w:after="0"/>
              <w:rPr>
                <w:sz w:val="20"/>
                <w:szCs w:val="20"/>
                <w:color w:val="auto"/>
              </w:rPr>
            </w:pPr>
            <w:r>
              <w:rPr>
                <w:rFonts w:ascii="Arial" w:cs="Arial" w:eastAsia="Arial" w:hAnsi="Arial"/>
                <w:sz w:val="18"/>
                <w:szCs w:val="18"/>
                <w:color w:val="auto"/>
              </w:rPr>
              <w:t>Total fair value as of June 30, 2018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-2649220</wp:posOffset>
            </wp:positionV>
            <wp:extent cx="643255" cy="15690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3255" cy="1569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643255" cy="617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3255" cy="617220"/>
                    </a:xfrm>
                    <a:prstGeom prst="rect">
                      <a:avLst/>
                    </a:prstGeom>
                    <a:noFill/>
                  </pic:spPr>
                </pic:pic>
              </a:graphicData>
            </a:graphic>
          </wp:anchor>
        </w:drawing>
      </w:r>
    </w:p>
    <w:p>
      <w:pPr>
        <w:spacing w:after="0" w:line="182" w:lineRule="exact"/>
        <w:rPr>
          <w:sz w:val="20"/>
          <w:szCs w:val="20"/>
          <w:color w:val="auto"/>
        </w:rPr>
      </w:pPr>
    </w:p>
    <w:p>
      <w:pPr>
        <w:ind w:left="1020" w:right="160"/>
        <w:spacing w:after="0" w:line="291" w:lineRule="auto"/>
        <w:rPr>
          <w:sz w:val="20"/>
          <w:szCs w:val="20"/>
          <w:color w:val="auto"/>
        </w:rPr>
      </w:pPr>
      <w:r>
        <w:rPr>
          <w:rFonts w:ascii="Arial" w:cs="Arial" w:eastAsia="Arial" w:hAnsi="Arial"/>
          <w:sz w:val="16"/>
          <w:szCs w:val="16"/>
          <w:color w:val="auto"/>
        </w:rPr>
        <w:t>The fair value of the payment obligation related to acquisition was estimated based several factors of which the most significant is the Company’s revenue projections. The Company used a Monte Carlo Simulation of the triangular model with a discount rate of 15%. Payment obligation related to acquisition is revalued to current fair value at each reporting date. Any change in the fair value as a result of time passage is recognized in the financial expenses; any other changes in significant inputs such as the discount rate, the discount period or other factors used in the calculation, is recognized in operating expenses in the consolidated results of operations in the period the estimated fair value changes. Payment obligation related to acquisition will continue to be accounted for and measured at fair value until the contingencies are settled during fiscal year 2018. Accretion of the payment obligation related to acquisition is included in financial expenses,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Arial" w:cs="Arial" w:eastAsia="Arial" w:hAnsi="Arial"/>
                <w:sz w:val="18"/>
                <w:szCs w:val="18"/>
                <w:b w:val="1"/>
                <w:bCs w:val="1"/>
                <w:color w:val="auto"/>
              </w:rPr>
              <w:t>NOTE 5:- INVENTORIES</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6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December 31,</w:t>
            </w:r>
          </w:p>
        </w:tc>
      </w:tr>
      <w:tr>
        <w:trPr>
          <w:trHeight w:val="241"/>
        </w:trPr>
        <w:tc>
          <w:tcPr>
            <w:tcW w:w="6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6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Raw materials and components</w:t>
            </w:r>
          </w:p>
        </w:tc>
        <w:tc>
          <w:tcPr>
            <w:tcW w:w="3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15,115</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15,756</w:t>
            </w:r>
          </w:p>
        </w:tc>
        <w:tc>
          <w:tcPr>
            <w:tcW w:w="100" w:type="dxa"/>
            <w:vAlign w:val="bottom"/>
            <w:shd w:val="clear" w:color="auto" w:fill="CCEEFF"/>
          </w:tcPr>
          <w:p>
            <w:pPr>
              <w:spacing w:after="0"/>
              <w:rPr>
                <w:sz w:val="18"/>
                <w:szCs w:val="18"/>
                <w:color w:val="auto"/>
              </w:rPr>
            </w:pPr>
          </w:p>
        </w:tc>
      </w:tr>
      <w:tr>
        <w:trPr>
          <w:trHeight w:val="237"/>
        </w:trPr>
        <w:tc>
          <w:tcPr>
            <w:tcW w:w="6160" w:type="dxa"/>
            <w:vAlign w:val="bottom"/>
          </w:tcPr>
          <w:p>
            <w:pPr>
              <w:ind w:left="1020"/>
              <w:spacing w:after="0"/>
              <w:rPr>
                <w:sz w:val="20"/>
                <w:szCs w:val="20"/>
                <w:color w:val="auto"/>
              </w:rPr>
            </w:pPr>
            <w:r>
              <w:rPr>
                <w:rFonts w:ascii="Arial" w:cs="Arial" w:eastAsia="Arial" w:hAnsi="Arial"/>
                <w:sz w:val="18"/>
                <w:szCs w:val="18"/>
                <w:color w:val="auto"/>
              </w:rPr>
              <w:t>Finished products</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10,008</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19,099</w:t>
            </w:r>
          </w:p>
        </w:tc>
        <w:tc>
          <w:tcPr>
            <w:tcW w:w="100" w:type="dxa"/>
            <w:vAlign w:val="bottom"/>
          </w:tcPr>
          <w:p>
            <w:pPr>
              <w:spacing w:after="0"/>
              <w:rPr>
                <w:sz w:val="20"/>
                <w:szCs w:val="20"/>
                <w:color w:val="auto"/>
              </w:rPr>
            </w:pPr>
          </w:p>
        </w:tc>
      </w:tr>
      <w:tr>
        <w:trPr>
          <w:trHeight w:val="216"/>
        </w:trPr>
        <w:tc>
          <w:tcPr>
            <w:tcW w:w="616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160" w:type="dxa"/>
            <w:vAlign w:val="bottom"/>
          </w:tcPr>
          <w:p>
            <w:pPr>
              <w:spacing w:after="0"/>
              <w:rPr>
                <w:sz w:val="22"/>
                <w:szCs w:val="22"/>
                <w:color w:val="auto"/>
              </w:rPr>
            </w:pPr>
          </w:p>
        </w:tc>
        <w:tc>
          <w:tcPr>
            <w:tcW w:w="3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25,123</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34,855</w:t>
            </w:r>
          </w:p>
        </w:tc>
        <w:tc>
          <w:tcPr>
            <w:tcW w:w="100" w:type="dxa"/>
            <w:vAlign w:val="bottom"/>
          </w:tcPr>
          <w:p>
            <w:pPr>
              <w:spacing w:after="0"/>
              <w:rPr>
                <w:sz w:val="22"/>
                <w:szCs w:val="22"/>
                <w:color w:val="auto"/>
              </w:rPr>
            </w:pPr>
          </w:p>
        </w:tc>
      </w:tr>
      <w:tr>
        <w:trPr>
          <w:trHeight w:val="21"/>
        </w:trPr>
        <w:tc>
          <w:tcPr>
            <w:tcW w:w="6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643255" cy="1054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3255" cy="1054735"/>
                    </a:xfrm>
                    <a:prstGeom prst="rect">
                      <a:avLst/>
                    </a:prstGeom>
                    <a:noFill/>
                  </pic:spPr>
                </pic:pic>
              </a:graphicData>
            </a:graphic>
          </wp:anchor>
        </w:drawing>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Inventory write-offs amounted to $903 and $1,333 during the six months ended June 30, 2018 and 2017,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DERIVATIVES AND HEDGING ACTIVITIES</w:t>
      </w:r>
    </w:p>
    <w:p>
      <w:pPr>
        <w:spacing w:after="0" w:line="229" w:lineRule="exact"/>
        <w:rPr>
          <w:sz w:val="20"/>
          <w:szCs w:val="20"/>
          <w:color w:val="auto"/>
        </w:rPr>
      </w:pPr>
    </w:p>
    <w:p>
      <w:pPr>
        <w:ind w:left="1020" w:right="60"/>
        <w:spacing w:after="0" w:line="270" w:lineRule="auto"/>
        <w:rPr>
          <w:sz w:val="20"/>
          <w:szCs w:val="20"/>
          <w:color w:val="auto"/>
        </w:rPr>
      </w:pPr>
      <w:r>
        <w:rPr>
          <w:rFonts w:ascii="Arial" w:cs="Arial" w:eastAsia="Arial" w:hAnsi="Arial"/>
          <w:sz w:val="17"/>
          <w:szCs w:val="17"/>
          <w:color w:val="auto"/>
        </w:rPr>
        <w:t>The Company follows FASB ASC No. 815,” Derivatives and Hedging” which requires companies to recognize all of their derivative instruments as either assets or liabilities in the statement of financial position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 The Company used derivative financial instruments, specifically foreign currency forward and option contracts (“Hedging Contracts”), to manage exposure to foreign currency risks, by hedging a portion of the Company’s forecasted expenses denominated in New Israeli Shekels expected to incur within a year. The effect of exchange rate changes on foreign currency hedging contracts is expected to partially offset the effect of exchange rate changes on the underlying hedged item</w:t>
      </w:r>
    </w:p>
    <w:p>
      <w:pPr>
        <w:spacing w:after="0" w:line="178" w:lineRule="exact"/>
        <w:rPr>
          <w:sz w:val="20"/>
          <w:szCs w:val="20"/>
          <w:color w:val="auto"/>
        </w:rPr>
      </w:pPr>
    </w:p>
    <w:p>
      <w:pPr>
        <w:ind w:left="1020" w:right="60"/>
        <w:spacing w:after="0" w:line="302" w:lineRule="auto"/>
        <w:rPr>
          <w:sz w:val="20"/>
          <w:szCs w:val="20"/>
          <w:color w:val="auto"/>
        </w:rPr>
      </w:pPr>
      <w:r>
        <w:rPr>
          <w:rFonts w:ascii="Arial" w:cs="Arial" w:eastAsia="Arial" w:hAnsi="Arial"/>
          <w:sz w:val="16"/>
          <w:szCs w:val="16"/>
          <w:color w:val="auto"/>
        </w:rPr>
        <w:t>For derivative instruments that are designated and qualify as a cash flow hedge (i.e., hedging the exposure to variability in expected future cash flows that is attributable to a particular risk), the effective portion of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(expenses), net”.</w:t>
      </w:r>
    </w:p>
    <w:p>
      <w:pPr>
        <w:spacing w:after="0" w:line="154"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As of June 30, 2018, and December 31, 2017, the notional principal amount of the Hedging Contracts to sell U.S. dollars held by the Company was $5,836 and $3,651, respectively.</w:t>
      </w:r>
    </w:p>
    <w:p>
      <w:pPr>
        <w:spacing w:after="0" w:line="170" w:lineRule="exact"/>
        <w:rPr>
          <w:sz w:val="20"/>
          <w:szCs w:val="20"/>
          <w:color w:val="auto"/>
        </w:rPr>
      </w:pPr>
    </w:p>
    <w:p>
      <w:pPr>
        <w:ind w:left="1020" w:right="320"/>
        <w:spacing w:after="0" w:line="277" w:lineRule="auto"/>
        <w:rPr>
          <w:sz w:val="20"/>
          <w:szCs w:val="20"/>
          <w:color w:val="auto"/>
        </w:rPr>
      </w:pPr>
      <w:r>
        <w:rPr>
          <w:rFonts w:ascii="Arial" w:cs="Arial" w:eastAsia="Arial" w:hAnsi="Arial"/>
          <w:sz w:val="18"/>
          <w:szCs w:val="18"/>
          <w:color w:val="auto"/>
        </w:rPr>
        <w:t>As of June 30, 2018, the fair value of the Company’s outstanding derivatives designated as cash flow hedging instruments was $52 which is included within “Other payables and accrued expenses” in the balance sheet.</w:t>
      </w:r>
    </w:p>
    <w:p>
      <w:pPr>
        <w:spacing w:after="0" w:line="170" w:lineRule="exact"/>
        <w:rPr>
          <w:sz w:val="20"/>
          <w:szCs w:val="20"/>
          <w:color w:val="auto"/>
        </w:rPr>
      </w:pPr>
    </w:p>
    <w:p>
      <w:pPr>
        <w:ind w:left="1020" w:right="60"/>
        <w:spacing w:after="0" w:line="277" w:lineRule="auto"/>
        <w:rPr>
          <w:sz w:val="20"/>
          <w:szCs w:val="20"/>
          <w:color w:val="auto"/>
        </w:rPr>
      </w:pPr>
      <w:r>
        <w:rPr>
          <w:rFonts w:ascii="Arial" w:cs="Arial" w:eastAsia="Arial" w:hAnsi="Arial"/>
          <w:sz w:val="18"/>
          <w:szCs w:val="18"/>
          <w:color w:val="auto"/>
        </w:rPr>
        <w:t>As of December 31, 2017, the fair value of the Company’s outstanding derivatives designated as cash flow hedging instruments was $45 which is included within” Other accounts receivable and prepaid expenses” in the balance sheet.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CONTINGENT LIABILITIES</w:t>
      </w:r>
    </w:p>
    <w:p>
      <w:pPr>
        <w:spacing w:after="0" w:line="229" w:lineRule="exact"/>
        <w:rPr>
          <w:sz w:val="20"/>
          <w:szCs w:val="20"/>
          <w:color w:val="auto"/>
        </w:rPr>
      </w:pPr>
    </w:p>
    <w:p>
      <w:pPr>
        <w:ind w:left="1520" w:hanging="499"/>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Charges:</w:t>
      </w:r>
    </w:p>
    <w:p>
      <w:pPr>
        <w:spacing w:after="0" w:line="225" w:lineRule="exact"/>
        <w:rPr>
          <w:rFonts w:ascii="Arial" w:cs="Arial" w:eastAsia="Arial" w:hAnsi="Arial"/>
          <w:sz w:val="18"/>
          <w:szCs w:val="18"/>
          <w:color w:val="auto"/>
        </w:rPr>
      </w:pPr>
    </w:p>
    <w:p>
      <w:pPr>
        <w:ind w:left="1540" w:right="20"/>
        <w:spacing w:after="0" w:line="257" w:lineRule="auto"/>
        <w:rPr>
          <w:rFonts w:ascii="Arial" w:cs="Arial" w:eastAsia="Arial" w:hAnsi="Arial"/>
          <w:sz w:val="18"/>
          <w:szCs w:val="18"/>
          <w:color w:val="auto"/>
        </w:rPr>
      </w:pPr>
      <w:r>
        <w:rPr>
          <w:rFonts w:ascii="Arial" w:cs="Arial" w:eastAsia="Arial" w:hAnsi="Arial"/>
          <w:sz w:val="18"/>
          <w:szCs w:val="18"/>
          <w:color w:val="auto"/>
        </w:rPr>
        <w:t>As of June 30, 2018, the Company ha</w:t>
      </w:r>
      <w:r>
        <w:rPr>
          <w:rFonts w:ascii="Arial" w:cs="Arial" w:eastAsia="Arial" w:hAnsi="Arial"/>
          <w:sz w:val="18"/>
          <w:szCs w:val="18"/>
          <w:color w:val="1F497D"/>
        </w:rPr>
        <w:t>s</w:t>
      </w:r>
      <w:r>
        <w:rPr>
          <w:rFonts w:ascii="Arial" w:cs="Arial" w:eastAsia="Arial" w:hAnsi="Arial"/>
          <w:sz w:val="18"/>
          <w:szCs w:val="18"/>
          <w:color w:val="auto"/>
        </w:rPr>
        <w:t xml:space="preserve"> two lines of credit with Israeli banks for total borrowings of up to $3 million, which was undrawn to date. These lines of credit are unsecured and available provided that the Company maintains a 30% ratio of total tangible shareholders’ equity to total tangible assets and that the total credit use will be less than 70% of the Company and its subsidiaries’ receivables. Interest rates across these credit lines varied from 0.2% to Prime (Israel Interbank Offered Rate) +0.7% (currant 2.3%) as of June 30, 2018.</w:t>
      </w:r>
    </w:p>
    <w:p>
      <w:pPr>
        <w:spacing w:after="0" w:line="188" w:lineRule="exact"/>
        <w:rPr>
          <w:rFonts w:ascii="Arial" w:cs="Arial" w:eastAsia="Arial" w:hAnsi="Arial"/>
          <w:sz w:val="18"/>
          <w:szCs w:val="18"/>
          <w:color w:val="auto"/>
        </w:rPr>
      </w:pPr>
    </w:p>
    <w:p>
      <w:pPr>
        <w:ind w:left="1520" w:hanging="499"/>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225" w:lineRule="exact"/>
        <w:rPr>
          <w:rFonts w:ascii="Arial" w:cs="Arial" w:eastAsia="Arial" w:hAnsi="Arial"/>
          <w:sz w:val="18"/>
          <w:szCs w:val="18"/>
          <w:color w:val="auto"/>
        </w:rPr>
      </w:pPr>
    </w:p>
    <w:p>
      <w:pPr>
        <w:ind w:left="1540" w:right="400"/>
        <w:spacing w:after="0" w:line="277" w:lineRule="auto"/>
        <w:rPr>
          <w:rFonts w:ascii="Arial" w:cs="Arial" w:eastAsia="Arial" w:hAnsi="Arial"/>
          <w:sz w:val="18"/>
          <w:szCs w:val="18"/>
          <w:color w:val="auto"/>
        </w:rPr>
      </w:pPr>
      <w:r>
        <w:rPr>
          <w:rFonts w:ascii="Arial" w:cs="Arial" w:eastAsia="Arial" w:hAnsi="Arial"/>
          <w:sz w:val="18"/>
          <w:szCs w:val="18"/>
          <w:color w:val="auto"/>
        </w:rPr>
        <w:t>As of June 30, 2018, the Company has purchase commitments from vendors in the amount of $22,652. These commitments are due primarily within one year.</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rFonts w:ascii="Arial" w:cs="Arial" w:eastAsia="Arial" w:hAnsi="Arial"/>
          <w:sz w:val="18"/>
          <w:szCs w:val="18"/>
          <w:color w:val="auto"/>
        </w:rPr>
      </w:pPr>
    </w:p>
    <w:p>
      <w:pPr>
        <w:ind w:left="1540" w:right="4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25" w:lineRule="exact"/>
        <w:rPr>
          <w:rFonts w:ascii="Arial" w:cs="Arial" w:eastAsia="Arial" w:hAnsi="Arial"/>
          <w:sz w:val="18"/>
          <w:szCs w:val="18"/>
          <w:color w:val="auto"/>
        </w:rPr>
      </w:pPr>
    </w:p>
    <w:p>
      <w:pPr>
        <w:ind w:left="1540" w:right="120"/>
        <w:spacing w:after="0" w:line="277" w:lineRule="auto"/>
        <w:rPr>
          <w:rFonts w:ascii="Arial" w:cs="Arial" w:eastAsia="Arial" w:hAnsi="Arial"/>
          <w:sz w:val="18"/>
          <w:szCs w:val="18"/>
          <w:color w:val="auto"/>
        </w:rPr>
      </w:pPr>
      <w:r>
        <w:rPr>
          <w:rFonts w:ascii="Arial" w:cs="Arial" w:eastAsia="Arial" w:hAnsi="Arial"/>
          <w:sz w:val="18"/>
          <w:szCs w:val="18"/>
          <w:color w:val="auto"/>
        </w:rPr>
        <w:t>Under the Company’s agreement for purchasing print heads and other products, which was amended in 2016, the Company is obligated to pay 2.5% royalties of its annual ink revenues up to an annual maximum amount of $625.</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Royalty expenses for the six months ended June 30, 2018 and 2017 were $312.</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As of June 30, 2018, the Company provided two bank guarantees in a total amount of $379 for its rented facilities.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sets forth the computation of basic and diluted net earnings per share:</w:t>
      </w:r>
    </w:p>
    <w:p>
      <w:pPr>
        <w:spacing w:after="0" w:line="221"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43255" cy="2435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255" cy="2435225"/>
                    </a:xfrm>
                    <a:prstGeom prst="rect">
                      <a:avLst/>
                    </a:prstGeom>
                    <a:noFill/>
                  </pic:spPr>
                </pic:pic>
              </a:graphicData>
            </a:graphic>
          </wp:anchor>
        </w:drawing>
      </w:r>
    </w:p>
    <w:p>
      <w:pPr>
        <w:spacing w:after="0" w:line="7"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020"/>
              <w:spacing w:after="0"/>
              <w:rPr>
                <w:sz w:val="20"/>
                <w:szCs w:val="20"/>
                <w:color w:val="auto"/>
              </w:rPr>
            </w:pPr>
            <w:r>
              <w:rPr>
                <w:rFonts w:ascii="Arial" w:cs="Arial" w:eastAsia="Arial" w:hAnsi="Arial"/>
                <w:sz w:val="18"/>
                <w:szCs w:val="18"/>
                <w:b w:val="1"/>
                <w:bCs w:val="1"/>
                <w:color w:val="auto"/>
              </w:rPr>
              <w:t>Numerator for basic and diluted net earnings per share: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Net income (loss)</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(1,522</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3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Weighted average shares outstanding, net of treasury stock:</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Denominator for basic net income (loss) per share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34,295,752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33,151,633</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Effect of dilutive securities: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1020"/>
              <w:spacing w:after="0"/>
              <w:rPr>
                <w:sz w:val="20"/>
                <w:szCs w:val="20"/>
                <w:color w:val="auto"/>
              </w:rPr>
            </w:pPr>
            <w:r>
              <w:rPr>
                <w:rFonts w:ascii="Arial" w:cs="Arial" w:eastAsia="Arial" w:hAnsi="Arial"/>
                <w:sz w:val="18"/>
                <w:szCs w:val="18"/>
                <w:color w:val="auto"/>
              </w:rPr>
              <w:t>Employee share options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589,641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vMerge w:val="restart"/>
            <w:shd w:val="clear" w:color="auto" w:fill="CCEEFF"/>
          </w:tcPr>
          <w:p>
            <w:pPr>
              <w:ind w:left="1020"/>
              <w:spacing w:after="0"/>
              <w:rPr>
                <w:sz w:val="20"/>
                <w:szCs w:val="20"/>
                <w:color w:val="auto"/>
              </w:rPr>
            </w:pPr>
            <w:r>
              <w:rPr>
                <w:rFonts w:ascii="Arial" w:cs="Arial" w:eastAsia="Arial" w:hAnsi="Arial"/>
                <w:sz w:val="18"/>
                <w:szCs w:val="18"/>
                <w:color w:val="auto"/>
              </w:rPr>
              <w:t>Denominator for diluted net income (loss) per share</w:t>
            </w:r>
          </w:p>
        </w:tc>
        <w:tc>
          <w:tcPr>
            <w:tcW w:w="17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vMerge w:val="continue"/>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34,885,393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33,151,633</w:t>
            </w:r>
          </w:p>
        </w:tc>
        <w:tc>
          <w:tcPr>
            <w:tcW w:w="0" w:type="dxa"/>
            <w:vAlign w:val="bottom"/>
          </w:tcPr>
          <w:p>
            <w:pPr>
              <w:spacing w:after="0"/>
              <w:rPr>
                <w:sz w:val="1"/>
                <w:szCs w:val="1"/>
                <w:color w:val="auto"/>
              </w:rPr>
            </w:pPr>
          </w:p>
        </w:tc>
      </w:tr>
      <w:tr>
        <w:trPr>
          <w:trHeight w:val="21"/>
        </w:trPr>
        <w:tc>
          <w:tcPr>
            <w:tcW w:w="73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Basic and diluted net income (loss) per share</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3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During the six months ended June 30, 2017, the Company was in a loss position and therefore all its securities were antidilutive.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229" w:lineRule="exact"/>
        <w:rPr>
          <w:sz w:val="20"/>
          <w:szCs w:val="20"/>
          <w:color w:val="auto"/>
        </w:rPr>
      </w:pPr>
    </w:p>
    <w:p>
      <w:pPr>
        <w:ind w:left="1520" w:hanging="499"/>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Company’s shares:</w:t>
      </w:r>
    </w:p>
    <w:p>
      <w:pPr>
        <w:spacing w:after="0" w:line="225" w:lineRule="exact"/>
        <w:rPr>
          <w:rFonts w:ascii="Arial" w:cs="Arial" w:eastAsia="Arial" w:hAnsi="Arial"/>
          <w:sz w:val="18"/>
          <w:szCs w:val="18"/>
          <w:color w:val="auto"/>
        </w:rPr>
      </w:pPr>
    </w:p>
    <w:p>
      <w:pPr>
        <w:ind w:left="1540" w:right="40"/>
        <w:spacing w:after="0" w:line="302" w:lineRule="auto"/>
        <w:rPr>
          <w:rFonts w:ascii="Arial" w:cs="Arial" w:eastAsia="Arial" w:hAnsi="Arial"/>
          <w:sz w:val="18"/>
          <w:szCs w:val="18"/>
          <w:color w:val="auto"/>
        </w:rPr>
      </w:pPr>
      <w:r>
        <w:rPr>
          <w:rFonts w:ascii="Arial" w:cs="Arial" w:eastAsia="Arial" w:hAnsi="Arial"/>
          <w:sz w:val="16"/>
          <w:szCs w:val="16"/>
          <w:color w:val="auto"/>
        </w:rPr>
        <w:t>On January 31, 2017 the Company closed a follow on and secondary offering where by 8,625,000 ordinary shares were sold in the transaction to the public of which 2,300,000 were issued by the Company and 6,325,000 were sold by the selling shareholders (inclusive of 1,125,000 ordinary shares pursuant to the full exercise of an overallotment option granted to the underwriters). The aggregate net proceeds received by the Company from the offering were $35,077, net of underwriting discounts, commissions and offering expenses.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(Cont.)</w:t>
      </w:r>
    </w:p>
    <w:p>
      <w:pPr>
        <w:spacing w:after="0" w:line="229" w:lineRule="exact"/>
        <w:rPr>
          <w:sz w:val="20"/>
          <w:szCs w:val="20"/>
          <w:color w:val="auto"/>
        </w:rPr>
      </w:pPr>
    </w:p>
    <w:p>
      <w:pPr>
        <w:ind w:left="1520" w:hanging="499"/>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 option and RSU’s plans: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summary of the Company’s share option activity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remaining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contractual</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6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upon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term</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intrinsic</w:t>
            </w:r>
          </w:p>
        </w:tc>
      </w:tr>
      <w:tr>
        <w:trPr>
          <w:trHeight w:val="241"/>
        </w:trPr>
        <w:tc>
          <w:tcPr>
            <w:tcW w:w="662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exercise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value (1)</w:t>
            </w:r>
          </w:p>
        </w:tc>
      </w:tr>
      <w:tr>
        <w:trPr>
          <w:trHeight w:val="216"/>
        </w:trPr>
        <w:tc>
          <w:tcPr>
            <w:tcW w:w="66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Outstanding at beginning of year</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2,360,647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168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(261,670)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620" w:type="dxa"/>
            <w:vAlign w:val="bottom"/>
          </w:tcPr>
          <w:p>
            <w:pPr>
              <w:ind w:left="168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(99,326)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6620" w:type="dxa"/>
            <w:vAlign w:val="bottom"/>
          </w:tcPr>
          <w:p>
            <w:pPr>
              <w:ind w:left="1540"/>
              <w:spacing w:after="0"/>
              <w:rPr>
                <w:sz w:val="20"/>
                <w:szCs w:val="20"/>
                <w:color w:val="auto"/>
              </w:rPr>
            </w:pPr>
            <w:r>
              <w:rPr>
                <w:rFonts w:ascii="Arial" w:cs="Arial" w:eastAsia="Arial" w:hAnsi="Arial"/>
                <w:sz w:val="18"/>
                <w:szCs w:val="18"/>
                <w:color w:val="auto"/>
              </w:rPr>
              <w:t>Outstanding at end of year</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2,002,984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12,788</w:t>
            </w:r>
          </w:p>
        </w:tc>
        <w:tc>
          <w:tcPr>
            <w:tcW w:w="100" w:type="dxa"/>
            <w:vAlign w:val="bottom"/>
          </w:tcPr>
          <w:p>
            <w:pPr>
              <w:spacing w:after="0"/>
              <w:rPr>
                <w:sz w:val="24"/>
                <w:szCs w:val="24"/>
                <w:color w:val="auto"/>
              </w:rPr>
            </w:pPr>
          </w:p>
        </w:tc>
      </w:tr>
      <w:tr>
        <w:trPr>
          <w:trHeight w:val="216"/>
        </w:trPr>
        <w:tc>
          <w:tcPr>
            <w:tcW w:w="6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620" w:type="dxa"/>
            <w:vAlign w:val="bottom"/>
          </w:tcPr>
          <w:p>
            <w:pPr>
              <w:ind w:left="1540"/>
              <w:spacing w:after="0"/>
              <w:rPr>
                <w:sz w:val="20"/>
                <w:szCs w:val="20"/>
                <w:color w:val="auto"/>
              </w:rPr>
            </w:pPr>
            <w:r>
              <w:rPr>
                <w:rFonts w:ascii="Arial" w:cs="Arial" w:eastAsia="Arial" w:hAnsi="Arial"/>
                <w:sz w:val="18"/>
                <w:szCs w:val="18"/>
                <w:color w:val="auto"/>
              </w:rPr>
              <w:t>Exercisable at end of year</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944,037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8,641</w:t>
            </w:r>
          </w:p>
        </w:tc>
        <w:tc>
          <w:tcPr>
            <w:tcW w:w="100" w:type="dxa"/>
            <w:vAlign w:val="bottom"/>
          </w:tcPr>
          <w:p>
            <w:pPr>
              <w:spacing w:after="0"/>
              <w:rPr>
                <w:sz w:val="22"/>
                <w:szCs w:val="22"/>
                <w:color w:val="auto"/>
              </w:rPr>
            </w:pPr>
          </w:p>
        </w:tc>
      </w:tr>
      <w:tr>
        <w:trPr>
          <w:trHeight w:val="21"/>
        </w:trPr>
        <w:tc>
          <w:tcPr>
            <w:tcW w:w="6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-2237740</wp:posOffset>
            </wp:positionV>
            <wp:extent cx="977900" cy="2212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77900" cy="2212340"/>
                    </a:xfrm>
                    <a:prstGeom prst="rect">
                      <a:avLst/>
                    </a:prstGeom>
                    <a:noFill/>
                  </pic:spPr>
                </pic:pic>
              </a:graphicData>
            </a:graphic>
          </wp:anchor>
        </w:drawing>
      </w:r>
    </w:p>
    <w:p>
      <w:pPr>
        <w:spacing w:after="0" w:line="182" w:lineRule="exact"/>
        <w:rPr>
          <w:sz w:val="20"/>
          <w:szCs w:val="20"/>
          <w:color w:val="auto"/>
        </w:rPr>
      </w:pPr>
    </w:p>
    <w:p>
      <w:pPr>
        <w:ind w:left="1540" w:right="280"/>
        <w:spacing w:after="0" w:line="258" w:lineRule="auto"/>
        <w:rPr>
          <w:sz w:val="20"/>
          <w:szCs w:val="20"/>
          <w:color w:val="auto"/>
        </w:rPr>
      </w:pPr>
      <w:r>
        <w:rPr>
          <w:rFonts w:ascii="Arial" w:cs="Arial" w:eastAsia="Arial" w:hAnsi="Arial"/>
          <w:sz w:val="18"/>
          <w:szCs w:val="18"/>
          <w:color w:val="auto"/>
        </w:rPr>
        <w:t>As of June 30, 2018, $7,124 in unrecognized compensation cost related to share options is expected to be recognized over a weighted average vesting period of 2.59 years.</w:t>
      </w:r>
    </w:p>
    <w:p>
      <w:pPr>
        <w:spacing w:after="0" w:line="1" w:lineRule="exact"/>
        <w:rPr>
          <w:sz w:val="20"/>
          <w:szCs w:val="20"/>
          <w:color w:val="auto"/>
        </w:rPr>
      </w:pPr>
    </w:p>
    <w:p>
      <w:pPr>
        <w:ind w:left="1540" w:right="380"/>
        <w:spacing w:after="0" w:line="261" w:lineRule="auto"/>
        <w:rPr>
          <w:sz w:val="20"/>
          <w:szCs w:val="20"/>
          <w:color w:val="auto"/>
        </w:rPr>
      </w:pPr>
      <w:r>
        <w:rPr>
          <w:rFonts w:ascii="Arial" w:cs="Arial" w:eastAsia="Arial" w:hAnsi="Arial"/>
          <w:sz w:val="18"/>
          <w:szCs w:val="18"/>
          <w:color w:val="auto"/>
        </w:rPr>
        <w:t>The weighted average fair value of options granted during the six months ended June 30, 2018 and 2017 was $18.05 and $10.81 per share, respectively.</w:t>
      </w:r>
    </w:p>
    <w:p>
      <w:pPr>
        <w:spacing w:after="0" w:line="184" w:lineRule="exact"/>
        <w:rPr>
          <w:sz w:val="20"/>
          <w:szCs w:val="20"/>
          <w:color w:val="auto"/>
        </w:rPr>
      </w:pPr>
    </w:p>
    <w:p>
      <w:pPr>
        <w:ind w:left="1860" w:hanging="326"/>
        <w:spacing w:after="0" w:line="277" w:lineRule="auto"/>
        <w:tabs>
          <w:tab w:leader="none" w:pos="1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Calculation of aggregate intrinsic value for options outstanding and exercisable as of June 30, 2018 is based on the share price of the Company’s ordinary shares as of June 30, 2018 which was $17.8 per share.</w:t>
      </w:r>
    </w:p>
    <w:p>
      <w:pPr>
        <w:sectPr>
          <w:pgSz w:w="11900" w:h="16838" w:orient="portrait"/>
          <w:cols w:equalWidth="0" w:num="1">
            <w:col w:w="11420"/>
          </w:cols>
          <w:pgMar w:left="240" w:top="337" w:right="239" w:bottom="1440" w:gutter="0" w:footer="0" w:header="0"/>
        </w:sectPr>
      </w:pP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 summary of the Company’s RSUs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4490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Outstanding at December 31, 2017</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Forfeited</w:t>
      </w:r>
    </w:p>
    <w:p>
      <w:pPr>
        <w:spacing w:after="0" w:line="2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Outstanding as of June 30,2018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Six months</w:t>
      </w:r>
    </w:p>
    <w:p>
      <w:pPr>
        <w:spacing w:after="0" w:line="6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2018</w:t>
      </w:r>
    </w:p>
    <w:p>
      <w:pPr>
        <w:spacing w:after="0" w:line="23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88,759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144,801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(825)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(11,608)</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221,127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40640</wp:posOffset>
            </wp:positionV>
            <wp:extent cx="6432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32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720"/>
            <w:col w:w="1040"/>
          </w:cols>
          <w:pgMar w:left="240" w:top="337" w:right="239" w:bottom="1440" w:gutter="0" w:footer="0" w:header="0"/>
          <w:type w:val="continuous"/>
        </w:sectPr>
      </w:pPr>
    </w:p>
    <w:p>
      <w:pPr>
        <w:spacing w:after="0" w:line="93" w:lineRule="exact"/>
        <w:rPr>
          <w:sz w:val="20"/>
          <w:szCs w:val="20"/>
          <w:color w:val="auto"/>
        </w:rPr>
      </w:pPr>
    </w:p>
    <w:p>
      <w:pPr>
        <w:ind w:left="1540" w:right="480"/>
        <w:spacing w:after="0" w:line="277" w:lineRule="auto"/>
        <w:rPr>
          <w:sz w:val="20"/>
          <w:szCs w:val="20"/>
          <w:color w:val="auto"/>
        </w:rPr>
      </w:pPr>
      <w:r>
        <w:rPr>
          <w:rFonts w:ascii="Arial" w:cs="Arial" w:eastAsia="Arial" w:hAnsi="Arial"/>
          <w:sz w:val="18"/>
          <w:szCs w:val="18"/>
          <w:color w:val="auto"/>
        </w:rPr>
        <w:t>The weighted average fair values at grant date of RSUs granted for the six months ended June 30, 2018 and 2017 were $14.04 and $21.15, respectively.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(Cont.)</w:t>
      </w:r>
    </w:p>
    <w:p>
      <w:pPr>
        <w:spacing w:after="0" w:line="229" w:lineRule="exact"/>
        <w:rPr>
          <w:sz w:val="20"/>
          <w:szCs w:val="20"/>
          <w:color w:val="auto"/>
        </w:rPr>
      </w:pPr>
    </w:p>
    <w:p>
      <w:pPr>
        <w:ind w:left="1520" w:right="20" w:hanging="499"/>
        <w:spacing w:after="0" w:line="284"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Company’s Board of Directors approved Equity Incentive Plans pursuant to which the Company is authorized to issue to employees, directors and officers of the Company and its subsidiaries (the “optionees”) options to purchase ordinary shares of NIS 0.01 par value each, at an exercise price equal to at least the fair market value of the ordinary shares at the date of grant. Under the plans, options granted before 2014 generally vest in portions as follows: 50% of total options are exercisable two years after the date determined for each optionee, a further 25% three years after the date determined for each optionee and a 25% four years after the date determined for each optionee. Starting 2014, 25% of total options are exercisable one year after the date determined for each optionee and a further</w:t>
      </w:r>
    </w:p>
    <w:p>
      <w:pPr>
        <w:spacing w:after="0" w:line="4" w:lineRule="exact"/>
        <w:rPr>
          <w:rFonts w:ascii="Arial" w:cs="Arial" w:eastAsia="Arial" w:hAnsi="Arial"/>
          <w:sz w:val="16"/>
          <w:szCs w:val="16"/>
          <w:color w:val="auto"/>
        </w:rPr>
      </w:pPr>
    </w:p>
    <w:p>
      <w:pPr>
        <w:ind w:left="1520" w:right="200"/>
        <w:spacing w:after="0" w:line="273" w:lineRule="auto"/>
        <w:rPr>
          <w:rFonts w:ascii="Arial" w:cs="Arial" w:eastAsia="Arial" w:hAnsi="Arial"/>
          <w:sz w:val="16"/>
          <w:szCs w:val="16"/>
          <w:color w:val="auto"/>
        </w:rPr>
      </w:pPr>
      <w:r>
        <w:rPr>
          <w:rFonts w:ascii="Arial" w:cs="Arial" w:eastAsia="Arial" w:hAnsi="Arial"/>
          <w:sz w:val="17"/>
          <w:szCs w:val="17"/>
          <w:color w:val="auto"/>
        </w:rPr>
        <w:t>6.25% at the end of each subsequent three-month period for 3 years. Under the Equity Incentive Plans and starting 2017, the Company grants Restricted Stock Units (“RSUs”). The RSU’s generally vest over a period of four years of employment. Options and RSU that have vested are exercisable for up to 10 years from the grant date of the options or RSU to each employee. Options and RSUs that are cancelled or forfeited before expiration become available for future grants.</w:t>
      </w:r>
    </w:p>
    <w:p>
      <w:pPr>
        <w:spacing w:after="0" w:line="176" w:lineRule="exact"/>
        <w:rPr>
          <w:rFonts w:ascii="Arial" w:cs="Arial" w:eastAsia="Arial" w:hAnsi="Arial"/>
          <w:sz w:val="16"/>
          <w:szCs w:val="16"/>
          <w:color w:val="auto"/>
        </w:rPr>
      </w:pPr>
    </w:p>
    <w:p>
      <w:pPr>
        <w:ind w:left="1520" w:right="200" w:hanging="499"/>
        <w:spacing w:after="0" w:line="27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table sets forth the total share-based compensation expense included in the consolidated statements of operations for the six months ended June 30, 2018 and 2017:</w:t>
      </w:r>
    </w:p>
    <w:p>
      <w:pPr>
        <w:spacing w:after="0" w:line="166"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77900" cy="16205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77900" cy="1620520"/>
                    </a:xfrm>
                    <a:prstGeom prst="rect">
                      <a:avLst/>
                    </a:prstGeom>
                    <a:noFill/>
                  </pic:spPr>
                </pic:pic>
              </a:graphicData>
            </a:graphic>
          </wp:anchor>
        </w:drawing>
      </w:r>
    </w:p>
    <w:p>
      <w:pPr>
        <w:spacing w:after="0" w:line="7"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r>
      <w:tr>
        <w:trPr>
          <w:trHeight w:val="216"/>
        </w:trPr>
        <w:tc>
          <w:tcPr>
            <w:tcW w:w="67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Cost of products</w:t>
            </w:r>
          </w:p>
        </w:tc>
        <w:tc>
          <w:tcPr>
            <w:tcW w:w="2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6780" w:type="dxa"/>
            <w:vAlign w:val="bottom"/>
          </w:tcPr>
          <w:p>
            <w:pPr>
              <w:ind w:left="1540"/>
              <w:spacing w:after="0"/>
              <w:rPr>
                <w:sz w:val="20"/>
                <w:szCs w:val="20"/>
                <w:color w:val="auto"/>
              </w:rPr>
            </w:pPr>
            <w:r>
              <w:rPr>
                <w:rFonts w:ascii="Arial" w:cs="Arial" w:eastAsia="Arial" w:hAnsi="Arial"/>
                <w:sz w:val="18"/>
                <w:szCs w:val="18"/>
                <w:color w:val="auto"/>
              </w:rPr>
              <w:t>Cost of services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67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Research and development</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6780" w:type="dxa"/>
            <w:vAlign w:val="bottom"/>
          </w:tcPr>
          <w:p>
            <w:pPr>
              <w:ind w:left="1540"/>
              <w:spacing w:after="0"/>
              <w:rPr>
                <w:sz w:val="20"/>
                <w:szCs w:val="20"/>
                <w:color w:val="auto"/>
              </w:rPr>
            </w:pPr>
            <w:r>
              <w:rPr>
                <w:rFonts w:ascii="Arial" w:cs="Arial" w:eastAsia="Arial" w:hAnsi="Arial"/>
                <w:sz w:val="18"/>
                <w:szCs w:val="18"/>
                <w:color w:val="auto"/>
              </w:rPr>
              <w:t>Selling and marketing</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37"/>
        </w:trPr>
        <w:tc>
          <w:tcPr>
            <w:tcW w:w="67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General and administrative</w:t>
            </w:r>
          </w:p>
        </w:tc>
        <w:tc>
          <w:tcPr>
            <w:tcW w:w="2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r>
      <w:tr>
        <w:trPr>
          <w:trHeight w:val="216"/>
        </w:trPr>
        <w:tc>
          <w:tcPr>
            <w:tcW w:w="67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7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Total share-based compensation expense</w:t>
            </w:r>
          </w:p>
        </w:tc>
        <w:tc>
          <w:tcPr>
            <w:tcW w:w="2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r>
      <w:tr>
        <w:trPr>
          <w:trHeight w:val="21"/>
        </w:trPr>
        <w:tc>
          <w:tcPr>
            <w:tcW w:w="67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540" w:right="20"/>
        <w:spacing w:after="0" w:line="276" w:lineRule="auto"/>
        <w:rPr>
          <w:sz w:val="20"/>
          <w:szCs w:val="20"/>
          <w:color w:val="auto"/>
        </w:rPr>
      </w:pPr>
      <w:r>
        <w:rPr>
          <w:rFonts w:ascii="Arial" w:cs="Arial" w:eastAsia="Arial" w:hAnsi="Arial"/>
          <w:sz w:val="17"/>
          <w:szCs w:val="17"/>
          <w:color w:val="auto"/>
        </w:rPr>
        <w:t>On January 10, 2017, the Company signed a master purchase agreement with Amazon Inc. under which 2,932,176 warrants to purchase ordinary shares of the Company with an exercise price of $13.03 were issued to Amazon as a customer incentive. The warrants are subject to vesting as a function of payments for purchased products and services of up to $150 million over a five years period beginning on May 1, 2016, with the shares vesting incrementally each time Amazon makes a payment totaling $5 million to the Company. As of June 30, 2018, the Company granted a total amount of 598,647 warrants.</w:t>
      </w:r>
    </w:p>
    <w:p>
      <w:pPr>
        <w:spacing w:after="0" w:line="173" w:lineRule="exact"/>
        <w:rPr>
          <w:sz w:val="20"/>
          <w:szCs w:val="20"/>
          <w:color w:val="auto"/>
        </w:rPr>
      </w:pPr>
    </w:p>
    <w:p>
      <w:pPr>
        <w:ind w:left="1540" w:right="60"/>
        <w:spacing w:after="0" w:line="259" w:lineRule="auto"/>
        <w:rPr>
          <w:sz w:val="20"/>
          <w:szCs w:val="20"/>
          <w:color w:val="auto"/>
        </w:rPr>
      </w:pPr>
      <w:r>
        <w:rPr>
          <w:rFonts w:ascii="Arial" w:cs="Arial" w:eastAsia="Arial" w:hAnsi="Arial"/>
          <w:sz w:val="18"/>
          <w:szCs w:val="18"/>
          <w:color w:val="auto"/>
        </w:rPr>
        <w:t>The Company utilizes a Monte Carlo simulation approach to estimate the fair value of the warrants, which requires inputs such as common ordinary share price, the warrant strike price, estimated ordinary share price volatility and risk-free interest rate, among others. The Company recognized a reduction to revenues of $1.5 million and $2.4 million during the six months ended June 30, 2018 and 2017,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the changes in accumulated balances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Unrealized</w:t>
            </w:r>
          </w:p>
        </w:tc>
        <w:tc>
          <w:tcPr>
            <w:tcW w:w="8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Foreign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loss on</w:t>
            </w:r>
          </w:p>
        </w:tc>
        <w:tc>
          <w:tcPr>
            <w:tcW w:w="8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gain (loss) 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currency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marketable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cash flow</w:t>
            </w:r>
          </w:p>
        </w:tc>
        <w:tc>
          <w:tcPr>
            <w:tcW w:w="8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hedges</w:t>
            </w:r>
          </w:p>
        </w:tc>
        <w:tc>
          <w:tcPr>
            <w:tcW w:w="80" w:type="dxa"/>
            <w:vAlign w:val="bottom"/>
          </w:tcPr>
          <w:p>
            <w:pPr>
              <w:spacing w:after="0"/>
              <w:rPr>
                <w:sz w:val="20"/>
                <w:szCs w:val="20"/>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adjustment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Unaudited</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020"/>
              <w:spacing w:after="0"/>
              <w:rPr>
                <w:sz w:val="20"/>
                <w:szCs w:val="20"/>
                <w:color w:val="auto"/>
              </w:rPr>
            </w:pPr>
            <w:r>
              <w:rPr>
                <w:rFonts w:ascii="Arial" w:cs="Arial" w:eastAsia="Arial" w:hAnsi="Arial"/>
                <w:sz w:val="18"/>
                <w:szCs w:val="18"/>
                <w:color w:val="auto"/>
              </w:rPr>
              <w:t>Six months ended June 30, 2018: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Beginning balance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vMerge w:val="restart"/>
          </w:tcPr>
          <w:p>
            <w:pPr>
              <w:ind w:left="1020"/>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(113)</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(121)</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(240)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1"/>
              </w:rPr>
              <w:t>Amounts reclassified from accumulated other comprehensive income (loss)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bottom w:val="single" w:sz="8" w:color="CCEEFF"/>
            </w:tcBorders>
          </w:tcPr>
          <w:p>
            <w:pPr>
              <w:ind w:left="1020"/>
              <w:spacing w:after="0" w:line="203" w:lineRule="exact"/>
              <w:rPr>
                <w:sz w:val="20"/>
                <w:szCs w:val="20"/>
                <w:color w:val="auto"/>
              </w:rPr>
            </w:pPr>
            <w:r>
              <w:rPr>
                <w:rFonts w:ascii="Arial" w:cs="Arial" w:eastAsia="Arial" w:hAnsi="Arial"/>
                <w:sz w:val="18"/>
                <w:szCs w:val="18"/>
                <w:color w:val="auto"/>
              </w:rPr>
              <w:t>Net current period other comprehensive loss</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Ending Balance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6540" w:type="dxa"/>
            <w:vAlign w:val="bottom"/>
            <w:tcBorders>
              <w:top w:val="single" w:sz="8" w:color="CCEEFF"/>
              <w:bottom w:val="single" w:sz="8" w:color="CCEEFF"/>
            </w:tcBorders>
            <w:vMerge w:val="restart"/>
          </w:tcPr>
          <w:p>
            <w:pPr>
              <w:ind w:left="5640"/>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65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-2211705</wp:posOffset>
            </wp:positionV>
            <wp:extent cx="643255" cy="1783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3255" cy="178371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Period to Period Results of Operations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60" w:type="dxa"/>
            <w:vAlign w:val="bottom"/>
            <w:vMerge w:val="continue"/>
          </w:tcPr>
          <w:p>
            <w:pPr>
              <w:spacing w:after="0"/>
              <w:rPr>
                <w:sz w:val="17"/>
                <w:szCs w:val="17"/>
                <w:color w:val="auto"/>
              </w:rPr>
            </w:pPr>
          </w:p>
        </w:tc>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50,406</w:t>
            </w: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5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66,996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55,691</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Cost of revenues</w:t>
            </w:r>
          </w:p>
        </w:tc>
        <w:tc>
          <w:tcPr>
            <w:tcW w:w="3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24,075</w:t>
            </w: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5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34,179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30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32,817</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25,060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9,342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10,829</w:t>
            </w:r>
          </w:p>
        </w:tc>
        <w:tc>
          <w:tcPr>
            <w:tcW w:w="0" w:type="dxa"/>
            <w:vAlign w:val="bottom"/>
          </w:tcPr>
          <w:p>
            <w:pPr>
              <w:spacing w:after="0"/>
              <w:rPr>
                <w:sz w:val="1"/>
                <w:szCs w:val="1"/>
                <w:color w:val="auto"/>
              </w:rPr>
            </w:pPr>
          </w:p>
        </w:tc>
      </w:tr>
      <w:tr>
        <w:trPr>
          <w:trHeight w:val="216"/>
        </w:trPr>
        <w:tc>
          <w:tcPr>
            <w:tcW w:w="57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50"/>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expenses</w:t>
            </w:r>
          </w:p>
        </w:tc>
        <w:tc>
          <w:tcPr>
            <w:tcW w:w="3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31,110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26,402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r>
              <w:rPr>
                <w:rFonts w:ascii="Arial" w:cs="Arial" w:eastAsia="Arial" w:hAnsi="Arial"/>
                <w:sz w:val="18"/>
                <w:szCs w:val="18"/>
                <w:color w:val="auto"/>
              </w:rPr>
              <w:t>Financial income, net</w:t>
            </w: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taxes on income</w:t>
            </w:r>
          </w:p>
        </w:tc>
        <w:tc>
          <w:tcPr>
            <w:tcW w:w="3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Taxes on income</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5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760" w:type="dxa"/>
            <w:vAlign w:val="bottom"/>
            <w:vMerge w:val="continue"/>
            <w:shd w:val="clear" w:color="auto" w:fill="CCEEFF"/>
          </w:tcPr>
          <w:p>
            <w:pPr>
              <w:spacing w:after="0"/>
              <w:rPr>
                <w:sz w:val="21"/>
                <w:szCs w:val="21"/>
                <w:color w:val="auto"/>
              </w:rPr>
            </w:pP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7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57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jc w:val="center"/>
        <w:ind w:left="84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6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4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02"/>
        </w:trPr>
        <w:tc>
          <w:tcPr>
            <w:tcW w:w="8660" w:type="dxa"/>
            <w:vAlign w:val="bottom"/>
          </w:tcPr>
          <w:p>
            <w:pPr>
              <w:spacing w:after="0"/>
              <w:rPr>
                <w:sz w:val="17"/>
                <w:szCs w:val="17"/>
                <w:color w:val="auto"/>
              </w:rPr>
            </w:pPr>
          </w:p>
        </w:tc>
        <w:tc>
          <w:tcPr>
            <w:tcW w:w="2200" w:type="dxa"/>
            <w:vAlign w:val="bottom"/>
            <w:gridSpan w:val="4"/>
          </w:tcPr>
          <w:p>
            <w:pPr>
              <w:jc w:val="right"/>
              <w:ind w:right="140"/>
              <w:spacing w:after="0" w:line="201" w:lineRule="exact"/>
              <w:rPr>
                <w:sz w:val="20"/>
                <w:szCs w:val="20"/>
                <w:color w:val="auto"/>
              </w:rPr>
            </w:pPr>
            <w:r>
              <w:rPr>
                <w:rFonts w:ascii="Arial" w:cs="Arial" w:eastAsia="Arial" w:hAnsi="Arial"/>
                <w:sz w:val="18"/>
                <w:szCs w:val="18"/>
                <w:b w:val="1"/>
                <w:bCs w:val="1"/>
                <w:color w:val="auto"/>
              </w:rPr>
              <w:t>(as a % of revenues)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9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3"/>
              </w:rPr>
              <w:t>87.8%</w:t>
            </w: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90.5%</w:t>
            </w:r>
          </w:p>
        </w:tc>
      </w:tr>
      <w:tr>
        <w:trPr>
          <w:trHeight w:val="216"/>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w w:val="96"/>
              </w:rPr>
              <w:t>12.2</w:t>
            </w:r>
          </w:p>
        </w:tc>
        <w:tc>
          <w:tcPr>
            <w:tcW w:w="800" w:type="dxa"/>
            <w:vAlign w:val="bottom"/>
          </w:tcPr>
          <w:p>
            <w:pPr>
              <w:spacing w:after="0"/>
              <w:rPr>
                <w:sz w:val="18"/>
                <w:szCs w:val="18"/>
                <w:color w:val="auto"/>
              </w:rPr>
            </w:pP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9.5</w:t>
            </w:r>
          </w:p>
        </w:tc>
      </w:tr>
      <w:tr>
        <w:trPr>
          <w:trHeight w:val="250"/>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r>
      <w:tr>
        <w:trPr>
          <w:trHeight w:val="203"/>
        </w:trPr>
        <w:tc>
          <w:tcPr>
            <w:tcW w:w="86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Cost of revenues</w:t>
            </w: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9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6"/>
              </w:rPr>
              <w:t>37.6</w:t>
            </w: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1"/>
              </w:rPr>
              <w:t>43.2</w:t>
            </w:r>
          </w:p>
        </w:tc>
      </w:tr>
      <w:tr>
        <w:trPr>
          <w:trHeight w:val="216"/>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w w:val="96"/>
              </w:rPr>
              <w:t>13.4</w:t>
            </w:r>
          </w:p>
        </w:tc>
        <w:tc>
          <w:tcPr>
            <w:tcW w:w="800" w:type="dxa"/>
            <w:vAlign w:val="bottom"/>
          </w:tcPr>
          <w:p>
            <w:pPr>
              <w:spacing w:after="0"/>
              <w:rPr>
                <w:sz w:val="18"/>
                <w:szCs w:val="18"/>
                <w:color w:val="auto"/>
              </w:rPr>
            </w:pP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11.8</w:t>
            </w:r>
          </w:p>
        </w:tc>
      </w:tr>
      <w:tr>
        <w:trPr>
          <w:trHeight w:val="250"/>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6"/>
              </w:rPr>
              <w:t>51.0</w:t>
            </w:r>
          </w:p>
        </w:tc>
        <w:tc>
          <w:tcPr>
            <w:tcW w:w="8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1"/>
              </w:rPr>
              <w:t>55.0</w:t>
            </w:r>
          </w:p>
        </w:tc>
      </w:tr>
      <w:tr>
        <w:trPr>
          <w:trHeight w:val="210"/>
        </w:trPr>
        <w:tc>
          <w:tcPr>
            <w:tcW w:w="86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7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6"/>
              </w:rPr>
              <w:t>49.0</w:t>
            </w:r>
          </w:p>
        </w:tc>
        <w:tc>
          <w:tcPr>
            <w:tcW w:w="26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45.0</w:t>
            </w:r>
          </w:p>
        </w:tc>
        <w:tc>
          <w:tcPr>
            <w:tcW w:w="220" w:type="dxa"/>
            <w:vAlign w:val="bottom"/>
            <w:tcBorders>
              <w:top w:val="single" w:sz="8" w:color="CCEEFF"/>
              <w:bottom w:val="single" w:sz="8" w:color="CCEEFF"/>
            </w:tcBorders>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w w:val="96"/>
              </w:rPr>
              <w:t>15.8</w:t>
            </w:r>
          </w:p>
        </w:tc>
        <w:tc>
          <w:tcPr>
            <w:tcW w:w="800" w:type="dxa"/>
            <w:vAlign w:val="bottom"/>
          </w:tcPr>
          <w:p>
            <w:pPr>
              <w:spacing w:after="0"/>
              <w:rPr>
                <w:sz w:val="18"/>
                <w:szCs w:val="18"/>
                <w:color w:val="auto"/>
              </w:rPr>
            </w:pP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16.8</w:t>
            </w:r>
          </w:p>
        </w:tc>
      </w:tr>
      <w:tr>
        <w:trPr>
          <w:trHeight w:val="216"/>
        </w:trPr>
        <w:tc>
          <w:tcPr>
            <w:tcW w:w="9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6"/>
              </w:rPr>
              <w:t>18.2</w:t>
            </w: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1"/>
              </w:rPr>
              <w:t>19.4</w:t>
            </w:r>
          </w:p>
        </w:tc>
      </w:tr>
      <w:tr>
        <w:trPr>
          <w:trHeight w:val="216"/>
        </w:trPr>
        <w:tc>
          <w:tcPr>
            <w:tcW w:w="944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w w:val="96"/>
              </w:rPr>
              <w:t>12.0</w:t>
            </w:r>
          </w:p>
        </w:tc>
        <w:tc>
          <w:tcPr>
            <w:tcW w:w="800" w:type="dxa"/>
            <w:vAlign w:val="bottom"/>
          </w:tcPr>
          <w:p>
            <w:pPr>
              <w:spacing w:after="0"/>
              <w:rPr>
                <w:sz w:val="18"/>
                <w:szCs w:val="18"/>
                <w:color w:val="auto"/>
              </w:rPr>
            </w:pP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11.0</w:t>
            </w:r>
          </w:p>
        </w:tc>
      </w:tr>
      <w:tr>
        <w:trPr>
          <w:trHeight w:val="250"/>
        </w:trPr>
        <w:tc>
          <w:tcPr>
            <w:tcW w:w="9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expenses</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8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10"/>
        </w:trPr>
        <w:tc>
          <w:tcPr>
            <w:tcW w:w="86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7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6"/>
              </w:rPr>
              <w:t>46.4</w:t>
            </w:r>
          </w:p>
        </w:tc>
        <w:tc>
          <w:tcPr>
            <w:tcW w:w="26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47.4</w:t>
            </w:r>
          </w:p>
        </w:tc>
        <w:tc>
          <w:tcPr>
            <w:tcW w:w="220" w:type="dxa"/>
            <w:vAlign w:val="bottom"/>
            <w:tcBorders>
              <w:top w:val="single" w:sz="8" w:color="CCEEFF"/>
              <w:bottom w:val="single" w:sz="8" w:color="CCEEFF"/>
            </w:tcBorders>
          </w:tcPr>
          <w:p>
            <w:pPr>
              <w:spacing w:after="0"/>
              <w:rPr>
                <w:sz w:val="18"/>
                <w:szCs w:val="18"/>
                <w:color w:val="auto"/>
              </w:rPr>
            </w:pPr>
          </w:p>
        </w:tc>
      </w:tr>
      <w:tr>
        <w:trPr>
          <w:trHeight w:val="236"/>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0"/>
        </w:trPr>
        <w:tc>
          <w:tcPr>
            <w:tcW w:w="86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Financial income, net</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 on income</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w:t>
            </w:r>
          </w:p>
        </w:tc>
        <w:tc>
          <w:tcPr>
            <w:tcW w:w="220" w:type="dxa"/>
            <w:vAlign w:val="bottom"/>
            <w:shd w:val="clear" w:color="auto" w:fill="CCEEFF"/>
          </w:tcPr>
          <w:p>
            <w:pPr>
              <w:spacing w:after="0"/>
              <w:rPr>
                <w:sz w:val="18"/>
                <w:szCs w:val="18"/>
                <w:color w:val="auto"/>
              </w:rPr>
            </w:pPr>
          </w:p>
        </w:tc>
      </w:tr>
      <w:tr>
        <w:trPr>
          <w:trHeight w:val="237"/>
        </w:trPr>
        <w:tc>
          <w:tcPr>
            <w:tcW w:w="944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0.3</w:t>
            </w:r>
          </w:p>
        </w:tc>
        <w:tc>
          <w:tcPr>
            <w:tcW w:w="800" w:type="dxa"/>
            <w:vAlign w:val="bottom"/>
          </w:tcPr>
          <w:p>
            <w:pPr>
              <w:spacing w:after="0"/>
              <w:rPr>
                <w:sz w:val="20"/>
                <w:szCs w:val="20"/>
                <w:color w:val="auto"/>
              </w:rPr>
            </w:pP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r>
      <w:tr>
        <w:trPr>
          <w:trHeight w:val="223"/>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Breakdown of Revenues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66"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86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40" w:type="dxa"/>
            <w:vAlign w:val="bottom"/>
            <w:gridSpan w:val="8"/>
          </w:tcPr>
          <w:p>
            <w:pPr>
              <w:jc w:val="right"/>
              <w:ind w:right="380"/>
              <w:spacing w:after="0"/>
              <w:rPr>
                <w:sz w:val="20"/>
                <w:szCs w:val="20"/>
                <w:color w:val="auto"/>
              </w:rPr>
            </w:pPr>
            <w:r>
              <w:rPr>
                <w:rFonts w:ascii="Arial" w:cs="Arial" w:eastAsia="Arial" w:hAnsi="Arial"/>
                <w:sz w:val="18"/>
                <w:szCs w:val="18"/>
                <w:b w:val="1"/>
                <w:bCs w:val="1"/>
                <w:color w:val="auto"/>
                <w:w w:val="89"/>
              </w:rPr>
              <w:t>($ in thousands, except percentages)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36,137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28,422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EMEA</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22,165</w:t>
            </w:r>
          </w:p>
        </w:tc>
        <w:tc>
          <w:tcPr>
            <w:tcW w:w="28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33.1</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15,763</w:t>
            </w:r>
          </w:p>
        </w:tc>
        <w:tc>
          <w:tcPr>
            <w:tcW w:w="28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6,938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w:t>
            </w: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2,946</w:t>
            </w:r>
          </w:p>
        </w:tc>
        <w:tc>
          <w:tcPr>
            <w:tcW w:w="280" w:type="dxa"/>
            <w:vAlign w:val="bottom"/>
          </w:tcPr>
          <w:p>
            <w:pPr>
              <w:spacing w:after="0"/>
              <w:rPr>
                <w:sz w:val="19"/>
                <w:szCs w:val="19"/>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vMerge w:val="continue"/>
            <w:shd w:val="clear" w:color="auto" w:fill="CCEEFF"/>
          </w:tcPr>
          <w:p>
            <w:pPr>
              <w:spacing w:after="0"/>
              <w:rPr>
                <w:sz w:val="21"/>
                <w:szCs w:val="21"/>
                <w:color w:val="auto"/>
              </w:rPr>
            </w:pPr>
          </w:p>
        </w:tc>
        <w:tc>
          <w:tcPr>
            <w:tcW w:w="2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66,996</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55,691</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Revenues increased by $11.3 million, or 20.3%, to $67 million in the six months ended June 30, 2018, which is net of $1.5 million fair value of the warrants associated with revenues recognized from Amazon, from $55.7 million in the six months ended June 30, 2017, which is net of $2.3 million fair value of the warrants associated with revenues recognized from Amazon. The growth in revenues resulted from a 18.8% increase in ink and other consumables revenues to $25.7 million in the six months ended June 30, 2018 from $21.6 million in the six months ended June 30, 2017, a 54.1% increase in service revenues to $8.1 million in the six months ended June 30, 2018 from $5.3 million in the six months ended June 30, 2017 and a 15.2% increase in systems revenues to $33.2 million in the six months ended June 30, 2018 from $28.8 million in the six months ended June 30, 2017. The $4.1 million increase in ink and other consumables revenues primarily due to an increase of installed base. The $4.4 million increase in systems revenues was attributable to the successful introduction of the Avalanche HD6 System. The increase in our services revenues was due primarily to an increase in sales of spare parts and service contracts to our installed base as well as an increase in system upgrades.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Cost of revenues increased by $3.5 million, or 11.6%, to $34.2 million in the six months ended June 30, 2018 from $30.6 million in the six months ended June 30, 2017. Gross profit increased by $7.8 million, or 31%, to $32.8 million in the six months ended June 30, 2018, as compared to $25.1 million in the six months ended June 30, 2017. Gross margin was 49.0% in the six months ended June 30, 2018 compared to 45.0% in the six months ended June 30, 2017. Gross margin increased as a result of the shift in mix of revenues in favor of high throughput systems. The increase was also related to an increase in services gross margin which resulted from an increase in sales of system upgrades and service contracts to our wider install base. Gross margin also increased by approximately 1% due to the decrease of the warrants impact associated with revenues recognized from Amazon.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90"/>
              </w:rPr>
              <w:t>Six Months Ended</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1"/>
              </w:rPr>
              <w:t>June 30,</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24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w w:val="99"/>
              </w:rPr>
              <w:t>Amount</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2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w w:val="91"/>
              </w:rPr>
              <w:t>Revenues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center"/>
              <w:ind w:right="410"/>
              <w:spacing w:after="0"/>
              <w:rPr>
                <w:sz w:val="20"/>
                <w:szCs w:val="20"/>
                <w:color w:val="auto"/>
              </w:rPr>
            </w:pPr>
            <w:r>
              <w:rPr>
                <w:rFonts w:ascii="Arial" w:cs="Arial" w:eastAsia="Arial" w:hAnsi="Arial"/>
                <w:sz w:val="18"/>
                <w:szCs w:val="18"/>
                <w:b w:val="1"/>
                <w:bCs w:val="1"/>
                <w:color w:val="auto"/>
                <w:w w:val="89"/>
              </w:rPr>
              <w:t>($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10,589</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12,201</w:t>
            </w:r>
          </w:p>
        </w:tc>
        <w:tc>
          <w:tcPr>
            <w:tcW w:w="140" w:type="dxa"/>
            <w:vAlign w:val="bottom"/>
          </w:tcPr>
          <w:p>
            <w:pPr>
              <w:spacing w:after="0"/>
              <w:rPr>
                <w:sz w:val="18"/>
                <w:szCs w:val="18"/>
                <w:color w:val="auto"/>
              </w:rPr>
            </w:pP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10,829</w:t>
            </w:r>
          </w:p>
        </w:tc>
        <w:tc>
          <w:tcPr>
            <w:tcW w:w="14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1,372</w:t>
            </w:r>
          </w:p>
        </w:tc>
        <w:tc>
          <w:tcPr>
            <w:tcW w:w="34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8,054</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19"/>
                <w:szCs w:val="19"/>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7"/>
        </w:trPr>
        <w:tc>
          <w:tcPr>
            <w:tcW w:w="2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2620" w:type="dxa"/>
            <w:vAlign w:val="bottom"/>
            <w:vMerge w:val="continue"/>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46.4</w:t>
            </w:r>
          </w:p>
        </w:tc>
        <w:tc>
          <w:tcPr>
            <w:tcW w:w="280" w:type="dxa"/>
            <w:vAlign w:val="bottom"/>
            <w:tcBorders>
              <w:right w:val="single" w:sz="8" w:color="CCEEFF"/>
            </w:tcBorders>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26,402</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4,708</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13.3% in the six months ended June 30, 2018 compared to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2017. The increase was due primarily to an increase of $0.9 million in salaries and related personnel expenses and share based compensation due to the hiring of additional personnel in the six months ended June 30, 2018, an increase of $0.3 million in costs due to increased research and development activity. As a percentage of total revenues, our research and development expenses decreased during this period, from 16.8% in the six months ended June 30, 2017 to 15.8% in the six months ended June 30, 2018.</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12.7% in the six months ended June 30, 2018 compared to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2017. This increase was due primarily to an increase of $1.2 million in salaries and related personnel expenses and share based compensation expenses. As a percentage of total revenues, our sales and marketing expenses decreased during this period, from 19.4% in the six months ended June 30, 2017 to 18.2% in the six months ended June 30, 2018.</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31.2% in the six months ended June 30, 2018 compared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This resulted primarily from an increase of $1.8 million in salaries and related personnel expenses and share based compensation, mainly due to the hiring of additional personnel and the transition in our CEO position and increase in travel expenses related to change of U.S offices. As a percentage of total revenues, our general and administrative expenses increased during this period, from 11% in the six months ended June 30, 2017 to 12% in the six months ended June 30, 2018.</w:t>
      </w:r>
    </w:p>
    <w:p>
      <w:pPr>
        <w:spacing w:after="0" w:line="188"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i w:val="1"/>
          <w:iCs w:val="1"/>
          <w:color w:val="auto"/>
        </w:rPr>
        <w:t xml:space="preserve">Restructuring Expenses. </w:t>
      </w:r>
      <w:r>
        <w:rPr>
          <w:rFonts w:ascii="Arial" w:cs="Arial" w:eastAsia="Arial" w:hAnsi="Arial"/>
          <w:sz w:val="18"/>
          <w:szCs w:val="18"/>
          <w:color w:val="auto"/>
        </w:rPr>
        <w:t>During 2017, we determined to move our US headquarters from Milwaukee to New Jersey. As part of this transition, we</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agreements with certain employees for early retirement or retention. We recorded an expense of $0.3 million in the six months ended June 30, 2018 related to those employee agreements.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Financial income, net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Financial income, net, increased to $0.8 million in the six months ended June 30, 2018 from $0.1 million in the six months ended June 30, 2017. This increase was due primarily to a decreased expenses of $0.3 million reflecting the effect of exchange rates on our non-dollar denominated financial assets and an increase of $0.4 million from interest income on bank deposits and marketable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Taxes on income decreased to $0.2 million in the six months ended June 30, 2018 from $0.3 million in the six months ended June 30,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June 30, 2018, we had approximately $17.2 million in cash and cash equivalents, $7.5 million of short-term bank deposits and $78 million in marketable securities, totaling $102.7 million.</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As of June 30, 2018, the Company had two lines of credit with Israeli banks for total borrowings of up to $3 million, all of which was undrawn as of June 30, 2018. These lines of credit are unsecured and available subject to the Company’s maintenance of a 30% ratio of total tangible shareholders’ equity to total tangible assets and that the total credit use will be less than 70% of the Company’s and its subsidiaries’ receivables. Interest rates across these credit lines varied from 0.2% to Prime (Israel Interbank Offered Rate) +0.7% (currant 2.3%) as of June 30, 2018.</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cash on hand. Our future capital requirements will depend on many factors, including our rate of revenue growth, the timing and extent of spending to support product development efforts, the expansion of our sales and marketing activities, and the timing of introductions of new solutions and the continuing market acceptance of our solutions as well as other business development efforts.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ind w:left="660"/>
              <w:spacing w:after="0"/>
              <w:rPr>
                <w:sz w:val="20"/>
                <w:szCs w:val="20"/>
                <w:color w:val="auto"/>
              </w:rPr>
            </w:pPr>
            <w:r>
              <w:rPr>
                <w:rFonts w:ascii="Arial" w:cs="Arial" w:eastAsia="Arial" w:hAnsi="Arial"/>
                <w:sz w:val="18"/>
                <w:szCs w:val="18"/>
                <w:color w:val="auto"/>
                <w:w w:val="98"/>
              </w:rPr>
              <w:t>The following table presents the major components of net cash flows for the periods presented:</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8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8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6,684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(3,178)</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(8,224)</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(29,027)</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six months ended June 30, 2018 was $6.7 million.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Net cash provided by operating activities consisted of an increase of approximately $10.1 million in trade receivables. Our days sales’ outstanding, or DSO, for the six months ended June 30, 2018 was 90 compared to 95 for the six months ended June 30, 2017 due primarily to an increase in sales to direct customers.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same period, we experienced a decrease of $9.0 million in inventory. This was due primarily to increasing demand of our products. Our trade payables decreased by $2.2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Six Months Ended June 30,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operating activities in the six months ended June 30, 2017 was $3.2 million.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Net cash used in operating activities consisted of a decrease of approximately $2.9 million in trade receivables. Our days sales’ outstanding, or DSO, for the six months ended June 30, 2017 was 95 compared to 104 for the six months ended June 30, 2016 primarily due to an increase in the sales to direct customers.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same period, we experienced an increase of $8.6 million in inventory. This was primarily due to an increase of systems in order to meet anticipated customer demand for our solutions. Our trade payables decreased by $2.1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2018</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Net cash used in investing activities was $8.2 million for the six months ended June 30, 2018, which was primarily attributable to our purchase of marketable securities of $6.1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2017</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Net cash used in investing activities was $29.0 million for the six months ended June 30, 2017, which was primarily attributable to our purchase of marketable securities of $70.6 million and our investment of $3.4 million in property and equipment, offset by proceeds from the sale and maturity of marketable securities of $45.1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2018</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Net cash provided by financing activities was $0.2 million for the six months ended June 30, 2018, which was primarily attributable to option exercises by employees that were offset by the payment for the contingent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2017</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Net cash provided by financing activities was $35.0 million for the six months ended June 30, 2017, which was primarily attributable to a follow-on offering completed on January 31, 2017.</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Certain information herein may be deemed to be “forward-looking statements” within the meaning of the Private Securities Litigation Reform Act of 1995, Section 27A of the Securities Act of 1933, and Section 21E of the Securities Exchange Act of 1934. Forward-looking statements are those that predict or describe future events or trends and that do not relate solely to historical matters. You can generally identify forward-looking statements as statements containing the words “may,” “will,” “could,” “should,” “expect,” “anticipate,” “intend,” “estimate,” “believe,” “project,” “plan,” “assume” or other similar expressions, or negatives of those expressions, although not all forward-looking statements contain these identifying words</w:t>
      </w:r>
      <w:r>
        <w:rPr>
          <w:rFonts w:ascii="Arial" w:cs="Arial" w:eastAsia="Arial" w:hAnsi="Arial"/>
          <w:sz w:val="17"/>
          <w:szCs w:val="17"/>
          <w:i w:val="1"/>
          <w:iCs w:val="1"/>
          <w:color w:val="auto"/>
        </w:rPr>
        <w:t>.</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These forward-looking statements may include, but are not limited to, statements regarding our future strategy, future operations, projected financial position, proposed products, estimated future revenues, projected costs, future prospects, the future of our industry and results that might be obtained by pursuing management’s current plans and objectives</w:t>
      </w:r>
      <w:r>
        <w:rPr>
          <w:rFonts w:ascii="Arial" w:cs="Arial" w:eastAsia="Arial" w:hAnsi="Arial"/>
          <w:sz w:val="18"/>
          <w:szCs w:val="18"/>
          <w:i w:val="1"/>
          <w:iCs w:val="1"/>
          <w:color w:val="auto"/>
        </w:rPr>
        <w:t>.</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the expansion of our servable addressable market;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our future gross margins and operating expenses;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our growth and overall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the impacts of variability on our future revenues;</w:t>
      </w:r>
    </w:p>
    <w:p>
      <w:pPr>
        <w:spacing w:after="0" w:line="9"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plans to continue our expansion into new product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plans to continue to invest in research and development to introduce new systems and improved solutions;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the success of our new products and systems;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our anticipated cash requirements for the next 12 months;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plans to expand our international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plans to file and procure additional patents relating to our intellectual property rights and the adequate protection of these rights;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plans to pursue strategic acquisitions or invest in complementary companies, products or technologies;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our Annual Report on Form 20-F for the year ended December 31, 2017, which is on file with the Securities and Exchange Commission (“SEC”), and the other risk factors discussed from time to time by our company in reports filed or furnished to the SEC.</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9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lvl w:ilvl="1">
      <w:lvlJc w:val="left"/>
      <w:lvlText w:val="%2."/>
      <w:numFmt w:val="lowerLetter"/>
      <w:start w:val="1"/>
    </w:lvl>
  </w:abstractNum>
  <w:abstractNum w:abstractNumId="1">
    <w:nsid w:val="41B71EFB"/>
    <w:multiLevelType w:val="hybridMultilevel"/>
    <w:lvl w:ilvl="0">
      <w:lvlJc w:val="left"/>
      <w:lvlText w:val="%1."/>
      <w:numFmt w:val="lowerLetter"/>
      <w:start w:val="3"/>
    </w:lvl>
    <w:lvl w:ilvl="1">
      <w:lvlJc w:val="left"/>
      <w:lvlText w:val="%2"/>
      <w:numFmt w:val="lowerLetter"/>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2"/>
    </w:lvl>
    <w:lvl w:ilvl="1">
      <w:lvlJc w:val="left"/>
      <w:lvlText w:val="%2."/>
      <w:numFmt w:val="decimal"/>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lowerLetter"/>
      <w:start w:val="4"/>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2019-12-08T12:00:55Z</dcterms:created>
  <dcterms:modified xsi:type="dcterms:W3CDTF">2019-12-08T12:00:55Z</dcterms:modified>
</cp:coreProperties>
</file>