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For the month of May 2018</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On May 8, 2018, Kornit Digital Ltd. issued a press release entitled “Kornit Digital Reports 2018 First Quarter Results.” A copy of this press release is furnished as Exhibit 99.1 hereto.</w:t>
      </w:r>
    </w:p>
    <w:p>
      <w:pPr>
        <w:spacing w:after="0" w:line="170"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18"/>
          <w:szCs w:val="18"/>
          <w:color w:val="auto"/>
        </w:rPr>
        <w:t>The U.S. GAAP financial information contained in the (i) consolidated statements of operations, (ii) consolidated balance sheets and (iii) consolidated statements of cash flows included in the press release attached as Exhibit 99.1 to this Report on Form 6-K is hereby incorporated by reference into the Registrant’s Registration Statements on Form F-3 (File No. 333-215404) and Form S-8 (File No. 333-203970, 333-214015, 333-217039 and 333-223794).</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May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2"/>
          </w:tcPr>
          <w:p>
            <w:pPr>
              <w:jc w:val="center"/>
              <w:ind w:right="1260"/>
              <w:spacing w:after="0"/>
              <w:rPr>
                <w:sz w:val="20"/>
                <w:szCs w:val="20"/>
                <w:color w:val="auto"/>
              </w:rPr>
            </w:pPr>
            <w:r>
              <w:rPr>
                <w:rFonts w:ascii="Arial" w:cs="Arial" w:eastAsia="Arial" w:hAnsi="Arial"/>
                <w:sz w:val="18"/>
                <w:szCs w:val="18"/>
                <w:b w:val="1"/>
                <w:bCs w:val="1"/>
                <w:color w:val="auto"/>
                <w:w w:val="94"/>
              </w:rPr>
              <w:t>Exhibit Index</w:t>
            </w:r>
          </w:p>
        </w:tc>
      </w:tr>
      <w:tr>
        <w:trPr>
          <w:trHeight w:val="453"/>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100" w:type="dxa"/>
            <w:vAlign w:val="bottom"/>
            <w:tcBorders>
              <w:bottom w:val="single" w:sz="8" w:color="CCEEFF"/>
            </w:tcBorders>
          </w:tcPr>
          <w:p>
            <w:pPr>
              <w:spacing w:after="0"/>
              <w:rPr>
                <w:sz w:val="24"/>
                <w:szCs w:val="24"/>
                <w:color w:val="auto"/>
              </w:rPr>
            </w:pPr>
          </w:p>
        </w:tc>
        <w:tc>
          <w:tcPr>
            <w:tcW w:w="10160" w:type="dxa"/>
            <w:vAlign w:val="bottom"/>
            <w:tcBorders>
              <w:bottom w:val="single" w:sz="8" w:color="auto"/>
            </w:tcBorders>
            <w:gridSpan w:val="2"/>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160" w:type="dxa"/>
            <w:vAlign w:val="bottom"/>
            <w:shd w:val="clear" w:color="auto" w:fill="CCEEFF"/>
          </w:tcPr>
          <w:p>
            <w:pPr>
              <w:jc w:val="right"/>
              <w:ind w:right="330"/>
              <w:spacing w:after="0" w:line="176" w:lineRule="exact"/>
              <w:rPr>
                <w:sz w:val="20"/>
                <w:szCs w:val="20"/>
                <w:color w:val="auto"/>
              </w:rPr>
            </w:pPr>
            <w:r>
              <w:rPr>
                <w:rFonts w:ascii="Arial" w:cs="Arial" w:eastAsia="Arial" w:hAnsi="Arial"/>
                <w:sz w:val="18"/>
                <w:szCs w:val="18"/>
                <w:color w:val="auto"/>
              </w:rPr>
              <w:t>99.1</w:t>
            </w:r>
          </w:p>
        </w:tc>
        <w:tc>
          <w:tcPr>
            <w:tcW w:w="100" w:type="dxa"/>
            <w:vAlign w:val="bottom"/>
            <w:shd w:val="clear" w:color="auto" w:fill="CCEEFF"/>
          </w:tcPr>
          <w:p>
            <w:pPr>
              <w:spacing w:after="0"/>
              <w:rPr>
                <w:sz w:val="17"/>
                <w:szCs w:val="17"/>
                <w:color w:val="auto"/>
              </w:rPr>
            </w:pPr>
          </w:p>
        </w:tc>
        <w:tc>
          <w:tcPr>
            <w:tcW w:w="10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May 8, 2018 entitled “Kornit Digital Reports 2018 First Quarter Results”</w:t>
            </w:r>
          </w:p>
        </w:tc>
      </w:tr>
      <w:tr>
        <w:trPr>
          <w:trHeight w:val="655"/>
        </w:trPr>
        <w:tc>
          <w:tcPr>
            <w:tcW w:w="11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680" w:type="dxa"/>
            <w:vAlign w:val="bottom"/>
            <w:tcBorders>
              <w:top w:val="single" w:sz="8" w:color="0000EE"/>
              <w:bottom w:val="single" w:sz="8" w:color="auto"/>
            </w:tcBorders>
          </w:tcPr>
          <w:p>
            <w:pPr>
              <w:jc w:val="right"/>
              <w:ind w:right="2090"/>
              <w:spacing w:after="0"/>
              <w:rPr>
                <w:sz w:val="20"/>
                <w:szCs w:val="20"/>
                <w:color w:val="auto"/>
              </w:rPr>
            </w:pPr>
            <w:r>
              <w:rPr>
                <w:rFonts w:ascii="Arial" w:cs="Arial" w:eastAsia="Arial" w:hAnsi="Arial"/>
                <w:sz w:val="18"/>
                <w:szCs w:val="18"/>
                <w:color w:val="auto"/>
              </w:rPr>
              <w:t>3</w:t>
            </w:r>
          </w:p>
        </w:tc>
        <w:tc>
          <w:tcPr>
            <w:tcW w:w="3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Reports 2018 First Quarter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9" w:lineRule="exact"/>
        <w:rPr>
          <w:sz w:val="20"/>
          <w:szCs w:val="20"/>
          <w:color w:val="auto"/>
        </w:rPr>
      </w:pPr>
    </w:p>
    <w:p>
      <w:pPr>
        <w:ind w:left="340" w:hanging="332"/>
        <w:spacing w:after="0" w:line="258"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First quarter 2018 revenues of $31.1 million net of $42 thousand million attributed to the non-cash impact of warrants, compared to $27.1 million net of $938 thousand attributed to the non-cash impact of warrants in the prior year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First quarter GAAP operating income of $0.09 million, or 0.3% of revenues; non-GAAP operating income of $1.7 million, or 5.5% of revenues.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First quarter GAAP net income of $565 thousand, or $0.02 per diluted share; non-GAAP net income of $2.1 million, or $0.06 per diluted share.</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Newly introduced Avalanche HD6 system and upgrade sales ahead of expectations; received significant orders from current and prospective customers.</w:t>
      </w: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Rosh-Ha`Ayin, Israel – May 8, 2018 – </w:t>
      </w:r>
      <w:r>
        <w:rPr>
          <w:rFonts w:ascii="Arial" w:cs="Arial" w:eastAsia="Arial" w:hAnsi="Arial"/>
          <w:sz w:val="18"/>
          <w:szCs w:val="18"/>
          <w:color w:val="auto"/>
        </w:rPr>
        <w:t>Kornit Digital Ltd. (NASDAQ:KRNT), a leading provider of digital printing solutions for the global printed textile</w:t>
      </w:r>
      <w:r>
        <w:rPr>
          <w:rFonts w:ascii="Arial" w:cs="Arial" w:eastAsia="Arial" w:hAnsi="Arial"/>
          <w:sz w:val="18"/>
          <w:szCs w:val="18"/>
          <w:b w:val="1"/>
          <w:bCs w:val="1"/>
          <w:color w:val="auto"/>
        </w:rPr>
        <w:t xml:space="preserve"> </w:t>
      </w:r>
      <w:r>
        <w:rPr>
          <w:rFonts w:ascii="Arial" w:cs="Arial" w:eastAsia="Arial" w:hAnsi="Arial"/>
          <w:sz w:val="18"/>
          <w:szCs w:val="18"/>
          <w:color w:val="auto"/>
        </w:rPr>
        <w:t>industry, today reported results for the first quarter ended March 31, 2018.</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Non-GAAP figures in today’s press release are presented using a different methodology compared to previous periods as a result of comments from the US Securities and Exchange Commission. These changes also impact the Company's guidance methodology.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Revenues for the first quarter of 2018 were $31.1 million, which represents a 14.8% increase compared to the prior year period of $27.1 million. The non-cash impact of the warrants deducted from the revenues was $42 thousand in the first quarter of 2018 compared to $938 thousand in the first quarter of 2017. Higher revenue in the quarter was attributable to growth in both Products and Services.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GAAP net income in the first quarter of 2018 was $565 thousand, or $0.02 per diluted share, compared to GAAP net loss of $(1.7) million, or $(0.05) per diluted share in the first quarter of 2017. On a non-GAAP basis net income was $2.1 million, or $0.06 per diluted share, compared to prior-year non-GAAP net loss of $(547) thousand, or $(0.02) per diluted share.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Gabi Seligsohn, Kornit Digital’s Chief Executive Officer commented, “We are pleased to report an exceptionally strong start to the year, with sales and operating margins both ahead of our expected guidance range. Growth in the quarter was broad based and included a diversity of customers and product categories, led by faster-than-expected customer adoption of Avalanche HD systems and upgrades, which exceeded $5 million in orders in the first quarter. We are also very pleased to report that to date in the second quarter, we have received orders for an additional $10 million of Avalanche HD systems and upgrades. As we look to the balance of the year, we are poised for our momentum to continue, supported by the launch of the Storm HD and a large-scale customer program, which is resuming deliveries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First Quarter Results of Operations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reported first quarter revenues, net of the non-cash impact of warrants, of $31.1 million, compared with the prior-year period level of $27.1 million. The total non-cash impact of the warrants deducted from revenues was $42 thousand in the first quarter of 2018 and $938 thousand in the first quarter of 2017. Higher revenue in the quarter was attributable to growth in both Products and Services, in particular, strong adoption of the Avalanche HD6 and upgrades.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first quarter gross profit was $15.4 million, compared with $11.9 million, in the prior-year period. Non-GAAP gross profit in the first quarter was $15.6 million, or 50.0% of revenues compared with $12.1 million, or 44.5% gross margin in the first quarter of 2017. Higher gross margins primarily reflected a favorable product mix compares to first Quarter of 2017 and an increase in system's upgrade revenues.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 GAAP basis, total operating expenses in the first quarter were $15.3 million, compared to $13.2 million in the prior year period. Non-GAAP operating expenses in the first quarter increased to $13.9 million, or 44.5% of revenues, compared to $12.0 million, or 44.2% of revenues in the prior year period. The increase in total operating expenses was consistent with the previously stated growth strategy, as the Company continues to execute to its global infrastructure build out and was specifically impacted by costs associated with increased headcount expenses.</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First quarter GAAP research and development expenses were $5.3 million, compared to the prior-year period of $4.8 million. First quarter non-GAAP research and development expenses were $5.1 million, or 16.4% of revenues, compared to $4.7 million, or 17.2% of revenues in the prior-year period.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quarter GAAP selling and marketing expenses were $5.8 million, compared to the prior-year period of $5.6 million. First quarter non-GAAP selling and marketing expenses were $5.4 million, or 17.3% of revenues, compared to $4.9 million, or 18.2% of revenues in the prior-year period.</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First quarter GAAP general and administrative expenses were $4.0 million, compared to the prior-year period of $2.8 million. First quarter non-GAAP general and administrative expenses were $3.4 million, or 10.8% of revenues, compared to $2.4 million, or 8.8% of revenues in the prior-year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first quarter operating income was $92 thousand, compared to the prior year period operating loss of $(1.3) million. Non-GAAP operating income in the first quarter increased to $1.7 million, compared to $94 thousand in the prior year period. As a percent of revenues, adjusted operating margin for the first quarter was 5.5% of revenues, compared with 0.3% of revenues in the first quarter of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 GAAP basis, the Company reported net income of $565 thousand, or $0.02 per diluted share, compared to a net loss of $(1.7) million, in the first quarter of 2017. Non-GAAP net income for the first quarter of 2018 was $2.1 million, or $0.06 per diluted share, compared to a net loss of $(547) thousand, or $(0.02) per diluted share in the prior year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Balance Sheet and Cash Flow</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At March 31, 2018, the Company had cash, cash equivalent, short term deposits and marketable securities of $98.2 million. Cash flow from operating activity for first quarter 2018 was $1.8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2018 Guidance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will discuss the details of its guidance live during its earnings conference call, which will be available for replay via webcast at </w:t>
      </w:r>
      <w:r>
        <w:rPr>
          <w:rFonts w:ascii="Arial" w:cs="Arial" w:eastAsia="Arial" w:hAnsi="Arial"/>
          <w:sz w:val="16"/>
          <w:szCs w:val="16"/>
          <w:u w:val="single" w:color="auto"/>
          <w:color w:val="auto"/>
        </w:rPr>
        <w:t>ir.kornit.com</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Gabi Seligsohn, the Company’s Chief Executive Officer, and Guy Avidan, the Company’s Chief Financial Officer, will host a conference call today at 5:00 p.m. ET, or 0:00 a.m. Israel time, to discuss the results, followed by a question and answer session for the investment community. A live webcast of the call can be accessed at ir.kornit.com. To access the call, participants may dial toll-free at 1-800-239-9838 or +1-323-794-2551. The toll-free Israeli number is 1 80 921 2883. The confirmation code is 9100005.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9100005.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telephonic replay will be available beginning at 8:00 p.m. ET on Tuesday, May 8, 2018, and will last through 11:59 p.m. ET on Tuesday, May 22,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call will also be available for replay via the webcast link on Kornit’s Investor Relations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factors referred to under "Risk Factors" in the company's final prospectus filed with the U.S. Securities and Exchange Commission on January 26, 2018.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Non-GAAP Discussion Disclosure</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Non-GAAP financial measures consist of GAAP financial measures adjusted to exclude, share-based compensation expenses, acquisition related costs, restructuring expenses and amortization of acquired intangible assets. The purpose of such adjustments is to give an indication of our performance exclusive of non-cash charges and other items that are considered by management to be outside of our core operating results. These non-GAAP measures are among the primary factors management uses in planning for and forecasting future periods. Furthermore, the non-GAAP measures are regularly used internally to understand, manage and evaluate our business and make operating decisions, and we believe that they are useful to investors as a consistent and comparable measure of the ongoing performance of our business. However, our non-GAAP financial measures are not meant to be considered in isolation or as a substitute for comparable GAAP measures, and should be read only in conjunction with our consolidated financial statements prepared in accordance with GAAP. Additionally, these non-GAAP financial measures may differ materially from the non-GAAP financial measures used by other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472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5"/>
          </w:tcPr>
          <w:p>
            <w:pPr>
              <w:jc w:val="right"/>
              <w:ind w:right="711"/>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26,758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Services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Products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cost of revenues</w:t>
            </w:r>
          </w:p>
        </w:tc>
        <w:tc>
          <w:tcPr>
            <w:tcW w:w="1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15,731</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15,207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Gross profit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Restructuring expenses</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 (expenses), net</w:t>
            </w: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Income (loss) before taxes on income</w:t>
            </w:r>
          </w:p>
        </w:tc>
        <w:tc>
          <w:tcPr>
            <w:tcW w:w="11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625</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 (loss)</w:t>
            </w: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Basic net income (loss) per share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Weighted average number of shares used in computing basic net income (loss) per share</w:t>
            </w: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34,269,217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32,658,344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Diluted net income (loss) per share</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Weighted average number of shares used in computing diluted net income (loss) per share</w:t>
            </w: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34,729,450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32,658,344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640" w:type="dxa"/>
            <w:vAlign w:val="bottom"/>
            <w:vMerge w:val="restart"/>
          </w:tcPr>
          <w:p>
            <w:pPr>
              <w:ind w:left="5660"/>
              <w:spacing w:after="0"/>
              <w:rPr>
                <w:sz w:val="20"/>
                <w:szCs w:val="20"/>
                <w:color w:val="auto"/>
              </w:rPr>
            </w:pPr>
            <w:r>
              <w:rPr>
                <w:rFonts w:ascii="Arial" w:cs="Arial" w:eastAsia="Arial" w:hAnsi="Arial"/>
                <w:sz w:val="18"/>
                <w:szCs w:val="18"/>
                <w:color w:val="auto"/>
              </w:rPr>
              <w:t>5</w:t>
            </w: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vMerge w:val="continue"/>
          </w:tcPr>
          <w:p>
            <w:pPr>
              <w:spacing w:after="0"/>
              <w:rPr>
                <w:sz w:val="24"/>
                <w:szCs w:val="24"/>
                <w:color w:val="auto"/>
              </w:rPr>
            </w:pPr>
          </w:p>
        </w:tc>
        <w:tc>
          <w:tcPr>
            <w:tcW w:w="76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RECONCILATION OF GAAP TO NON-GAAP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and per share data)</w:t>
      </w:r>
    </w:p>
    <w:p>
      <w:pPr>
        <w:spacing w:after="0" w:line="207" w:lineRule="exact"/>
        <w:rPr>
          <w:sz w:val="20"/>
          <w:szCs w:val="20"/>
          <w:color w:val="auto"/>
        </w:rPr>
      </w:pPr>
    </w:p>
    <w:p>
      <w:pPr>
        <w:jc w:val="center"/>
        <w:ind w:left="8700"/>
        <w:spacing w:after="0"/>
        <w:rPr>
          <w:sz w:val="20"/>
          <w:szCs w:val="20"/>
          <w:color w:val="auto"/>
        </w:rPr>
      </w:pPr>
      <w:r>
        <w:rPr>
          <w:rFonts w:ascii="Arial" w:cs="Arial" w:eastAsia="Arial" w:hAnsi="Arial"/>
          <w:sz w:val="16"/>
          <w:szCs w:val="16"/>
          <w:b w:val="1"/>
          <w:bCs w:val="1"/>
          <w:color w:val="auto"/>
        </w:rPr>
        <w:t>Three Months Ended</w:t>
      </w:r>
    </w:p>
    <w:p>
      <w:pPr>
        <w:spacing w:after="0" w:line="50" w:lineRule="exact"/>
        <w:rPr>
          <w:sz w:val="20"/>
          <w:szCs w:val="20"/>
          <w:color w:val="auto"/>
        </w:rPr>
      </w:pPr>
    </w:p>
    <w:p>
      <w:pPr>
        <w:jc w:val="center"/>
        <w:ind w:left="87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14605</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ectPr>
          <w:pgSz w:w="11900" w:h="16838" w:orient="portrait"/>
          <w:cols w:equalWidth="0" w:num="1">
            <w:col w:w="11420"/>
          </w:cols>
          <w:pgMar w:left="240" w:top="904" w:right="239" w:bottom="27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amortization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cost of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gross profit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profit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amortization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Non-GAAP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Taxes on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Tax effect on to the above 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Non-GAAP 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GAAP net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Intangible assets amortization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Restructuring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Tax effect on to the above non-GAAP adjustments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15,731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15,207</w:t>
            </w: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(144)</w:t>
            </w: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15,558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15,038</w:t>
            </w:r>
          </w:p>
        </w:tc>
        <w:tc>
          <w:tcPr>
            <w:tcW w:w="4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15,389</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11,895</w:t>
            </w:r>
          </w:p>
        </w:tc>
        <w:tc>
          <w:tcPr>
            <w:tcW w:w="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169</w:t>
            </w:r>
          </w:p>
        </w:tc>
        <w:tc>
          <w:tcPr>
            <w:tcW w:w="4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15,562</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12,064</w:t>
            </w:r>
          </w:p>
        </w:tc>
        <w:tc>
          <w:tcPr>
            <w:tcW w:w="4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15,297</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13,175</w:t>
            </w:r>
          </w:p>
        </w:tc>
        <w:tc>
          <w:tcPr>
            <w:tcW w:w="4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3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(794)</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(241)</w:t>
            </w:r>
          </w:p>
        </w:tc>
        <w:tc>
          <w:tcPr>
            <w:tcW w:w="3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(411)</w:t>
            </w: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13,851</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11,970</w:t>
            </w:r>
          </w:p>
        </w:tc>
        <w:tc>
          <w:tcPr>
            <w:tcW w:w="4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1"/>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20"/>
                <w:szCs w:val="20"/>
                <w:color w:val="auto"/>
              </w:rPr>
            </w:pPr>
          </w:p>
        </w:tc>
      </w:tr>
      <w:tr>
        <w:trPr>
          <w:trHeight w:val="27"/>
        </w:trPr>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40" w:type="dxa"/>
            <w:vAlign w:val="bottom"/>
          </w:tcPr>
          <w:p>
            <w:pPr>
              <w:spacing w:after="0"/>
              <w:rPr>
                <w:sz w:val="21"/>
                <w:szCs w:val="21"/>
                <w:color w:val="auto"/>
              </w:rPr>
            </w:pPr>
          </w:p>
        </w:tc>
      </w:tr>
      <w:tr>
        <w:trPr>
          <w:trHeight w:val="21"/>
        </w:trPr>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8"/>
        </w:trPr>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565</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(1,737)</w:t>
            </w: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1,205</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148</w:t>
            </w:r>
          </w:p>
        </w:tc>
        <w:tc>
          <w:tcPr>
            <w:tcW w:w="3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44"/>
        </w:trPr>
        <w:tc>
          <w:tcPr>
            <w:tcW w:w="3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(184)</w:t>
            </w:r>
          </w:p>
        </w:tc>
      </w:tr>
    </w:tbl>
    <w:p>
      <w:pPr>
        <w:spacing w:after="0" w:line="20" w:lineRule="exact"/>
        <w:rPr>
          <w:sz w:val="20"/>
          <w:szCs w:val="20"/>
          <w:color w:val="auto"/>
        </w:rPr>
      </w:pPr>
    </w:p>
    <w:p>
      <w:pPr>
        <w:sectPr>
          <w:pgSz w:w="11900" w:h="16838" w:orient="portrait"/>
          <w:cols w:equalWidth="0" w:num="2">
            <w:col w:w="8100" w:space="720"/>
            <w:col w:w="2600"/>
          </w:cols>
          <w:pgMar w:left="240" w:top="904" w:right="239" w:bottom="275"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79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Non-GAAP net income (loss) (*)</w:t>
            </w:r>
          </w:p>
        </w:tc>
        <w:tc>
          <w:tcPr>
            <w:tcW w:w="9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900" w:type="dxa"/>
            <w:vAlign w:val="bottom"/>
            <w:vMerge w:val="continue"/>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GAAP diluted earning (loss) per share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(0.05</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 (loss) per share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line="256" w:lineRule="exact"/>
              <w:rPr>
                <w:sz w:val="20"/>
                <w:szCs w:val="20"/>
                <w:color w:val="auto"/>
              </w:rPr>
            </w:pPr>
            <w:r>
              <w:rPr>
                <w:rFonts w:ascii="Arial" w:cs="Arial" w:eastAsia="Arial" w:hAnsi="Arial"/>
                <w:sz w:val="16"/>
                <w:szCs w:val="16"/>
                <w:color w:val="auto"/>
              </w:rPr>
              <w:t>(0.02</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diluted GAAP net earning (loss) per share</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34,729,450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32,658,344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used in computing diluted non GAAP net earning per share</w:t>
            </w:r>
          </w:p>
        </w:tc>
        <w:tc>
          <w:tcPr>
            <w:tcW w:w="9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35,005,677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34,159,770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(1) Share-based compensation</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Cost of product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service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Selling and marketing</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920" w:type="dxa"/>
            <w:vAlign w:val="bottom"/>
            <w:gridSpan w:val="2"/>
            <w:vMerge w:val="restart"/>
          </w:tcPr>
          <w:p>
            <w:pPr>
              <w:spacing w:after="0"/>
              <w:rPr>
                <w:sz w:val="20"/>
                <w:szCs w:val="20"/>
                <w:color w:val="auto"/>
              </w:rPr>
            </w:pPr>
            <w:r>
              <w:rPr>
                <w:rFonts w:ascii="Arial" w:cs="Arial" w:eastAsia="Arial" w:hAnsi="Arial"/>
                <w:sz w:val="18"/>
                <w:szCs w:val="18"/>
                <w:color w:val="auto"/>
              </w:rPr>
              <w:t>(2) Intangible assets amortization</w:t>
            </w: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92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Cost of product</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0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9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3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has been updated from prior reports (a) to remove the adjustment for the non-cash impact of the warrants deducted from revenues, and (b) to reflect the tax efect of the non-GAAP adjustments.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275" w:gutter="0" w:footer="0" w:header="0"/>
          <w:type w:val="continuous"/>
        </w:sectPr>
      </w:pPr>
    </w:p>
    <w:bookmarkStart w:id="10" w:name="page11"/>
    <w:bookmarkEnd w:id="10"/>
    <w:p>
      <w:pPr>
        <w:ind w:left="4700"/>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8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Short-term bank deposit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Trade receivables, net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25,651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29,471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34,855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accounts receivable and prepaid expenses</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2,239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Marketable securities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66,060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Deposits and prepaid expenses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Severance pay fund</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Goodwill</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assets</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4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175,969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LIABILITIES: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Employees and payroll accruals</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payables and accrued expenses</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Accrued severance pay</w:t>
            </w: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Payment obligation related to acquisition</w:t>
            </w:r>
          </w:p>
        </w:tc>
        <w:tc>
          <w:tcPr>
            <w:tcW w:w="4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4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4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152,764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EEFF"/>
            </w:tcBorders>
          </w:tcPr>
          <w:p>
            <w:pPr>
              <w:spacing w:after="0"/>
              <w:rPr>
                <w:sz w:val="18"/>
                <w:szCs w:val="18"/>
                <w:color w:val="auto"/>
              </w:rPr>
            </w:pPr>
          </w:p>
        </w:tc>
        <w:tc>
          <w:tcPr>
            <w:tcW w:w="40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4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175,969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178,374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97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6"/>
              </w:rPr>
              <w:t>March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center"/>
              <w:ind w:left="430"/>
              <w:spacing w:after="0"/>
              <w:rPr>
                <w:sz w:val="20"/>
                <w:szCs w:val="20"/>
                <w:color w:val="auto"/>
              </w:rPr>
            </w:pPr>
            <w:r>
              <w:rPr>
                <w:rFonts w:ascii="Arial" w:cs="Arial" w:eastAsia="Arial" w:hAnsi="Arial"/>
                <w:sz w:val="18"/>
                <w:szCs w:val="18"/>
                <w:b w:val="1"/>
                <w:bCs w:val="1"/>
                <w:color w:val="auto"/>
                <w:w w:val="91"/>
              </w:rPr>
              <w:t>(Unaudited)</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4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8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Amortization of premium on marketable securities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trade receivables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inventory</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Increase in deferred taxes, net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long term assets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Decrease in trade payables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(5,146)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payables and accrued expenses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Increase (decrease) in accrued severance pay, net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long term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Foreign currency translation loss on inter company balances with foreign subsidiaries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640" w:type="dxa"/>
            <w:vAlign w:val="bottom"/>
            <w:tcBorders>
              <w:top w:val="single" w:sz="8" w:color="auto"/>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86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0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Investment in bank deposits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maturity of marketable securities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gridSpan w:val="3"/>
          </w:tcPr>
          <w:p>
            <w:pPr>
              <w:spacing w:after="0"/>
              <w:rPr>
                <w:sz w:val="20"/>
                <w:szCs w:val="20"/>
                <w:color w:val="auto"/>
              </w:rPr>
            </w:pPr>
            <w:r>
              <w:rPr>
                <w:rFonts w:ascii="Arial" w:cs="Arial" w:eastAsia="Arial" w:hAnsi="Arial"/>
                <w:sz w:val="18"/>
                <w:szCs w:val="18"/>
                <w:color w:val="auto"/>
              </w:rPr>
              <w:t>Purchase of marketable securities</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Proceeds from follow on offering,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Exercise of employee stock options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Payment of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ind w:right="3660"/>
        <w:spacing w:after="0" w:line="258" w:lineRule="auto"/>
        <w:rPr>
          <w:sz w:val="20"/>
          <w:szCs w:val="20"/>
          <w:color w:val="auto"/>
        </w:rPr>
      </w:pPr>
      <w:r>
        <w:rPr>
          <w:rFonts w:ascii="Arial" w:cs="Arial" w:eastAsia="Arial" w:hAnsi="Arial"/>
          <w:sz w:val="18"/>
          <w:szCs w:val="18"/>
          <w:color w:val="auto"/>
        </w:rPr>
        <w:t>Foreign currency translation adjustments on cash and cash equivalents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Cash and cash equivalents at the beginning of the period</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360" w:hanging="919"/>
        <w:spacing w:after="0"/>
        <w:tabs>
          <w:tab w:leader="none" w:pos="1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35,630</w:t>
      </w:r>
    </w:p>
    <w:p>
      <w:pPr>
        <w:spacing w:after="0" w:line="23" w:lineRule="exact"/>
        <w:rPr>
          <w:sz w:val="20"/>
          <w:szCs w:val="20"/>
          <w:color w:val="auto"/>
        </w:rPr>
      </w:pPr>
    </w:p>
    <w:p>
      <w:pPr>
        <w:ind w:left="1580" w:hanging="1349"/>
        <w:spacing w:after="0"/>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475</w:t>
      </w:r>
    </w:p>
    <w:p>
      <w:pPr>
        <w:spacing w:after="0" w:line="9"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(900)</w:t>
      </w:r>
      <w:r>
        <w:rPr>
          <w:rFonts w:ascii="Arial" w:cs="Arial" w:eastAsia="Arial" w:hAnsi="Arial"/>
          <w:sz w:val="17"/>
          <w:szCs w:val="17"/>
          <w:color w:val="auto"/>
        </w:rPr>
        <w:t>(1,400)</w:t>
      </w:r>
    </w:p>
    <w:p>
      <w:pPr>
        <w:spacing w:after="0" w:line="23" w:lineRule="exact"/>
        <w:rPr>
          <w:sz w:val="20"/>
          <w:szCs w:val="20"/>
          <w:color w:val="auto"/>
        </w:rPr>
      </w:pPr>
    </w:p>
    <w:p>
      <w:pPr>
        <w:ind w:left="180"/>
        <w:spacing w:after="0"/>
        <w:tabs>
          <w:tab w:leader="none" w:pos="1340" w:val="left"/>
        </w:tabs>
        <w:rPr>
          <w:sz w:val="20"/>
          <w:szCs w:val="20"/>
          <w:color w:val="auto"/>
        </w:rPr>
      </w:pPr>
      <w:r>
        <w:rPr>
          <w:rFonts w:ascii="Arial" w:cs="Arial" w:eastAsia="Arial" w:hAnsi="Arial"/>
          <w:sz w:val="18"/>
          <w:szCs w:val="18"/>
          <w:color w:val="auto"/>
        </w:rPr>
        <w:t>(369)</w:t>
      </w:r>
      <w:r>
        <w:rPr>
          <w:sz w:val="20"/>
          <w:szCs w:val="20"/>
          <w:color w:val="auto"/>
        </w:rPr>
        <w:tab/>
      </w:r>
      <w:r>
        <w:rPr>
          <w:rFonts w:ascii="Arial" w:cs="Arial" w:eastAsia="Arial" w:hAnsi="Arial"/>
          <w:sz w:val="16"/>
          <w:szCs w:val="16"/>
          <w:color w:val="auto"/>
        </w:rPr>
        <w:t>34,705</w:t>
      </w:r>
    </w:p>
    <w:p>
      <w:pPr>
        <w:spacing w:after="0" w:line="265" w:lineRule="exact"/>
        <w:rPr>
          <w:sz w:val="20"/>
          <w:szCs w:val="20"/>
          <w:color w:val="auto"/>
        </w:rPr>
      </w:pPr>
    </w:p>
    <w:p>
      <w:pPr>
        <w:ind w:left="1680" w:hanging="1359"/>
        <w:spacing w:after="0"/>
        <w:tabs>
          <w:tab w:leader="none" w:pos="1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14</w:t>
      </w:r>
    </w:p>
    <w:p>
      <w:pPr>
        <w:spacing w:after="0" w:line="23"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(3,894)</w:t>
      </w:r>
      <w:r>
        <w:rPr>
          <w:rFonts w:ascii="Arial" w:cs="Arial" w:eastAsia="Arial" w:hAnsi="Arial"/>
          <w:sz w:val="17"/>
          <w:szCs w:val="17"/>
          <w:color w:val="auto"/>
        </w:rPr>
        <w:t>(7,033)</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18,629</w:t>
      </w:r>
      <w:r>
        <w:rPr>
          <w:rFonts w:ascii="Arial" w:cs="Arial" w:eastAsia="Arial" w:hAnsi="Arial"/>
          <w:sz w:val="16"/>
          <w:szCs w:val="16"/>
          <w:color w:val="auto"/>
        </w:rPr>
        <w:t>22,789</w:t>
      </w:r>
    </w:p>
    <w:p>
      <w:pPr>
        <w:spacing w:after="0" w:line="6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14,782</w:t>
      </w:r>
      <w:r>
        <w:rPr>
          <w:rFonts w:ascii="Arial" w:cs="Arial" w:eastAsia="Arial" w:hAnsi="Arial"/>
          <w:sz w:val="16"/>
          <w:szCs w:val="16"/>
          <w:color w:val="auto"/>
        </w:rPr>
        <w:t>15,770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40640</wp:posOffset>
            </wp:positionV>
            <wp:extent cx="15862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8740" w:space="720"/>
            <w:col w:w="1960"/>
          </w:cols>
          <w:pgMar w:left="240" w:top="904"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on credit</w:t>
            </w:r>
          </w:p>
        </w:tc>
        <w:tc>
          <w:tcPr>
            <w:tcW w:w="5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w:t>
            </w:r>
          </w:p>
        </w:tc>
      </w:tr>
      <w:tr>
        <w:trPr>
          <w:trHeight w:val="210"/>
        </w:trPr>
        <w:tc>
          <w:tcPr>
            <w:tcW w:w="4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Inventory transferred to be used as property and equipment</w:t>
            </w:r>
          </w:p>
        </w:tc>
        <w:tc>
          <w:tcPr>
            <w:tcW w:w="38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591</w:t>
            </w:r>
          </w:p>
        </w:tc>
        <w:tc>
          <w:tcPr>
            <w:tcW w:w="22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Issuance expenses on credit</w:t>
            </w:r>
          </w:p>
        </w:tc>
        <w:tc>
          <w:tcPr>
            <w:tcW w:w="38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2"/>
        </w:trPr>
        <w:tc>
          <w:tcPr>
            <w:tcW w:w="49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970"/>
              <w:spacing w:after="0"/>
              <w:rPr>
                <w:sz w:val="20"/>
                <w:szCs w:val="20"/>
                <w:color w:val="auto"/>
              </w:rPr>
            </w:pPr>
            <w:r>
              <w:rPr>
                <w:rFonts w:ascii="Arial" w:cs="Arial" w:eastAsia="Arial" w:hAnsi="Arial"/>
                <w:sz w:val="18"/>
                <w:szCs w:val="18"/>
                <w:color w:val="auto"/>
              </w:rPr>
              <w:t>8</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03"/>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531"/>
    </w:lvl>
  </w:abstractNum>
  <w:abstractNum w:abstractNumId="5">
    <w:nsid w:val="507ED7AB"/>
    <w:multiLevelType w:val="hybridMultilevel"/>
    <w:lvl w:ilvl="0">
      <w:lvlJc w:val="left"/>
      <w:lvlText w:val="%1"/>
      <w:numFmt w:val="decimal"/>
      <w:start w:val="4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2019-12-08T11:47:53Z</dcterms:created>
  <dcterms:modified xsi:type="dcterms:W3CDTF">2019-12-08T11:47:53Z</dcterms:modified>
</cp:coreProperties>
</file>